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6B" w:rsidRPr="00F7263B" w:rsidRDefault="00DF0162" w:rsidP="00130DE4">
      <w:pPr>
        <w:autoSpaceDE w:val="0"/>
        <w:autoSpaceDN w:val="0"/>
        <w:adjustRightInd w:val="0"/>
        <w:jc w:val="center"/>
        <w:rPr>
          <w:rFonts w:cs="Times New Roman"/>
          <w:caps/>
          <w:color w:val="000000"/>
          <w:sz w:val="20"/>
          <w:szCs w:val="20"/>
        </w:rPr>
      </w:pPr>
      <w:bookmarkStart w:id="0" w:name="_top"/>
      <w:bookmarkEnd w:id="0"/>
      <w:r w:rsidRPr="00F7263B">
        <w:rPr>
          <w:rFonts w:cs="Times New Roman"/>
          <w:caps/>
          <w:color w:val="000000"/>
          <w:sz w:val="20"/>
          <w:szCs w:val="20"/>
        </w:rPr>
        <w:t>Document of</w:t>
      </w:r>
    </w:p>
    <w:p w:rsidR="00DF0162" w:rsidRPr="00F7263B" w:rsidRDefault="00DF0162"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The World Bank</w:t>
      </w:r>
    </w:p>
    <w:p w:rsidR="00DF0162" w:rsidRPr="00F7263B" w:rsidRDefault="00DF0162" w:rsidP="00130DE4">
      <w:pPr>
        <w:autoSpaceDE w:val="0"/>
        <w:autoSpaceDN w:val="0"/>
        <w:adjustRightInd w:val="0"/>
        <w:jc w:val="center"/>
        <w:rPr>
          <w:rFonts w:cs="Times New Roman"/>
          <w:caps/>
          <w:color w:val="000000"/>
          <w:sz w:val="20"/>
          <w:szCs w:val="20"/>
        </w:rPr>
      </w:pPr>
    </w:p>
    <w:p w:rsidR="00DF0162" w:rsidRPr="00F7263B" w:rsidRDefault="00DF0162"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for official use only</w:t>
      </w:r>
    </w:p>
    <w:p w:rsidR="00541C85" w:rsidRPr="00F7263B" w:rsidRDefault="00541C85" w:rsidP="00130DE4">
      <w:pPr>
        <w:autoSpaceDE w:val="0"/>
        <w:autoSpaceDN w:val="0"/>
        <w:adjustRightInd w:val="0"/>
        <w:jc w:val="center"/>
        <w:rPr>
          <w:rFonts w:cs="Times New Roman"/>
          <w:caps/>
          <w:color w:val="000000"/>
          <w:sz w:val="20"/>
          <w:szCs w:val="20"/>
        </w:rPr>
      </w:pPr>
    </w:p>
    <w:p w:rsidR="00541C85" w:rsidRPr="00F7263B" w:rsidRDefault="000935A0" w:rsidP="00DB66D3">
      <w:pPr>
        <w:autoSpaceDE w:val="0"/>
        <w:autoSpaceDN w:val="0"/>
        <w:adjustRightInd w:val="0"/>
        <w:jc w:val="right"/>
        <w:rPr>
          <w:rFonts w:cs="Times New Roman"/>
          <w:caps/>
          <w:color w:val="000000"/>
          <w:sz w:val="20"/>
          <w:szCs w:val="20"/>
        </w:rPr>
      </w:pPr>
      <w:r w:rsidRPr="00F7263B">
        <w:rPr>
          <w:rFonts w:cs="Times New Roman"/>
          <w:color w:val="000000"/>
          <w:sz w:val="20"/>
          <w:szCs w:val="20"/>
        </w:rPr>
        <w:t xml:space="preserve">Report no: </w:t>
      </w:r>
      <w:r w:rsidR="00F14320" w:rsidRPr="00F7263B">
        <w:rPr>
          <w:rFonts w:cs="Times New Roman"/>
          <w:color w:val="000000"/>
          <w:sz w:val="20"/>
          <w:szCs w:val="20"/>
        </w:rPr>
        <w:t>83961</w:t>
      </w:r>
      <w:r w:rsidRPr="00F7263B">
        <w:rPr>
          <w:rFonts w:cs="Times New Roman"/>
          <w:color w:val="000000"/>
          <w:sz w:val="20"/>
          <w:szCs w:val="20"/>
        </w:rPr>
        <w:t>-ET</w:t>
      </w:r>
    </w:p>
    <w:p w:rsidR="00541C85" w:rsidRPr="004D2289" w:rsidRDefault="00541C85" w:rsidP="00130DE4">
      <w:pPr>
        <w:autoSpaceDE w:val="0"/>
        <w:autoSpaceDN w:val="0"/>
        <w:adjustRightInd w:val="0"/>
        <w:jc w:val="center"/>
        <w:rPr>
          <w:rFonts w:cs="Times New Roman"/>
          <w:caps/>
          <w:color w:val="000000"/>
          <w:sz w:val="2"/>
          <w:szCs w:val="20"/>
        </w:rPr>
      </w:pPr>
    </w:p>
    <w:p w:rsidR="00FF7EE4" w:rsidRPr="00F7263B" w:rsidRDefault="001D2940"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Program APPRAISAL DOCUMENT</w:t>
      </w:r>
    </w:p>
    <w:p w:rsidR="00541C85" w:rsidRPr="00F7263B" w:rsidRDefault="00541C85" w:rsidP="00130DE4">
      <w:pPr>
        <w:autoSpaceDE w:val="0"/>
        <w:autoSpaceDN w:val="0"/>
        <w:adjustRightInd w:val="0"/>
        <w:jc w:val="center"/>
        <w:rPr>
          <w:rFonts w:cs="Times New Roman"/>
          <w:caps/>
          <w:color w:val="000000"/>
          <w:sz w:val="20"/>
          <w:szCs w:val="20"/>
        </w:rPr>
      </w:pPr>
    </w:p>
    <w:p w:rsidR="00FF7EE4" w:rsidRPr="00F7263B" w:rsidRDefault="001D2940"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ON A</w:t>
      </w:r>
    </w:p>
    <w:p w:rsidR="00541C85" w:rsidRPr="00F7263B" w:rsidRDefault="00541C85" w:rsidP="00130DE4">
      <w:pPr>
        <w:autoSpaceDE w:val="0"/>
        <w:autoSpaceDN w:val="0"/>
        <w:adjustRightInd w:val="0"/>
        <w:jc w:val="center"/>
        <w:rPr>
          <w:rFonts w:cs="Times New Roman"/>
          <w:caps/>
          <w:color w:val="000000"/>
          <w:sz w:val="20"/>
          <w:szCs w:val="20"/>
        </w:rPr>
      </w:pPr>
    </w:p>
    <w:p w:rsidR="00FF7EE4" w:rsidRPr="00F7263B" w:rsidRDefault="001D2940"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 xml:space="preserve">PROPOSED </w:t>
      </w:r>
      <w:r w:rsidR="00CC6665" w:rsidRPr="00F7263B">
        <w:rPr>
          <w:rFonts w:cs="Times New Roman"/>
          <w:caps/>
          <w:color w:val="000000"/>
          <w:sz w:val="20"/>
          <w:szCs w:val="20"/>
        </w:rPr>
        <w:t>CREDIT</w:t>
      </w:r>
    </w:p>
    <w:p w:rsidR="00FF7EE4" w:rsidRPr="00F7263B" w:rsidRDefault="00FF7EE4" w:rsidP="00130DE4">
      <w:pPr>
        <w:autoSpaceDE w:val="0"/>
        <w:autoSpaceDN w:val="0"/>
        <w:adjustRightInd w:val="0"/>
        <w:jc w:val="center"/>
        <w:rPr>
          <w:rFonts w:cs="Times New Roman"/>
          <w:caps/>
          <w:color w:val="000000"/>
          <w:sz w:val="20"/>
          <w:szCs w:val="20"/>
        </w:rPr>
      </w:pPr>
    </w:p>
    <w:p w:rsidR="00B629BC" w:rsidRPr="00F7263B" w:rsidRDefault="001D2940"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 xml:space="preserve">IN THE amount </w:t>
      </w:r>
      <w:r w:rsidR="00541C85" w:rsidRPr="00F7263B">
        <w:rPr>
          <w:rFonts w:cs="Times New Roman"/>
          <w:caps/>
          <w:color w:val="000000"/>
          <w:sz w:val="20"/>
          <w:szCs w:val="20"/>
        </w:rPr>
        <w:t>SDR xx MILLION</w:t>
      </w:r>
    </w:p>
    <w:p w:rsidR="00541C85" w:rsidRPr="00F7263B" w:rsidRDefault="00541C85"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(US$</w:t>
      </w:r>
      <w:r w:rsidR="00C518AF" w:rsidRPr="00F7263B">
        <w:rPr>
          <w:rFonts w:cs="Times New Roman"/>
          <w:caps/>
          <w:color w:val="000000"/>
          <w:sz w:val="20"/>
          <w:szCs w:val="20"/>
        </w:rPr>
        <w:t xml:space="preserve">380 </w:t>
      </w:r>
      <w:r w:rsidRPr="00F7263B">
        <w:rPr>
          <w:rFonts w:cs="Times New Roman"/>
          <w:caps/>
          <w:color w:val="000000"/>
          <w:sz w:val="20"/>
          <w:szCs w:val="20"/>
        </w:rPr>
        <w:t>MILLION EQUIVALENT)</w:t>
      </w:r>
    </w:p>
    <w:p w:rsidR="00FF7EE4" w:rsidRPr="00F7263B" w:rsidRDefault="00FF7EE4" w:rsidP="00130DE4">
      <w:pPr>
        <w:autoSpaceDE w:val="0"/>
        <w:autoSpaceDN w:val="0"/>
        <w:adjustRightInd w:val="0"/>
        <w:jc w:val="center"/>
        <w:rPr>
          <w:rFonts w:cs="Times New Roman"/>
          <w:caps/>
          <w:color w:val="000000"/>
          <w:sz w:val="20"/>
          <w:szCs w:val="20"/>
        </w:rPr>
      </w:pPr>
    </w:p>
    <w:p w:rsidR="00FF7EE4" w:rsidRPr="00F7263B" w:rsidRDefault="001D2940"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TO THE</w:t>
      </w:r>
    </w:p>
    <w:p w:rsidR="00FF7EE4" w:rsidRPr="00F7263B" w:rsidRDefault="00FF7EE4" w:rsidP="00130DE4">
      <w:pPr>
        <w:autoSpaceDE w:val="0"/>
        <w:autoSpaceDN w:val="0"/>
        <w:adjustRightInd w:val="0"/>
        <w:jc w:val="center"/>
        <w:rPr>
          <w:rFonts w:cs="Times New Roman"/>
          <w:caps/>
          <w:color w:val="000000"/>
          <w:sz w:val="20"/>
          <w:szCs w:val="20"/>
        </w:rPr>
      </w:pPr>
    </w:p>
    <w:p w:rsidR="00541C85" w:rsidRPr="00F7263B" w:rsidRDefault="00541C85"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FEDERAL DEMOCRATIC REPUBLIC OF ETHIOPIA</w:t>
      </w:r>
    </w:p>
    <w:p w:rsidR="00FF7EE4" w:rsidRPr="00F7263B" w:rsidRDefault="00FF7EE4" w:rsidP="00130DE4">
      <w:pPr>
        <w:autoSpaceDE w:val="0"/>
        <w:autoSpaceDN w:val="0"/>
        <w:adjustRightInd w:val="0"/>
        <w:jc w:val="center"/>
        <w:rPr>
          <w:rFonts w:cs="Times New Roman"/>
          <w:caps/>
          <w:color w:val="000000"/>
          <w:sz w:val="20"/>
          <w:szCs w:val="20"/>
        </w:rPr>
      </w:pPr>
    </w:p>
    <w:p w:rsidR="00FF7EE4" w:rsidRPr="00F7263B" w:rsidRDefault="00B629BC" w:rsidP="00130DE4">
      <w:pPr>
        <w:autoSpaceDE w:val="0"/>
        <w:autoSpaceDN w:val="0"/>
        <w:adjustRightInd w:val="0"/>
        <w:jc w:val="center"/>
        <w:rPr>
          <w:rFonts w:cs="Times New Roman"/>
          <w:caps/>
          <w:color w:val="000000"/>
          <w:sz w:val="20"/>
          <w:szCs w:val="20"/>
        </w:rPr>
      </w:pPr>
      <w:r w:rsidRPr="00F7263B">
        <w:rPr>
          <w:rFonts w:cs="Times New Roman"/>
          <w:caps/>
          <w:color w:val="000000"/>
          <w:sz w:val="20"/>
          <w:szCs w:val="20"/>
        </w:rPr>
        <w:t>FOR THE SECOND URBAN LOCAL GOVERNMENT DEVELOPMENT PRO</w:t>
      </w:r>
      <w:r w:rsidR="00892664" w:rsidRPr="00F7263B">
        <w:rPr>
          <w:rFonts w:cs="Times New Roman"/>
          <w:caps/>
          <w:color w:val="000000"/>
          <w:sz w:val="20"/>
          <w:szCs w:val="20"/>
        </w:rPr>
        <w:t>gram</w:t>
      </w:r>
    </w:p>
    <w:p w:rsidR="00B629BC" w:rsidRPr="00F7263B" w:rsidRDefault="00B629BC" w:rsidP="00130DE4">
      <w:pPr>
        <w:autoSpaceDE w:val="0"/>
        <w:autoSpaceDN w:val="0"/>
        <w:adjustRightInd w:val="0"/>
        <w:jc w:val="center"/>
        <w:rPr>
          <w:rFonts w:cs="Times New Roman"/>
          <w:caps/>
          <w:color w:val="000000"/>
          <w:sz w:val="20"/>
          <w:szCs w:val="20"/>
        </w:rPr>
      </w:pPr>
    </w:p>
    <w:p w:rsidR="00FF7EE4" w:rsidRPr="00F7263B" w:rsidRDefault="00844725" w:rsidP="00130DE4">
      <w:pPr>
        <w:autoSpaceDE w:val="0"/>
        <w:autoSpaceDN w:val="0"/>
        <w:adjustRightInd w:val="0"/>
        <w:jc w:val="center"/>
        <w:rPr>
          <w:rFonts w:cs="Times New Roman"/>
          <w:color w:val="000000"/>
          <w:sz w:val="20"/>
          <w:szCs w:val="20"/>
        </w:rPr>
      </w:pPr>
      <w:fldSimple w:instr=" DOCPROPERTY ProjectName \* MERGEFORMAT ">
        <w:r w:rsidR="001D2940" w:rsidRPr="00F7263B">
          <w:rPr>
            <w:rFonts w:cs="Times New Roman"/>
            <w:caps/>
            <w:color w:val="000000"/>
            <w:sz w:val="20"/>
            <w:szCs w:val="20"/>
          </w:rPr>
          <w:t>PROGRAM-for-Results Operation</w:t>
        </w:r>
      </w:fldSimple>
    </w:p>
    <w:p w:rsidR="00FF7EE4" w:rsidRPr="00F7263B" w:rsidRDefault="00FF7EE4" w:rsidP="00130DE4">
      <w:pPr>
        <w:autoSpaceDE w:val="0"/>
        <w:autoSpaceDN w:val="0"/>
        <w:adjustRightInd w:val="0"/>
        <w:jc w:val="center"/>
        <w:rPr>
          <w:rFonts w:cs="Times New Roman"/>
          <w:color w:val="000000"/>
          <w:sz w:val="20"/>
          <w:szCs w:val="20"/>
        </w:rPr>
      </w:pPr>
    </w:p>
    <w:p w:rsidR="00FF7EE4" w:rsidRPr="00F7263B" w:rsidRDefault="0092484F" w:rsidP="00130DE4">
      <w:pPr>
        <w:autoSpaceDE w:val="0"/>
        <w:autoSpaceDN w:val="0"/>
        <w:adjustRightInd w:val="0"/>
        <w:jc w:val="center"/>
        <w:rPr>
          <w:rFonts w:cs="Times New Roman"/>
          <w:color w:val="000000"/>
          <w:sz w:val="20"/>
          <w:szCs w:val="20"/>
        </w:rPr>
      </w:pPr>
      <w:r w:rsidRPr="00F7263B">
        <w:rPr>
          <w:rFonts w:cs="Times New Roman"/>
          <w:color w:val="000000"/>
          <w:sz w:val="20"/>
          <w:szCs w:val="20"/>
        </w:rPr>
        <w:t xml:space="preserve">February </w:t>
      </w:r>
      <w:r w:rsidR="006907C7" w:rsidRPr="00F7263B">
        <w:rPr>
          <w:rFonts w:cs="Times New Roman"/>
          <w:color w:val="000000"/>
          <w:sz w:val="20"/>
          <w:szCs w:val="20"/>
        </w:rPr>
        <w:t>14</w:t>
      </w:r>
      <w:r w:rsidR="00963EB7" w:rsidRPr="00F7263B">
        <w:rPr>
          <w:rFonts w:cs="Times New Roman"/>
          <w:color w:val="000000"/>
          <w:sz w:val="20"/>
          <w:szCs w:val="20"/>
        </w:rPr>
        <w:t>, 2014</w:t>
      </w:r>
    </w:p>
    <w:p w:rsidR="00FF7EE4" w:rsidRPr="00F7263B" w:rsidRDefault="00FF7EE4" w:rsidP="00130DE4">
      <w:pPr>
        <w:autoSpaceDE w:val="0"/>
        <w:autoSpaceDN w:val="0"/>
        <w:adjustRightInd w:val="0"/>
        <w:jc w:val="center"/>
        <w:rPr>
          <w:rFonts w:cs="Times New Roman"/>
          <w:color w:val="000000"/>
          <w:sz w:val="20"/>
          <w:szCs w:val="20"/>
        </w:rPr>
      </w:pPr>
    </w:p>
    <w:p w:rsidR="00541C85" w:rsidRPr="00F7263B" w:rsidRDefault="00541C85" w:rsidP="00130DE4">
      <w:pPr>
        <w:autoSpaceDE w:val="0"/>
        <w:autoSpaceDN w:val="0"/>
        <w:adjustRightInd w:val="0"/>
        <w:jc w:val="center"/>
        <w:rPr>
          <w:rFonts w:cs="Times New Roman"/>
          <w:color w:val="000000"/>
          <w:sz w:val="20"/>
          <w:szCs w:val="20"/>
        </w:rPr>
      </w:pPr>
    </w:p>
    <w:p w:rsidR="004E2C1E" w:rsidRPr="00F7263B" w:rsidRDefault="004E2C1E" w:rsidP="005B5233">
      <w:pPr>
        <w:autoSpaceDE w:val="0"/>
        <w:autoSpaceDN w:val="0"/>
        <w:adjustRightInd w:val="0"/>
        <w:jc w:val="center"/>
        <w:rPr>
          <w:rFonts w:cs="Times New Roman"/>
          <w:color w:val="000000"/>
          <w:sz w:val="20"/>
          <w:szCs w:val="20"/>
        </w:rPr>
      </w:pPr>
    </w:p>
    <w:p w:rsidR="004E2C1E" w:rsidRPr="00F7263B" w:rsidRDefault="004E2C1E" w:rsidP="005B5233">
      <w:pPr>
        <w:autoSpaceDE w:val="0"/>
        <w:autoSpaceDN w:val="0"/>
        <w:adjustRightInd w:val="0"/>
        <w:jc w:val="center"/>
        <w:rPr>
          <w:rFonts w:cs="Times New Roman"/>
          <w:color w:val="000000"/>
          <w:sz w:val="20"/>
          <w:szCs w:val="20"/>
        </w:rPr>
      </w:pPr>
    </w:p>
    <w:p w:rsidR="004E2C1E" w:rsidRPr="00F7263B" w:rsidRDefault="004E2C1E" w:rsidP="005B5233">
      <w:pPr>
        <w:autoSpaceDE w:val="0"/>
        <w:autoSpaceDN w:val="0"/>
        <w:adjustRightInd w:val="0"/>
        <w:jc w:val="center"/>
        <w:rPr>
          <w:rFonts w:cs="Times New Roman"/>
          <w:color w:val="000000"/>
          <w:sz w:val="20"/>
          <w:szCs w:val="20"/>
        </w:rPr>
      </w:pPr>
    </w:p>
    <w:p w:rsidR="004E2C1E" w:rsidRPr="00F7263B" w:rsidRDefault="004E2C1E" w:rsidP="005B5233">
      <w:pPr>
        <w:autoSpaceDE w:val="0"/>
        <w:autoSpaceDN w:val="0"/>
        <w:adjustRightInd w:val="0"/>
        <w:jc w:val="center"/>
        <w:rPr>
          <w:rFonts w:cs="Times New Roman"/>
          <w:color w:val="000000"/>
          <w:sz w:val="20"/>
          <w:szCs w:val="20"/>
        </w:rPr>
      </w:pPr>
    </w:p>
    <w:p w:rsidR="00B67244" w:rsidRPr="00F7263B" w:rsidRDefault="00B67244" w:rsidP="005B5233">
      <w:pPr>
        <w:autoSpaceDE w:val="0"/>
        <w:autoSpaceDN w:val="0"/>
        <w:adjustRightInd w:val="0"/>
        <w:jc w:val="center"/>
        <w:rPr>
          <w:rFonts w:cs="Times New Roman"/>
          <w:color w:val="000000"/>
          <w:sz w:val="20"/>
          <w:szCs w:val="20"/>
        </w:rPr>
      </w:pPr>
    </w:p>
    <w:p w:rsidR="00B67244" w:rsidRPr="00F7263B" w:rsidRDefault="00B67244" w:rsidP="005B5233">
      <w:pPr>
        <w:autoSpaceDE w:val="0"/>
        <w:autoSpaceDN w:val="0"/>
        <w:adjustRightInd w:val="0"/>
        <w:spacing w:line="240" w:lineRule="atLeast"/>
        <w:ind w:left="450"/>
        <w:rPr>
          <w:color w:val="000000"/>
          <w:sz w:val="20"/>
          <w:szCs w:val="20"/>
        </w:rPr>
      </w:pPr>
      <w:r w:rsidRPr="00F7263B">
        <w:rPr>
          <w:color w:val="000000"/>
          <w:sz w:val="20"/>
          <w:szCs w:val="20"/>
        </w:rPr>
        <w:t>Urban Services</w:t>
      </w:r>
    </w:p>
    <w:p w:rsidR="00B67244" w:rsidRPr="00F7263B" w:rsidRDefault="00B67244" w:rsidP="005B5233">
      <w:pPr>
        <w:autoSpaceDE w:val="0"/>
        <w:autoSpaceDN w:val="0"/>
        <w:adjustRightInd w:val="0"/>
        <w:spacing w:line="240" w:lineRule="atLeast"/>
        <w:ind w:left="450"/>
        <w:rPr>
          <w:color w:val="000000"/>
          <w:sz w:val="20"/>
          <w:szCs w:val="20"/>
        </w:rPr>
      </w:pPr>
      <w:r w:rsidRPr="00F7263B">
        <w:rPr>
          <w:color w:val="000000"/>
          <w:sz w:val="20"/>
          <w:szCs w:val="20"/>
        </w:rPr>
        <w:t xml:space="preserve">Sustainable Development </w:t>
      </w:r>
      <w:r w:rsidR="00F23283" w:rsidRPr="00F7263B">
        <w:rPr>
          <w:color w:val="000000"/>
          <w:sz w:val="20"/>
          <w:szCs w:val="20"/>
        </w:rPr>
        <w:t>Network</w:t>
      </w:r>
    </w:p>
    <w:p w:rsidR="00B67244" w:rsidRPr="00F7263B" w:rsidRDefault="00F23283" w:rsidP="005B5233">
      <w:pPr>
        <w:autoSpaceDE w:val="0"/>
        <w:autoSpaceDN w:val="0"/>
        <w:adjustRightInd w:val="0"/>
        <w:spacing w:line="240" w:lineRule="atLeast"/>
        <w:ind w:left="450"/>
        <w:rPr>
          <w:color w:val="000000"/>
          <w:sz w:val="20"/>
          <w:szCs w:val="20"/>
        </w:rPr>
      </w:pPr>
      <w:r w:rsidRPr="00F7263B">
        <w:rPr>
          <w:color w:val="000000"/>
          <w:sz w:val="20"/>
          <w:szCs w:val="20"/>
        </w:rPr>
        <w:t>Country Department 3</w:t>
      </w:r>
      <w:r w:rsidR="00B67244" w:rsidRPr="00F7263B">
        <w:rPr>
          <w:color w:val="000000"/>
          <w:sz w:val="20"/>
          <w:szCs w:val="20"/>
        </w:rPr>
        <w:t xml:space="preserve">, </w:t>
      </w:r>
      <w:r w:rsidRPr="00F7263B">
        <w:rPr>
          <w:color w:val="000000"/>
          <w:sz w:val="20"/>
          <w:szCs w:val="20"/>
        </w:rPr>
        <w:t>Ethiopia</w:t>
      </w:r>
    </w:p>
    <w:p w:rsidR="00B67244" w:rsidRPr="00F7263B" w:rsidRDefault="00B67244" w:rsidP="005B5233">
      <w:pPr>
        <w:autoSpaceDE w:val="0"/>
        <w:autoSpaceDN w:val="0"/>
        <w:adjustRightInd w:val="0"/>
        <w:spacing w:line="240" w:lineRule="atLeast"/>
        <w:ind w:left="450"/>
        <w:rPr>
          <w:color w:val="000000"/>
          <w:sz w:val="20"/>
          <w:szCs w:val="20"/>
        </w:rPr>
      </w:pPr>
      <w:r w:rsidRPr="00F7263B">
        <w:rPr>
          <w:color w:val="000000"/>
          <w:sz w:val="20"/>
          <w:szCs w:val="20"/>
        </w:rPr>
        <w:t>Africa Region</w:t>
      </w:r>
    </w:p>
    <w:p w:rsidR="00541C85" w:rsidRPr="00F7263B" w:rsidRDefault="00541C85" w:rsidP="00556F1B">
      <w:pPr>
        <w:autoSpaceDE w:val="0"/>
        <w:autoSpaceDN w:val="0"/>
        <w:adjustRightInd w:val="0"/>
        <w:jc w:val="both"/>
        <w:rPr>
          <w:rFonts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F7EE4" w:rsidRPr="00F7263B">
        <w:tc>
          <w:tcPr>
            <w:tcW w:w="9576" w:type="dxa"/>
          </w:tcPr>
          <w:p w:rsidR="004F1094" w:rsidRPr="00F7263B" w:rsidRDefault="001D2940" w:rsidP="009548BC">
            <w:pPr>
              <w:autoSpaceDE w:val="0"/>
              <w:autoSpaceDN w:val="0"/>
              <w:adjustRightInd w:val="0"/>
              <w:spacing w:line="240" w:lineRule="atLeast"/>
              <w:jc w:val="both"/>
              <w:rPr>
                <w:rFonts w:cs="Times New Roman"/>
                <w:sz w:val="20"/>
                <w:szCs w:val="20"/>
              </w:rPr>
            </w:pPr>
            <w:r w:rsidRPr="00F7263B">
              <w:rPr>
                <w:rFonts w:cs="Times New Roman"/>
                <w:sz w:val="20"/>
                <w:szCs w:val="20"/>
              </w:rPr>
              <w:t xml:space="preserve">This document has a restricted distribution and may be used by recipients only in the performance of their official duties.  Its contents may not otherwise be disclosed without World Bank authorization </w:t>
            </w:r>
          </w:p>
        </w:tc>
      </w:tr>
    </w:tbl>
    <w:p w:rsidR="00541C85" w:rsidRPr="00F7263B" w:rsidRDefault="00541C85" w:rsidP="00556F1B">
      <w:pPr>
        <w:jc w:val="both"/>
        <w:rPr>
          <w:rFonts w:cs="Times New Roman"/>
          <w:sz w:val="20"/>
          <w:szCs w:val="20"/>
        </w:rPr>
        <w:sectPr w:rsidR="00541C85" w:rsidRPr="00F7263B">
          <w:footerReference w:type="default" r:id="rId14"/>
          <w:pgSz w:w="12240" w:h="15840"/>
          <w:pgMar w:top="1440" w:right="1440" w:bottom="1440" w:left="1440" w:header="720" w:footer="720" w:gutter="0"/>
          <w:pgNumType w:start="1"/>
          <w:cols w:space="720"/>
          <w:titlePg/>
          <w:docGrid w:linePitch="360"/>
        </w:sectPr>
      </w:pPr>
    </w:p>
    <w:p w:rsidR="002F20EB" w:rsidRPr="00F7263B" w:rsidRDefault="00DF0162" w:rsidP="004B3425">
      <w:pPr>
        <w:jc w:val="center"/>
        <w:rPr>
          <w:rFonts w:cs="Times New Roman"/>
          <w:b/>
          <w:sz w:val="20"/>
          <w:szCs w:val="20"/>
        </w:rPr>
      </w:pPr>
      <w:r w:rsidRPr="00F7263B">
        <w:rPr>
          <w:rFonts w:cs="Times New Roman"/>
          <w:b/>
          <w:sz w:val="20"/>
          <w:szCs w:val="20"/>
        </w:rPr>
        <w:lastRenderedPageBreak/>
        <w:t>CURRENCY EQUIVALENTS</w:t>
      </w:r>
    </w:p>
    <w:p w:rsidR="00DF0162" w:rsidRPr="00F7263B" w:rsidRDefault="00DF0162" w:rsidP="004B3425">
      <w:pPr>
        <w:jc w:val="center"/>
        <w:rPr>
          <w:rFonts w:cs="Times New Roman"/>
          <w:sz w:val="20"/>
          <w:szCs w:val="20"/>
        </w:rPr>
      </w:pPr>
    </w:p>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 xml:space="preserve">(Exchange Rate Effective </w:t>
      </w:r>
      <w:r w:rsidR="004E2C1E" w:rsidRPr="00F7263B">
        <w:rPr>
          <w:rFonts w:cs="Times New Roman"/>
          <w:color w:val="000000"/>
          <w:sz w:val="20"/>
          <w:szCs w:val="20"/>
        </w:rPr>
        <w:t>February</w:t>
      </w:r>
      <w:r w:rsidR="00297F4C" w:rsidRPr="00F7263B">
        <w:rPr>
          <w:rFonts w:cs="Times New Roman"/>
          <w:color w:val="000000"/>
          <w:sz w:val="20"/>
          <w:szCs w:val="20"/>
        </w:rPr>
        <w:t>1</w:t>
      </w:r>
      <w:r w:rsidR="004E2C1E" w:rsidRPr="00F7263B">
        <w:rPr>
          <w:rFonts w:cs="Times New Roman"/>
          <w:color w:val="000000"/>
          <w:sz w:val="20"/>
          <w:szCs w:val="20"/>
        </w:rPr>
        <w:t>1</w:t>
      </w:r>
      <w:r w:rsidRPr="00F7263B">
        <w:rPr>
          <w:rFonts w:cs="Times New Roman"/>
          <w:color w:val="000000"/>
          <w:sz w:val="20"/>
          <w:szCs w:val="20"/>
        </w:rPr>
        <w:t>, 201</w:t>
      </w:r>
      <w:r w:rsidR="00297F4C" w:rsidRPr="00F7263B">
        <w:rPr>
          <w:rFonts w:cs="Times New Roman"/>
          <w:color w:val="000000"/>
          <w:sz w:val="20"/>
          <w:szCs w:val="20"/>
        </w:rPr>
        <w:t>4</w:t>
      </w:r>
      <w:r w:rsidRPr="00F7263B">
        <w:rPr>
          <w:rFonts w:cs="Times New Roman"/>
          <w:color w:val="000000"/>
          <w:sz w:val="20"/>
          <w:szCs w:val="20"/>
        </w:rPr>
        <w:t>)</w:t>
      </w:r>
    </w:p>
    <w:p w:rsidR="006C54F6" w:rsidRPr="00F7263B" w:rsidRDefault="006C54F6" w:rsidP="004B3425">
      <w:pPr>
        <w:autoSpaceDE w:val="0"/>
        <w:autoSpaceDN w:val="0"/>
        <w:adjustRightInd w:val="0"/>
        <w:jc w:val="center"/>
        <w:rPr>
          <w:rFonts w:cs="Times New Roman"/>
          <w:color w:val="000000"/>
          <w:sz w:val="20"/>
          <w:szCs w:val="20"/>
        </w:rPr>
      </w:pPr>
    </w:p>
    <w:tbl>
      <w:tblPr>
        <w:tblW w:w="0" w:type="auto"/>
        <w:tblInd w:w="622" w:type="dxa"/>
        <w:tblLook w:val="0000" w:firstRow="0" w:lastRow="0" w:firstColumn="0" w:lastColumn="0" w:noHBand="0" w:noVBand="0"/>
      </w:tblPr>
      <w:tblGrid>
        <w:gridCol w:w="4352"/>
        <w:gridCol w:w="357"/>
        <w:gridCol w:w="4245"/>
      </w:tblGrid>
      <w:tr w:rsidR="006C54F6" w:rsidRPr="00F7263B">
        <w:tc>
          <w:tcPr>
            <w:tcW w:w="4668"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Currency Unit</w:t>
            </w:r>
          </w:p>
        </w:tc>
        <w:tc>
          <w:tcPr>
            <w:tcW w:w="360"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w:t>
            </w:r>
          </w:p>
        </w:tc>
        <w:tc>
          <w:tcPr>
            <w:tcW w:w="4548"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sz w:val="20"/>
                <w:szCs w:val="20"/>
              </w:rPr>
              <w:t>Ethiopian Birr (ETB)</w:t>
            </w:r>
          </w:p>
        </w:tc>
      </w:tr>
      <w:tr w:rsidR="006C54F6" w:rsidRPr="00F7263B">
        <w:tc>
          <w:tcPr>
            <w:tcW w:w="4668" w:type="dxa"/>
          </w:tcPr>
          <w:p w:rsidR="006C54F6" w:rsidRPr="00F7263B" w:rsidRDefault="006C54F6" w:rsidP="00C34269">
            <w:pPr>
              <w:autoSpaceDE w:val="0"/>
              <w:autoSpaceDN w:val="0"/>
              <w:adjustRightInd w:val="0"/>
              <w:jc w:val="center"/>
              <w:rPr>
                <w:rFonts w:cs="Times New Roman"/>
                <w:color w:val="000000"/>
                <w:sz w:val="20"/>
                <w:szCs w:val="20"/>
              </w:rPr>
            </w:pPr>
            <w:r w:rsidRPr="00F7263B">
              <w:rPr>
                <w:rFonts w:cs="Times New Roman"/>
                <w:sz w:val="20"/>
                <w:szCs w:val="20"/>
              </w:rPr>
              <w:t xml:space="preserve">ETB </w:t>
            </w:r>
            <w:r w:rsidR="000067E4" w:rsidRPr="00F7263B">
              <w:rPr>
                <w:rFonts w:cs="Times New Roman"/>
                <w:sz w:val="20"/>
                <w:szCs w:val="20"/>
              </w:rPr>
              <w:t>19</w:t>
            </w:r>
            <w:r w:rsidRPr="00F7263B">
              <w:rPr>
                <w:rFonts w:cs="Times New Roman"/>
                <w:sz w:val="20"/>
                <w:szCs w:val="20"/>
              </w:rPr>
              <w:t>.</w:t>
            </w:r>
            <w:r w:rsidR="004723E5" w:rsidRPr="00F7263B">
              <w:rPr>
                <w:rFonts w:cs="Times New Roman"/>
                <w:sz w:val="20"/>
                <w:szCs w:val="20"/>
              </w:rPr>
              <w:t>36</w:t>
            </w:r>
          </w:p>
        </w:tc>
        <w:tc>
          <w:tcPr>
            <w:tcW w:w="360"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w:t>
            </w:r>
          </w:p>
        </w:tc>
        <w:tc>
          <w:tcPr>
            <w:tcW w:w="4548"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US$1</w:t>
            </w:r>
          </w:p>
        </w:tc>
      </w:tr>
      <w:tr w:rsidR="006C54F6" w:rsidRPr="00F7263B">
        <w:tc>
          <w:tcPr>
            <w:tcW w:w="4668"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US$</w:t>
            </w:r>
          </w:p>
        </w:tc>
        <w:tc>
          <w:tcPr>
            <w:tcW w:w="360"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w:t>
            </w:r>
          </w:p>
        </w:tc>
        <w:tc>
          <w:tcPr>
            <w:tcW w:w="4548"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color w:val="000000"/>
                <w:sz w:val="20"/>
                <w:szCs w:val="20"/>
              </w:rPr>
              <w:t>SDR xx</w:t>
            </w:r>
          </w:p>
        </w:tc>
      </w:tr>
    </w:tbl>
    <w:p w:rsidR="006C54F6" w:rsidRPr="00F7263B" w:rsidRDefault="006C54F6" w:rsidP="004B3425">
      <w:pPr>
        <w:autoSpaceDE w:val="0"/>
        <w:autoSpaceDN w:val="0"/>
        <w:adjustRightInd w:val="0"/>
        <w:jc w:val="center"/>
        <w:rPr>
          <w:rFonts w:cs="Times New Roman"/>
          <w:color w:val="000000"/>
          <w:sz w:val="20"/>
          <w:szCs w:val="20"/>
        </w:rPr>
      </w:pPr>
    </w:p>
    <w:p w:rsidR="006C54F6" w:rsidRPr="00F7263B" w:rsidRDefault="006C54F6" w:rsidP="004B3425">
      <w:pPr>
        <w:autoSpaceDE w:val="0"/>
        <w:autoSpaceDN w:val="0"/>
        <w:adjustRightInd w:val="0"/>
        <w:jc w:val="center"/>
        <w:rPr>
          <w:rFonts w:cs="Times New Roman"/>
          <w:b/>
          <w:color w:val="000000"/>
          <w:sz w:val="20"/>
          <w:szCs w:val="20"/>
        </w:rPr>
      </w:pPr>
      <w:r w:rsidRPr="00F7263B">
        <w:rPr>
          <w:rFonts w:cs="Times New Roman"/>
          <w:b/>
          <w:color w:val="000000"/>
          <w:sz w:val="20"/>
          <w:szCs w:val="20"/>
        </w:rPr>
        <w:t>Government Fiscal Year</w:t>
      </w:r>
    </w:p>
    <w:tbl>
      <w:tblPr>
        <w:tblW w:w="0" w:type="auto"/>
        <w:tblInd w:w="622" w:type="dxa"/>
        <w:tblLook w:val="0000" w:firstRow="0" w:lastRow="0" w:firstColumn="0" w:lastColumn="0" w:noHBand="0" w:noVBand="0"/>
      </w:tblPr>
      <w:tblGrid>
        <w:gridCol w:w="3944"/>
        <w:gridCol w:w="537"/>
        <w:gridCol w:w="3841"/>
      </w:tblGrid>
      <w:tr w:rsidR="006C54F6" w:rsidRPr="00F7263B">
        <w:trPr>
          <w:trHeight w:val="348"/>
        </w:trPr>
        <w:tc>
          <w:tcPr>
            <w:tcW w:w="3944" w:type="dxa"/>
          </w:tcPr>
          <w:p w:rsidR="006C54F6" w:rsidRPr="00F7263B" w:rsidRDefault="006C54F6" w:rsidP="00A57F28">
            <w:pPr>
              <w:autoSpaceDE w:val="0"/>
              <w:autoSpaceDN w:val="0"/>
              <w:adjustRightInd w:val="0"/>
              <w:jc w:val="right"/>
              <w:rPr>
                <w:rFonts w:cs="Times New Roman"/>
                <w:color w:val="000000"/>
                <w:sz w:val="20"/>
                <w:szCs w:val="20"/>
              </w:rPr>
            </w:pPr>
            <w:r w:rsidRPr="00F7263B">
              <w:rPr>
                <w:rFonts w:cs="Times New Roman"/>
                <w:color w:val="000000"/>
                <w:sz w:val="20"/>
                <w:szCs w:val="20"/>
              </w:rPr>
              <w:t>July 8</w:t>
            </w:r>
          </w:p>
        </w:tc>
        <w:tc>
          <w:tcPr>
            <w:tcW w:w="537" w:type="dxa"/>
          </w:tcPr>
          <w:p w:rsidR="006C54F6" w:rsidRPr="00F7263B" w:rsidRDefault="006C54F6" w:rsidP="004B3425">
            <w:pPr>
              <w:autoSpaceDE w:val="0"/>
              <w:autoSpaceDN w:val="0"/>
              <w:adjustRightInd w:val="0"/>
              <w:jc w:val="center"/>
              <w:rPr>
                <w:rFonts w:cs="Times New Roman"/>
                <w:color w:val="000000"/>
                <w:sz w:val="20"/>
                <w:szCs w:val="20"/>
              </w:rPr>
            </w:pPr>
            <w:r w:rsidRPr="00F7263B">
              <w:rPr>
                <w:rFonts w:cs="Times New Roman"/>
                <w:sz w:val="20"/>
                <w:szCs w:val="20"/>
              </w:rPr>
              <w:t>–</w:t>
            </w:r>
          </w:p>
        </w:tc>
        <w:tc>
          <w:tcPr>
            <w:tcW w:w="3841" w:type="dxa"/>
          </w:tcPr>
          <w:p w:rsidR="006C54F6" w:rsidRPr="00F7263B" w:rsidRDefault="006C54F6" w:rsidP="00A57F28">
            <w:pPr>
              <w:autoSpaceDE w:val="0"/>
              <w:autoSpaceDN w:val="0"/>
              <w:adjustRightInd w:val="0"/>
              <w:rPr>
                <w:rFonts w:cs="Times New Roman"/>
                <w:color w:val="000000"/>
                <w:sz w:val="20"/>
                <w:szCs w:val="20"/>
              </w:rPr>
            </w:pPr>
            <w:r w:rsidRPr="00F7263B">
              <w:rPr>
                <w:rFonts w:cs="Times New Roman"/>
                <w:color w:val="000000"/>
                <w:sz w:val="20"/>
                <w:szCs w:val="20"/>
              </w:rPr>
              <w:t>July 7</w:t>
            </w:r>
          </w:p>
        </w:tc>
      </w:tr>
    </w:tbl>
    <w:p w:rsidR="006C54F6" w:rsidRPr="00F7263B" w:rsidRDefault="006C54F6" w:rsidP="004D2289">
      <w:pPr>
        <w:autoSpaceDE w:val="0"/>
        <w:autoSpaceDN w:val="0"/>
        <w:adjustRightInd w:val="0"/>
        <w:rPr>
          <w:rFonts w:cs="Times New Roman"/>
          <w:color w:val="000000"/>
          <w:sz w:val="20"/>
          <w:szCs w:val="20"/>
        </w:rPr>
      </w:pPr>
    </w:p>
    <w:p w:rsidR="004B3425" w:rsidRPr="00F7263B" w:rsidRDefault="004B3425" w:rsidP="00556F1B">
      <w:pPr>
        <w:jc w:val="both"/>
        <w:rPr>
          <w:rFonts w:cs="Times New Roman"/>
          <w:b/>
          <w:color w:val="000000"/>
          <w:sz w:val="20"/>
          <w:szCs w:val="20"/>
        </w:rPr>
      </w:pPr>
    </w:p>
    <w:p w:rsidR="006C54F6" w:rsidRPr="00F7263B" w:rsidRDefault="006C54F6" w:rsidP="0065739F">
      <w:pPr>
        <w:jc w:val="center"/>
        <w:rPr>
          <w:rFonts w:cs="Times New Roman"/>
          <w:b/>
          <w:color w:val="000000"/>
          <w:sz w:val="20"/>
          <w:szCs w:val="20"/>
        </w:rPr>
      </w:pPr>
      <w:r w:rsidRPr="00F7263B">
        <w:rPr>
          <w:rFonts w:cs="Times New Roman"/>
          <w:b/>
          <w:color w:val="000000"/>
          <w:sz w:val="20"/>
          <w:szCs w:val="20"/>
        </w:rPr>
        <w:t>ABBREVIATIONS AND ACRONYMS</w:t>
      </w:r>
    </w:p>
    <w:p w:rsidR="006C54F6" w:rsidRPr="00F7263B" w:rsidRDefault="006C54F6" w:rsidP="00556F1B">
      <w:pPr>
        <w:jc w:val="both"/>
        <w:rPr>
          <w:rFonts w:cs="Times New Roman"/>
          <w:color w:val="000000"/>
          <w:sz w:val="20"/>
          <w:szCs w:val="20"/>
        </w:rPr>
      </w:pPr>
    </w:p>
    <w:p w:rsidR="00E03921" w:rsidRPr="00F7263B" w:rsidRDefault="00E03921" w:rsidP="00E03921">
      <w:pPr>
        <w:ind w:left="540"/>
        <w:rPr>
          <w:sz w:val="20"/>
          <w:szCs w:val="20"/>
        </w:rPr>
      </w:pPr>
      <w:r w:rsidRPr="00F7263B">
        <w:rPr>
          <w:sz w:val="20"/>
          <w:szCs w:val="20"/>
        </w:rPr>
        <w:t>AMP</w:t>
      </w:r>
      <w:r w:rsidRPr="00F7263B">
        <w:rPr>
          <w:sz w:val="20"/>
          <w:szCs w:val="20"/>
        </w:rPr>
        <w:tab/>
      </w:r>
      <w:r w:rsidRPr="00F7263B">
        <w:rPr>
          <w:sz w:val="20"/>
          <w:szCs w:val="20"/>
        </w:rPr>
        <w:tab/>
        <w:t>Asset Management Plan</w:t>
      </w:r>
    </w:p>
    <w:p w:rsidR="00E03921" w:rsidRPr="00F7263B" w:rsidRDefault="00E03921" w:rsidP="00E03921">
      <w:pPr>
        <w:ind w:left="540"/>
        <w:rPr>
          <w:sz w:val="20"/>
          <w:szCs w:val="20"/>
        </w:rPr>
      </w:pPr>
      <w:r w:rsidRPr="00F7263B">
        <w:rPr>
          <w:sz w:val="20"/>
          <w:szCs w:val="20"/>
        </w:rPr>
        <w:t>APA</w:t>
      </w:r>
      <w:r w:rsidRPr="00F7263B">
        <w:rPr>
          <w:sz w:val="20"/>
          <w:szCs w:val="20"/>
        </w:rPr>
        <w:tab/>
      </w:r>
      <w:r w:rsidRPr="00F7263B">
        <w:rPr>
          <w:sz w:val="20"/>
          <w:szCs w:val="20"/>
        </w:rPr>
        <w:tab/>
        <w:t>A</w:t>
      </w:r>
      <w:r w:rsidRPr="00F7263B">
        <w:rPr>
          <w:rFonts w:cs="Times New Roman"/>
          <w:sz w:val="20"/>
          <w:szCs w:val="20"/>
        </w:rPr>
        <w:t xml:space="preserve">nnual performance assessment  </w:t>
      </w:r>
    </w:p>
    <w:p w:rsidR="00E03921" w:rsidRPr="00F7263B" w:rsidRDefault="00E03921" w:rsidP="00E03921">
      <w:pPr>
        <w:ind w:left="540"/>
        <w:rPr>
          <w:sz w:val="20"/>
          <w:szCs w:val="20"/>
        </w:rPr>
      </w:pPr>
      <w:r w:rsidRPr="00F7263B">
        <w:rPr>
          <w:sz w:val="20"/>
          <w:szCs w:val="20"/>
        </w:rPr>
        <w:t>BoFED</w:t>
      </w:r>
      <w:r w:rsidRPr="00F7263B">
        <w:rPr>
          <w:sz w:val="20"/>
          <w:szCs w:val="20"/>
        </w:rPr>
        <w:tab/>
      </w:r>
      <w:r w:rsidRPr="00F7263B">
        <w:rPr>
          <w:sz w:val="20"/>
          <w:szCs w:val="20"/>
        </w:rPr>
        <w:tab/>
        <w:t>Bureau</w:t>
      </w:r>
      <w:r w:rsidRPr="00F7263B">
        <w:rPr>
          <w:rFonts w:cs="Times New Roman"/>
          <w:sz w:val="20"/>
          <w:szCs w:val="20"/>
        </w:rPr>
        <w:t xml:space="preserve"> of Finance </w:t>
      </w:r>
      <w:r w:rsidRPr="00F7263B">
        <w:rPr>
          <w:sz w:val="20"/>
          <w:szCs w:val="20"/>
        </w:rPr>
        <w:t>and Economic Development</w:t>
      </w:r>
    </w:p>
    <w:p w:rsidR="00E03921" w:rsidRPr="00F7263B" w:rsidRDefault="00E03921" w:rsidP="00E03921">
      <w:pPr>
        <w:ind w:left="540"/>
        <w:rPr>
          <w:sz w:val="20"/>
          <w:szCs w:val="20"/>
        </w:rPr>
      </w:pPr>
      <w:r w:rsidRPr="00F7263B">
        <w:rPr>
          <w:rFonts w:cs="Times New Roman"/>
          <w:sz w:val="20"/>
          <w:szCs w:val="20"/>
        </w:rPr>
        <w:t>BUD</w:t>
      </w:r>
      <w:r w:rsidRPr="00F7263B">
        <w:rPr>
          <w:sz w:val="20"/>
          <w:szCs w:val="20"/>
        </w:rPr>
        <w:tab/>
      </w:r>
      <w:r w:rsidRPr="00F7263B">
        <w:rPr>
          <w:sz w:val="20"/>
          <w:szCs w:val="20"/>
        </w:rPr>
        <w:tab/>
      </w:r>
      <w:r w:rsidRPr="00F7263B">
        <w:rPr>
          <w:rFonts w:cs="Times New Roman"/>
          <w:sz w:val="20"/>
          <w:szCs w:val="20"/>
        </w:rPr>
        <w:t>B</w:t>
      </w:r>
      <w:r w:rsidRPr="00F7263B">
        <w:rPr>
          <w:sz w:val="20"/>
          <w:szCs w:val="20"/>
        </w:rPr>
        <w:t>ureau</w:t>
      </w:r>
      <w:r w:rsidRPr="00F7263B">
        <w:rPr>
          <w:rFonts w:cs="Times New Roman"/>
          <w:sz w:val="20"/>
          <w:szCs w:val="20"/>
        </w:rPr>
        <w:t xml:space="preserve"> of </w:t>
      </w:r>
      <w:r w:rsidRPr="00F7263B">
        <w:rPr>
          <w:sz w:val="20"/>
          <w:szCs w:val="20"/>
        </w:rPr>
        <w:t>Urban Development</w:t>
      </w:r>
    </w:p>
    <w:p w:rsidR="00E03921" w:rsidRPr="00F7263B" w:rsidRDefault="00E03921" w:rsidP="00E03921">
      <w:pPr>
        <w:ind w:left="540"/>
        <w:rPr>
          <w:sz w:val="20"/>
          <w:szCs w:val="20"/>
        </w:rPr>
      </w:pPr>
      <w:r w:rsidRPr="00F7263B">
        <w:rPr>
          <w:sz w:val="20"/>
          <w:szCs w:val="20"/>
        </w:rPr>
        <w:t>CIP</w:t>
      </w:r>
      <w:r w:rsidRPr="00F7263B">
        <w:rPr>
          <w:sz w:val="20"/>
          <w:szCs w:val="20"/>
        </w:rPr>
        <w:tab/>
      </w:r>
      <w:r w:rsidRPr="00F7263B">
        <w:rPr>
          <w:sz w:val="20"/>
          <w:szCs w:val="20"/>
        </w:rPr>
        <w:tab/>
        <w:t>Capital investment plan</w:t>
      </w:r>
    </w:p>
    <w:p w:rsidR="00E03921" w:rsidRPr="00F7263B" w:rsidRDefault="00E03921" w:rsidP="00E03921">
      <w:pPr>
        <w:ind w:left="540"/>
        <w:rPr>
          <w:sz w:val="20"/>
          <w:szCs w:val="20"/>
        </w:rPr>
      </w:pPr>
      <w:r w:rsidRPr="00F7263B">
        <w:rPr>
          <w:sz w:val="20"/>
          <w:szCs w:val="20"/>
        </w:rPr>
        <w:t xml:space="preserve">CPS </w:t>
      </w:r>
      <w:r w:rsidRPr="00F7263B">
        <w:rPr>
          <w:sz w:val="20"/>
          <w:szCs w:val="20"/>
        </w:rPr>
        <w:tab/>
      </w:r>
      <w:r w:rsidRPr="00F7263B">
        <w:rPr>
          <w:sz w:val="20"/>
          <w:szCs w:val="20"/>
        </w:rPr>
        <w:tab/>
        <w:t>Country Partnership Strategy</w:t>
      </w:r>
    </w:p>
    <w:p w:rsidR="00E03921" w:rsidRPr="00F7263B" w:rsidRDefault="00E03921" w:rsidP="00E03921">
      <w:pPr>
        <w:ind w:left="540"/>
        <w:rPr>
          <w:sz w:val="20"/>
          <w:szCs w:val="20"/>
        </w:rPr>
      </w:pPr>
      <w:r w:rsidRPr="00F7263B">
        <w:rPr>
          <w:sz w:val="20"/>
          <w:szCs w:val="20"/>
        </w:rPr>
        <w:t>DLIs</w:t>
      </w:r>
      <w:r w:rsidRPr="00F7263B">
        <w:rPr>
          <w:sz w:val="20"/>
          <w:szCs w:val="20"/>
        </w:rPr>
        <w:tab/>
      </w:r>
      <w:r w:rsidRPr="00F7263B">
        <w:rPr>
          <w:sz w:val="20"/>
          <w:szCs w:val="20"/>
        </w:rPr>
        <w:tab/>
        <w:t>Disbursement linked indicators</w:t>
      </w:r>
    </w:p>
    <w:p w:rsidR="00E03921" w:rsidRPr="00F7263B" w:rsidRDefault="00E03921" w:rsidP="00E03921">
      <w:pPr>
        <w:ind w:left="540"/>
        <w:jc w:val="both"/>
        <w:rPr>
          <w:sz w:val="20"/>
          <w:szCs w:val="20"/>
        </w:rPr>
      </w:pPr>
      <w:r w:rsidRPr="00F7263B">
        <w:rPr>
          <w:sz w:val="20"/>
          <w:szCs w:val="20"/>
        </w:rPr>
        <w:t>ECPI</w:t>
      </w:r>
      <w:r w:rsidRPr="00F7263B">
        <w:rPr>
          <w:sz w:val="20"/>
          <w:szCs w:val="20"/>
        </w:rPr>
        <w:tab/>
      </w:r>
      <w:r w:rsidRPr="00F7263B">
        <w:rPr>
          <w:sz w:val="20"/>
          <w:szCs w:val="20"/>
        </w:rPr>
        <w:tab/>
        <w:t>Ethiopian Cities Prosperity Initiative</w:t>
      </w:r>
    </w:p>
    <w:p w:rsidR="00E03921" w:rsidRPr="00F7263B" w:rsidRDefault="00E03921" w:rsidP="00E03921">
      <w:pPr>
        <w:ind w:left="540"/>
        <w:rPr>
          <w:sz w:val="20"/>
          <w:szCs w:val="20"/>
        </w:rPr>
      </w:pPr>
      <w:r w:rsidRPr="00F7263B">
        <w:rPr>
          <w:sz w:val="20"/>
          <w:szCs w:val="20"/>
        </w:rPr>
        <w:t>ECSU</w:t>
      </w:r>
      <w:r w:rsidRPr="00F7263B">
        <w:rPr>
          <w:sz w:val="20"/>
          <w:szCs w:val="20"/>
        </w:rPr>
        <w:tab/>
      </w:r>
      <w:r w:rsidRPr="00F7263B">
        <w:rPr>
          <w:sz w:val="20"/>
          <w:szCs w:val="20"/>
        </w:rPr>
        <w:tab/>
        <w:t>Ethiopian Civil Service University</w:t>
      </w:r>
    </w:p>
    <w:p w:rsidR="00E03921" w:rsidRPr="00F7263B" w:rsidRDefault="00E03921" w:rsidP="00E03921">
      <w:pPr>
        <w:ind w:firstLine="540"/>
        <w:rPr>
          <w:sz w:val="20"/>
          <w:szCs w:val="20"/>
        </w:rPr>
      </w:pPr>
      <w:r w:rsidRPr="00F7263B">
        <w:rPr>
          <w:sz w:val="20"/>
          <w:szCs w:val="20"/>
        </w:rPr>
        <w:t>ERR</w:t>
      </w:r>
      <w:r w:rsidRPr="00F7263B">
        <w:rPr>
          <w:sz w:val="20"/>
          <w:szCs w:val="20"/>
        </w:rPr>
        <w:tab/>
      </w:r>
      <w:r w:rsidRPr="00F7263B">
        <w:rPr>
          <w:sz w:val="20"/>
          <w:szCs w:val="20"/>
        </w:rPr>
        <w:tab/>
        <w:t>E</w:t>
      </w:r>
      <w:r w:rsidRPr="00F7263B">
        <w:rPr>
          <w:rFonts w:cs="Times New Roman"/>
          <w:sz w:val="20"/>
          <w:szCs w:val="20"/>
        </w:rPr>
        <w:t xml:space="preserve">conomic rate of return </w:t>
      </w:r>
    </w:p>
    <w:p w:rsidR="00E03921" w:rsidRPr="00F7263B" w:rsidRDefault="00E03921" w:rsidP="00E03921">
      <w:pPr>
        <w:ind w:firstLine="540"/>
        <w:rPr>
          <w:rFonts w:cs="Times New Roman"/>
          <w:bCs/>
          <w:sz w:val="20"/>
          <w:szCs w:val="20"/>
        </w:rPr>
      </w:pPr>
      <w:r w:rsidRPr="00F7263B">
        <w:rPr>
          <w:rFonts w:cs="Times New Roman"/>
          <w:sz w:val="20"/>
          <w:szCs w:val="20"/>
        </w:rPr>
        <w:t>ESMS</w:t>
      </w:r>
      <w:r w:rsidRPr="00F7263B">
        <w:rPr>
          <w:rFonts w:cs="Times New Roman"/>
          <w:sz w:val="20"/>
          <w:szCs w:val="20"/>
        </w:rPr>
        <w:tab/>
      </w:r>
      <w:r w:rsidRPr="00F7263B">
        <w:rPr>
          <w:rFonts w:cs="Times New Roman"/>
          <w:sz w:val="20"/>
          <w:szCs w:val="20"/>
        </w:rPr>
        <w:tab/>
        <w:t>Environmental and social management system</w:t>
      </w:r>
    </w:p>
    <w:p w:rsidR="00E03921" w:rsidRPr="00F7263B" w:rsidRDefault="00E03921" w:rsidP="00E03921">
      <w:pPr>
        <w:ind w:firstLine="540"/>
        <w:rPr>
          <w:sz w:val="20"/>
          <w:szCs w:val="20"/>
        </w:rPr>
      </w:pPr>
      <w:r w:rsidRPr="00F7263B">
        <w:rPr>
          <w:rFonts w:cs="Times New Roman"/>
          <w:bCs/>
          <w:sz w:val="20"/>
          <w:szCs w:val="20"/>
        </w:rPr>
        <w:t>ESMP</w:t>
      </w:r>
      <w:r w:rsidRPr="00F7263B">
        <w:rPr>
          <w:bCs/>
          <w:sz w:val="20"/>
          <w:szCs w:val="20"/>
        </w:rPr>
        <w:tab/>
      </w:r>
      <w:r w:rsidRPr="00F7263B">
        <w:rPr>
          <w:bCs/>
          <w:sz w:val="20"/>
          <w:szCs w:val="20"/>
        </w:rPr>
        <w:tab/>
      </w:r>
      <w:r w:rsidRPr="00F7263B">
        <w:rPr>
          <w:rFonts w:cs="Times New Roman"/>
          <w:bCs/>
          <w:sz w:val="20"/>
          <w:szCs w:val="20"/>
        </w:rPr>
        <w:t>Environm</w:t>
      </w:r>
      <w:r w:rsidRPr="00F7263B">
        <w:rPr>
          <w:bCs/>
          <w:sz w:val="20"/>
          <w:szCs w:val="20"/>
        </w:rPr>
        <w:t>ent and Social Management Plan</w:t>
      </w:r>
    </w:p>
    <w:p w:rsidR="00E03921" w:rsidRPr="00F7263B" w:rsidRDefault="00E03921" w:rsidP="00E03921">
      <w:pPr>
        <w:ind w:left="2160" w:hanging="1620"/>
        <w:rPr>
          <w:rFonts w:cs="Times New Roman"/>
          <w:sz w:val="20"/>
          <w:szCs w:val="20"/>
        </w:rPr>
      </w:pPr>
      <w:r w:rsidRPr="00F7263B">
        <w:rPr>
          <w:sz w:val="20"/>
          <w:szCs w:val="20"/>
        </w:rPr>
        <w:t>ESSA</w:t>
      </w:r>
      <w:r w:rsidRPr="00F7263B">
        <w:rPr>
          <w:sz w:val="20"/>
          <w:szCs w:val="20"/>
        </w:rPr>
        <w:tab/>
      </w:r>
      <w:r w:rsidRPr="00F7263B">
        <w:rPr>
          <w:rFonts w:cs="Times New Roman"/>
          <w:sz w:val="20"/>
          <w:szCs w:val="20"/>
        </w:rPr>
        <w:t>Environment and Social Systems Assessment</w:t>
      </w:r>
    </w:p>
    <w:p w:rsidR="00E03921" w:rsidRPr="00F7263B" w:rsidRDefault="00E03921" w:rsidP="00E03921">
      <w:pPr>
        <w:ind w:firstLine="540"/>
        <w:rPr>
          <w:sz w:val="20"/>
          <w:szCs w:val="20"/>
        </w:rPr>
      </w:pPr>
      <w:r w:rsidRPr="00F7263B">
        <w:rPr>
          <w:rFonts w:eastAsia="Times New Roman"/>
          <w:color w:val="000000"/>
          <w:sz w:val="20"/>
          <w:szCs w:val="20"/>
        </w:rPr>
        <w:t>FEACC</w:t>
      </w:r>
      <w:r w:rsidRPr="00F7263B">
        <w:rPr>
          <w:rFonts w:eastAsia="Times New Roman"/>
          <w:color w:val="000000"/>
          <w:sz w:val="20"/>
          <w:szCs w:val="20"/>
        </w:rPr>
        <w:tab/>
      </w:r>
      <w:r w:rsidRPr="00F7263B">
        <w:rPr>
          <w:rFonts w:eastAsia="Times New Roman"/>
          <w:color w:val="000000"/>
          <w:sz w:val="20"/>
          <w:szCs w:val="20"/>
        </w:rPr>
        <w:tab/>
        <w:t>Federal Ethics and Anti-Corruption Commission</w:t>
      </w:r>
    </w:p>
    <w:p w:rsidR="00E03921" w:rsidRPr="00F7263B" w:rsidRDefault="00E03921" w:rsidP="00E03921">
      <w:pPr>
        <w:ind w:left="2160" w:hanging="1620"/>
        <w:rPr>
          <w:sz w:val="20"/>
          <w:szCs w:val="20"/>
        </w:rPr>
      </w:pPr>
      <w:r w:rsidRPr="00F7263B">
        <w:rPr>
          <w:sz w:val="20"/>
          <w:szCs w:val="20"/>
        </w:rPr>
        <w:t>GIZ</w:t>
      </w:r>
      <w:r w:rsidRPr="00F7263B">
        <w:rPr>
          <w:sz w:val="20"/>
          <w:szCs w:val="20"/>
        </w:rPr>
        <w:tab/>
        <w:t>Deutsche Gesellschaft</w:t>
      </w:r>
      <w:r w:rsidR="004D2289">
        <w:rPr>
          <w:sz w:val="20"/>
          <w:szCs w:val="20"/>
        </w:rPr>
        <w:t xml:space="preserve"> </w:t>
      </w:r>
      <w:r w:rsidRPr="00F7263B">
        <w:rPr>
          <w:sz w:val="20"/>
          <w:szCs w:val="20"/>
        </w:rPr>
        <w:t>für</w:t>
      </w:r>
      <w:r w:rsidR="004D2289">
        <w:rPr>
          <w:sz w:val="20"/>
          <w:szCs w:val="20"/>
        </w:rPr>
        <w:t xml:space="preserve"> </w:t>
      </w:r>
      <w:r w:rsidRPr="00F7263B">
        <w:rPr>
          <w:sz w:val="20"/>
          <w:szCs w:val="20"/>
        </w:rPr>
        <w:t>Internationale</w:t>
      </w:r>
      <w:r w:rsidR="004D2289">
        <w:rPr>
          <w:sz w:val="20"/>
          <w:szCs w:val="20"/>
        </w:rPr>
        <w:t xml:space="preserve"> </w:t>
      </w:r>
      <w:r w:rsidRPr="00F7263B">
        <w:rPr>
          <w:sz w:val="20"/>
          <w:szCs w:val="20"/>
        </w:rPr>
        <w:t>Zusammenarbeit (German Society for International Cooperation)</w:t>
      </w:r>
    </w:p>
    <w:p w:rsidR="00E03921" w:rsidRPr="00F7263B" w:rsidRDefault="00E03921" w:rsidP="00E03921">
      <w:pPr>
        <w:ind w:left="2160" w:hanging="1620"/>
        <w:rPr>
          <w:sz w:val="20"/>
          <w:szCs w:val="20"/>
        </w:rPr>
      </w:pPr>
      <w:r w:rsidRPr="00F7263B">
        <w:rPr>
          <w:sz w:val="20"/>
          <w:szCs w:val="20"/>
        </w:rPr>
        <w:t>GTP</w:t>
      </w:r>
      <w:r w:rsidRPr="00F7263B">
        <w:rPr>
          <w:sz w:val="20"/>
          <w:szCs w:val="20"/>
        </w:rPr>
        <w:tab/>
        <w:t>Growth and Transformation Plan</w:t>
      </w:r>
    </w:p>
    <w:p w:rsidR="00E03921" w:rsidRPr="00F7263B" w:rsidRDefault="00E03921" w:rsidP="00E03921">
      <w:pPr>
        <w:ind w:left="2160" w:hanging="1620"/>
        <w:rPr>
          <w:sz w:val="20"/>
          <w:szCs w:val="20"/>
        </w:rPr>
      </w:pPr>
      <w:r w:rsidRPr="00F7263B">
        <w:rPr>
          <w:sz w:val="20"/>
          <w:szCs w:val="20"/>
        </w:rPr>
        <w:t>IBEX</w:t>
      </w:r>
      <w:r w:rsidRPr="00F7263B">
        <w:rPr>
          <w:sz w:val="20"/>
          <w:szCs w:val="20"/>
        </w:rPr>
        <w:tab/>
      </w:r>
      <w:r w:rsidRPr="00F7263B">
        <w:rPr>
          <w:rFonts w:cs="Times New Roman"/>
          <w:sz w:val="20"/>
          <w:szCs w:val="20"/>
        </w:rPr>
        <w:t xml:space="preserve">Integrated Budget and Expenditure </w:t>
      </w:r>
    </w:p>
    <w:p w:rsidR="00E03921" w:rsidRPr="00F7263B" w:rsidRDefault="00E03921" w:rsidP="00E03921">
      <w:pPr>
        <w:ind w:left="2160" w:hanging="1620"/>
        <w:rPr>
          <w:sz w:val="20"/>
          <w:szCs w:val="20"/>
        </w:rPr>
      </w:pPr>
      <w:r w:rsidRPr="00F7263B">
        <w:rPr>
          <w:sz w:val="20"/>
          <w:szCs w:val="20"/>
        </w:rPr>
        <w:t>IDA</w:t>
      </w:r>
      <w:r w:rsidRPr="00F7263B">
        <w:rPr>
          <w:sz w:val="20"/>
          <w:szCs w:val="20"/>
        </w:rPr>
        <w:tab/>
        <w:t>International Development Association</w:t>
      </w:r>
    </w:p>
    <w:p w:rsidR="00E03921" w:rsidRPr="00F7263B" w:rsidRDefault="00E03921" w:rsidP="00E03921">
      <w:pPr>
        <w:ind w:left="2160" w:hanging="1620"/>
        <w:rPr>
          <w:sz w:val="20"/>
          <w:szCs w:val="20"/>
        </w:rPr>
      </w:pPr>
      <w:r w:rsidRPr="00F7263B">
        <w:rPr>
          <w:sz w:val="20"/>
          <w:szCs w:val="20"/>
        </w:rPr>
        <w:t>IFMIS</w:t>
      </w:r>
      <w:r w:rsidRPr="00F7263B">
        <w:rPr>
          <w:sz w:val="20"/>
          <w:szCs w:val="20"/>
        </w:rPr>
        <w:tab/>
        <w:t>Integrated financial management information system</w:t>
      </w:r>
    </w:p>
    <w:p w:rsidR="00E03921" w:rsidRPr="00F7263B" w:rsidRDefault="00E03921" w:rsidP="00E03921">
      <w:pPr>
        <w:ind w:left="2160" w:hanging="1620"/>
        <w:rPr>
          <w:sz w:val="20"/>
          <w:szCs w:val="20"/>
        </w:rPr>
      </w:pPr>
      <w:r w:rsidRPr="00F7263B">
        <w:rPr>
          <w:sz w:val="20"/>
          <w:szCs w:val="20"/>
        </w:rPr>
        <w:t>IPA</w:t>
      </w:r>
      <w:r w:rsidRPr="00F7263B">
        <w:rPr>
          <w:sz w:val="20"/>
          <w:szCs w:val="20"/>
        </w:rPr>
        <w:tab/>
        <w:t>Independent procurement audit</w:t>
      </w:r>
    </w:p>
    <w:p w:rsidR="00E03921" w:rsidRPr="00F7263B" w:rsidRDefault="00E03921" w:rsidP="00E03921">
      <w:pPr>
        <w:ind w:left="540"/>
        <w:rPr>
          <w:sz w:val="20"/>
          <w:szCs w:val="20"/>
        </w:rPr>
      </w:pPr>
      <w:r w:rsidRPr="00F7263B">
        <w:rPr>
          <w:sz w:val="20"/>
          <w:szCs w:val="20"/>
        </w:rPr>
        <w:t>MDGs</w:t>
      </w:r>
      <w:r w:rsidRPr="00F7263B">
        <w:rPr>
          <w:sz w:val="20"/>
          <w:szCs w:val="20"/>
        </w:rPr>
        <w:tab/>
      </w:r>
      <w:r w:rsidRPr="00F7263B">
        <w:rPr>
          <w:sz w:val="20"/>
          <w:szCs w:val="20"/>
        </w:rPr>
        <w:tab/>
        <w:t>Millennium Development Goals</w:t>
      </w:r>
    </w:p>
    <w:p w:rsidR="00E03921" w:rsidRPr="00F7263B" w:rsidRDefault="00E03921" w:rsidP="00E03921">
      <w:pPr>
        <w:ind w:left="540"/>
        <w:rPr>
          <w:sz w:val="20"/>
          <w:szCs w:val="20"/>
        </w:rPr>
      </w:pPr>
      <w:r w:rsidRPr="00F7263B">
        <w:rPr>
          <w:sz w:val="20"/>
          <w:szCs w:val="20"/>
        </w:rPr>
        <w:t>M&amp;E</w:t>
      </w:r>
      <w:r w:rsidRPr="00F7263B">
        <w:rPr>
          <w:sz w:val="20"/>
          <w:szCs w:val="20"/>
        </w:rPr>
        <w:tab/>
      </w:r>
      <w:r w:rsidRPr="00F7263B">
        <w:rPr>
          <w:sz w:val="20"/>
          <w:szCs w:val="20"/>
        </w:rPr>
        <w:tab/>
        <w:t>Monitoring and evaluation</w:t>
      </w:r>
    </w:p>
    <w:p w:rsidR="00E03921" w:rsidRPr="00F7263B" w:rsidRDefault="00E03921" w:rsidP="00E03921">
      <w:pPr>
        <w:ind w:left="540"/>
        <w:rPr>
          <w:sz w:val="20"/>
          <w:szCs w:val="20"/>
        </w:rPr>
      </w:pPr>
      <w:r w:rsidRPr="00F7263B">
        <w:rPr>
          <w:sz w:val="20"/>
          <w:szCs w:val="20"/>
        </w:rPr>
        <w:t>MoFED</w:t>
      </w:r>
      <w:r w:rsidRPr="00F7263B">
        <w:rPr>
          <w:sz w:val="20"/>
          <w:szCs w:val="20"/>
        </w:rPr>
        <w:tab/>
      </w:r>
      <w:r w:rsidRPr="00F7263B">
        <w:rPr>
          <w:sz w:val="20"/>
          <w:szCs w:val="20"/>
        </w:rPr>
        <w:tab/>
        <w:t>Ministry of Finance and Economic Development</w:t>
      </w:r>
    </w:p>
    <w:p w:rsidR="00E03921" w:rsidRPr="00F7263B" w:rsidRDefault="00E03921" w:rsidP="00E03921">
      <w:pPr>
        <w:ind w:left="540"/>
        <w:rPr>
          <w:sz w:val="20"/>
          <w:szCs w:val="20"/>
        </w:rPr>
      </w:pPr>
      <w:r w:rsidRPr="00F7263B">
        <w:rPr>
          <w:sz w:val="20"/>
          <w:szCs w:val="20"/>
        </w:rPr>
        <w:t>MSE</w:t>
      </w:r>
      <w:r w:rsidRPr="00F7263B">
        <w:rPr>
          <w:sz w:val="20"/>
          <w:szCs w:val="20"/>
        </w:rPr>
        <w:tab/>
      </w:r>
      <w:r w:rsidRPr="00F7263B">
        <w:rPr>
          <w:sz w:val="20"/>
          <w:szCs w:val="20"/>
        </w:rPr>
        <w:tab/>
        <w:t>Micro and small enterprises</w:t>
      </w:r>
    </w:p>
    <w:p w:rsidR="00E03921" w:rsidRPr="00F7263B" w:rsidRDefault="00E03921" w:rsidP="00E03921">
      <w:pPr>
        <w:ind w:left="540"/>
        <w:rPr>
          <w:sz w:val="20"/>
          <w:szCs w:val="20"/>
        </w:rPr>
      </w:pPr>
      <w:r w:rsidRPr="00F7263B">
        <w:rPr>
          <w:sz w:val="20"/>
          <w:szCs w:val="20"/>
        </w:rPr>
        <w:t>MUDHCo</w:t>
      </w:r>
      <w:r w:rsidRPr="00F7263B">
        <w:rPr>
          <w:sz w:val="20"/>
          <w:szCs w:val="20"/>
        </w:rPr>
        <w:tab/>
        <w:t xml:space="preserve">Ministry of Urban Development, Housing, and Construction </w:t>
      </w:r>
    </w:p>
    <w:p w:rsidR="00E03921" w:rsidRPr="00F7263B" w:rsidRDefault="00E03921" w:rsidP="00E03921">
      <w:pPr>
        <w:ind w:firstLine="540"/>
        <w:rPr>
          <w:sz w:val="20"/>
          <w:szCs w:val="20"/>
        </w:rPr>
      </w:pPr>
      <w:r w:rsidRPr="00F7263B">
        <w:rPr>
          <w:sz w:val="20"/>
          <w:szCs w:val="20"/>
        </w:rPr>
        <w:t>NPV</w:t>
      </w:r>
      <w:r w:rsidRPr="00F7263B">
        <w:rPr>
          <w:sz w:val="20"/>
          <w:szCs w:val="20"/>
        </w:rPr>
        <w:tab/>
      </w:r>
      <w:r w:rsidRPr="00F7263B">
        <w:rPr>
          <w:sz w:val="20"/>
          <w:szCs w:val="20"/>
        </w:rPr>
        <w:tab/>
        <w:t>N</w:t>
      </w:r>
      <w:r w:rsidRPr="00F7263B">
        <w:rPr>
          <w:rFonts w:cs="Times New Roman"/>
          <w:sz w:val="20"/>
          <w:szCs w:val="20"/>
        </w:rPr>
        <w:t>et present value</w:t>
      </w:r>
    </w:p>
    <w:p w:rsidR="00E03921" w:rsidRPr="00F7263B" w:rsidRDefault="00E03921" w:rsidP="00E03921">
      <w:pPr>
        <w:ind w:firstLine="540"/>
        <w:rPr>
          <w:sz w:val="20"/>
          <w:szCs w:val="20"/>
        </w:rPr>
      </w:pPr>
      <w:r w:rsidRPr="00F7263B">
        <w:rPr>
          <w:sz w:val="20"/>
          <w:szCs w:val="20"/>
        </w:rPr>
        <w:t>OFAG</w:t>
      </w:r>
      <w:r w:rsidRPr="00F7263B">
        <w:rPr>
          <w:sz w:val="20"/>
          <w:szCs w:val="20"/>
        </w:rPr>
        <w:tab/>
      </w:r>
      <w:r w:rsidRPr="00F7263B">
        <w:rPr>
          <w:sz w:val="20"/>
          <w:szCs w:val="20"/>
        </w:rPr>
        <w:tab/>
      </w:r>
      <w:r w:rsidRPr="00F7263B">
        <w:rPr>
          <w:rFonts w:cs="Times New Roman"/>
          <w:sz w:val="20"/>
          <w:szCs w:val="20"/>
        </w:rPr>
        <w:t xml:space="preserve">Office of </w:t>
      </w:r>
      <w:r w:rsidRPr="00F7263B">
        <w:rPr>
          <w:sz w:val="20"/>
          <w:szCs w:val="20"/>
        </w:rPr>
        <w:t>Federal</w:t>
      </w:r>
      <w:r w:rsidR="004D2289">
        <w:rPr>
          <w:sz w:val="20"/>
          <w:szCs w:val="20"/>
        </w:rPr>
        <w:t xml:space="preserve"> </w:t>
      </w:r>
      <w:r w:rsidRPr="00F7263B">
        <w:rPr>
          <w:rFonts w:cs="Times New Roman"/>
          <w:sz w:val="20"/>
          <w:szCs w:val="20"/>
        </w:rPr>
        <w:t>Auditor General</w:t>
      </w:r>
    </w:p>
    <w:p w:rsidR="00E03921" w:rsidRPr="00F7263B" w:rsidRDefault="00E03921" w:rsidP="00E03921">
      <w:pPr>
        <w:ind w:firstLine="540"/>
        <w:rPr>
          <w:sz w:val="20"/>
          <w:szCs w:val="20"/>
        </w:rPr>
      </w:pPr>
      <w:r w:rsidRPr="00F7263B">
        <w:rPr>
          <w:sz w:val="20"/>
          <w:szCs w:val="20"/>
        </w:rPr>
        <w:t>O&amp;M</w:t>
      </w:r>
      <w:r w:rsidRPr="00F7263B">
        <w:rPr>
          <w:sz w:val="20"/>
          <w:szCs w:val="20"/>
        </w:rPr>
        <w:tab/>
      </w:r>
      <w:r w:rsidRPr="00F7263B">
        <w:rPr>
          <w:sz w:val="20"/>
          <w:szCs w:val="20"/>
        </w:rPr>
        <w:tab/>
        <w:t>Operations and maintenance</w:t>
      </w:r>
    </w:p>
    <w:p w:rsidR="00E03921" w:rsidRPr="00F7263B" w:rsidRDefault="00E03921" w:rsidP="00E03921">
      <w:pPr>
        <w:ind w:firstLine="540"/>
        <w:rPr>
          <w:color w:val="000000"/>
          <w:sz w:val="20"/>
          <w:szCs w:val="20"/>
        </w:rPr>
      </w:pPr>
      <w:r w:rsidRPr="00F7263B">
        <w:rPr>
          <w:sz w:val="20"/>
          <w:szCs w:val="20"/>
        </w:rPr>
        <w:t>ORAG</w:t>
      </w:r>
      <w:r w:rsidRPr="00F7263B">
        <w:rPr>
          <w:sz w:val="20"/>
          <w:szCs w:val="20"/>
        </w:rPr>
        <w:tab/>
      </w:r>
      <w:r w:rsidRPr="00F7263B">
        <w:rPr>
          <w:sz w:val="20"/>
          <w:szCs w:val="20"/>
        </w:rPr>
        <w:tab/>
      </w:r>
      <w:r w:rsidRPr="00F7263B">
        <w:rPr>
          <w:rFonts w:cs="Times New Roman"/>
          <w:sz w:val="20"/>
          <w:szCs w:val="20"/>
        </w:rPr>
        <w:t>Office of Regional Auditor General</w:t>
      </w:r>
    </w:p>
    <w:p w:rsidR="00E03921" w:rsidRPr="00F7263B" w:rsidRDefault="00E03921" w:rsidP="00E03921">
      <w:pPr>
        <w:ind w:firstLine="540"/>
        <w:rPr>
          <w:color w:val="000000"/>
          <w:sz w:val="20"/>
          <w:szCs w:val="20"/>
        </w:rPr>
      </w:pPr>
      <w:r w:rsidRPr="00F7263B">
        <w:rPr>
          <w:color w:val="000000"/>
          <w:sz w:val="20"/>
          <w:szCs w:val="20"/>
        </w:rPr>
        <w:t>PAP</w:t>
      </w:r>
      <w:r w:rsidRPr="00F7263B">
        <w:rPr>
          <w:color w:val="000000"/>
          <w:sz w:val="20"/>
          <w:szCs w:val="20"/>
        </w:rPr>
        <w:tab/>
      </w:r>
      <w:r w:rsidRPr="00F7263B">
        <w:rPr>
          <w:color w:val="000000"/>
          <w:sz w:val="20"/>
          <w:szCs w:val="20"/>
        </w:rPr>
        <w:tab/>
      </w:r>
      <w:r w:rsidRPr="00F7263B">
        <w:rPr>
          <w:rFonts w:eastAsia="Calibri"/>
          <w:sz w:val="20"/>
          <w:szCs w:val="20"/>
        </w:rPr>
        <w:t>Program A</w:t>
      </w:r>
      <w:r w:rsidRPr="00F7263B">
        <w:rPr>
          <w:rFonts w:eastAsia="Calibri" w:cs="Times New Roman"/>
          <w:sz w:val="20"/>
          <w:szCs w:val="20"/>
        </w:rPr>
        <w:t>ction Plan</w:t>
      </w:r>
    </w:p>
    <w:p w:rsidR="00E03921" w:rsidRPr="00F7263B" w:rsidRDefault="00E03921" w:rsidP="00E03921">
      <w:pPr>
        <w:ind w:firstLine="540"/>
        <w:rPr>
          <w:sz w:val="20"/>
          <w:szCs w:val="20"/>
        </w:rPr>
      </w:pPr>
      <w:r w:rsidRPr="00F7263B">
        <w:rPr>
          <w:color w:val="000000"/>
          <w:sz w:val="20"/>
          <w:szCs w:val="20"/>
        </w:rPr>
        <w:t>PDO</w:t>
      </w:r>
      <w:r w:rsidRPr="00F7263B">
        <w:rPr>
          <w:color w:val="000000"/>
          <w:sz w:val="20"/>
          <w:szCs w:val="20"/>
        </w:rPr>
        <w:tab/>
      </w:r>
      <w:r w:rsidRPr="00F7263B">
        <w:rPr>
          <w:color w:val="000000"/>
          <w:sz w:val="20"/>
          <w:szCs w:val="20"/>
        </w:rPr>
        <w:tab/>
        <w:t>Program Development Objective</w:t>
      </w:r>
    </w:p>
    <w:p w:rsidR="00E03921" w:rsidRPr="00F7263B" w:rsidRDefault="00E03921" w:rsidP="00E03921">
      <w:pPr>
        <w:ind w:firstLine="540"/>
        <w:rPr>
          <w:sz w:val="20"/>
          <w:szCs w:val="20"/>
        </w:rPr>
      </w:pPr>
      <w:r w:rsidRPr="00F7263B">
        <w:rPr>
          <w:sz w:val="20"/>
          <w:szCs w:val="20"/>
        </w:rPr>
        <w:t>PEFA</w:t>
      </w:r>
      <w:r w:rsidRPr="00F7263B">
        <w:rPr>
          <w:sz w:val="20"/>
          <w:szCs w:val="20"/>
        </w:rPr>
        <w:tab/>
      </w:r>
      <w:r w:rsidRPr="00F7263B">
        <w:rPr>
          <w:sz w:val="20"/>
          <w:szCs w:val="20"/>
        </w:rPr>
        <w:tab/>
        <w:t xml:space="preserve">Public Expenditure and Financial Accounting </w:t>
      </w:r>
    </w:p>
    <w:p w:rsidR="00E03921" w:rsidRPr="00F7263B" w:rsidRDefault="00E03921" w:rsidP="00E03921">
      <w:pPr>
        <w:ind w:firstLine="540"/>
        <w:rPr>
          <w:sz w:val="20"/>
          <w:szCs w:val="20"/>
        </w:rPr>
      </w:pPr>
      <w:r w:rsidRPr="00F7263B">
        <w:rPr>
          <w:sz w:val="20"/>
          <w:szCs w:val="20"/>
        </w:rPr>
        <w:t>PFM</w:t>
      </w:r>
      <w:r w:rsidRPr="00F7263B">
        <w:rPr>
          <w:sz w:val="20"/>
          <w:szCs w:val="20"/>
        </w:rPr>
        <w:tab/>
      </w:r>
      <w:r w:rsidRPr="00F7263B">
        <w:rPr>
          <w:sz w:val="20"/>
          <w:szCs w:val="20"/>
        </w:rPr>
        <w:tab/>
        <w:t>Public Financial Management</w:t>
      </w:r>
    </w:p>
    <w:p w:rsidR="00E03921" w:rsidRPr="00F7263B" w:rsidRDefault="00E03921" w:rsidP="00E03921">
      <w:pPr>
        <w:ind w:firstLine="540"/>
        <w:rPr>
          <w:sz w:val="20"/>
          <w:szCs w:val="20"/>
        </w:rPr>
      </w:pPr>
      <w:r w:rsidRPr="00F7263B">
        <w:rPr>
          <w:sz w:val="20"/>
          <w:szCs w:val="20"/>
        </w:rPr>
        <w:t>PforR</w:t>
      </w:r>
      <w:r w:rsidRPr="00F7263B">
        <w:rPr>
          <w:sz w:val="20"/>
          <w:szCs w:val="20"/>
        </w:rPr>
        <w:tab/>
      </w:r>
      <w:r w:rsidRPr="00F7263B">
        <w:rPr>
          <w:sz w:val="20"/>
          <w:szCs w:val="20"/>
        </w:rPr>
        <w:tab/>
        <w:t>Program for Results</w:t>
      </w:r>
    </w:p>
    <w:p w:rsidR="00E03921" w:rsidRPr="00F7263B" w:rsidRDefault="00E03921" w:rsidP="00E03921">
      <w:pPr>
        <w:ind w:firstLine="540"/>
        <w:rPr>
          <w:sz w:val="20"/>
          <w:szCs w:val="20"/>
        </w:rPr>
      </w:pPr>
      <w:r w:rsidRPr="00F7263B">
        <w:rPr>
          <w:sz w:val="20"/>
          <w:szCs w:val="20"/>
        </w:rPr>
        <w:t>PPA</w:t>
      </w:r>
      <w:r w:rsidRPr="00F7263B">
        <w:rPr>
          <w:sz w:val="20"/>
          <w:szCs w:val="20"/>
        </w:rPr>
        <w:tab/>
      </w:r>
      <w:r w:rsidRPr="00F7263B">
        <w:rPr>
          <w:sz w:val="20"/>
          <w:szCs w:val="20"/>
        </w:rPr>
        <w:tab/>
      </w:r>
      <w:r w:rsidRPr="00F7263B">
        <w:rPr>
          <w:rFonts w:cs="Times New Roman"/>
          <w:sz w:val="20"/>
          <w:szCs w:val="20"/>
        </w:rPr>
        <w:t xml:space="preserve">Participatory Performance Agreement </w:t>
      </w:r>
    </w:p>
    <w:p w:rsidR="00E03921" w:rsidRPr="00F7263B" w:rsidRDefault="00E03921" w:rsidP="00E03921">
      <w:pPr>
        <w:ind w:firstLine="540"/>
        <w:rPr>
          <w:sz w:val="20"/>
          <w:szCs w:val="20"/>
        </w:rPr>
      </w:pPr>
      <w:r w:rsidRPr="00F7263B">
        <w:rPr>
          <w:sz w:val="20"/>
          <w:szCs w:val="20"/>
        </w:rPr>
        <w:t>PTC</w:t>
      </w:r>
      <w:r w:rsidRPr="00F7263B">
        <w:rPr>
          <w:sz w:val="20"/>
          <w:szCs w:val="20"/>
        </w:rPr>
        <w:tab/>
      </w:r>
      <w:r w:rsidRPr="00F7263B">
        <w:rPr>
          <w:sz w:val="20"/>
          <w:szCs w:val="20"/>
        </w:rPr>
        <w:tab/>
      </w:r>
      <w:r w:rsidRPr="00F7263B">
        <w:rPr>
          <w:rFonts w:cs="Times New Roman"/>
          <w:sz w:val="20"/>
          <w:szCs w:val="20"/>
        </w:rPr>
        <w:t>Program Technical Committee</w:t>
      </w:r>
    </w:p>
    <w:p w:rsidR="00E03921" w:rsidRPr="00F7263B" w:rsidRDefault="00E03921" w:rsidP="00E03921">
      <w:pPr>
        <w:ind w:firstLine="540"/>
        <w:rPr>
          <w:sz w:val="20"/>
          <w:szCs w:val="20"/>
        </w:rPr>
      </w:pPr>
      <w:r w:rsidRPr="00F7263B">
        <w:rPr>
          <w:rFonts w:cs="Times New Roman"/>
          <w:sz w:val="20"/>
          <w:szCs w:val="20"/>
        </w:rPr>
        <w:t>PSCAP</w:t>
      </w:r>
      <w:r w:rsidRPr="00F7263B">
        <w:rPr>
          <w:sz w:val="20"/>
          <w:szCs w:val="20"/>
        </w:rPr>
        <w:tab/>
      </w:r>
      <w:r w:rsidRPr="00F7263B">
        <w:rPr>
          <w:sz w:val="20"/>
          <w:szCs w:val="20"/>
        </w:rPr>
        <w:tab/>
      </w:r>
      <w:r w:rsidRPr="00F7263B">
        <w:rPr>
          <w:rFonts w:cs="Times New Roman"/>
          <w:sz w:val="20"/>
          <w:szCs w:val="20"/>
        </w:rPr>
        <w:t>Public Sector Capacity B</w:t>
      </w:r>
      <w:r w:rsidRPr="00F7263B">
        <w:rPr>
          <w:sz w:val="20"/>
          <w:szCs w:val="20"/>
        </w:rPr>
        <w:t>uilding Program Support Project</w:t>
      </w:r>
    </w:p>
    <w:p w:rsidR="00E03921" w:rsidRPr="00F7263B" w:rsidRDefault="00E03921" w:rsidP="00E03921">
      <w:pPr>
        <w:ind w:firstLine="540"/>
        <w:rPr>
          <w:sz w:val="20"/>
          <w:szCs w:val="20"/>
        </w:rPr>
      </w:pPr>
      <w:r w:rsidRPr="00F7263B">
        <w:rPr>
          <w:rFonts w:eastAsia="Times New Roman"/>
          <w:color w:val="000000"/>
          <w:sz w:val="20"/>
          <w:szCs w:val="20"/>
        </w:rPr>
        <w:t>REACC</w:t>
      </w:r>
      <w:r w:rsidRPr="00F7263B">
        <w:rPr>
          <w:rFonts w:eastAsia="Times New Roman"/>
          <w:color w:val="000000"/>
          <w:sz w:val="20"/>
          <w:szCs w:val="20"/>
        </w:rPr>
        <w:tab/>
      </w:r>
      <w:r w:rsidRPr="00F7263B">
        <w:rPr>
          <w:rFonts w:eastAsia="Times New Roman"/>
          <w:color w:val="000000"/>
          <w:sz w:val="20"/>
          <w:szCs w:val="20"/>
        </w:rPr>
        <w:tab/>
        <w:t>Regional Ethics and Anti-Corruption Commission</w:t>
      </w:r>
    </w:p>
    <w:p w:rsidR="00E03921" w:rsidRPr="00F7263B" w:rsidRDefault="00E03921" w:rsidP="00E03921">
      <w:pPr>
        <w:ind w:firstLine="540"/>
        <w:rPr>
          <w:rFonts w:cs="Times New Roman"/>
          <w:sz w:val="20"/>
          <w:szCs w:val="20"/>
        </w:rPr>
      </w:pPr>
      <w:r w:rsidRPr="00F7263B">
        <w:rPr>
          <w:rFonts w:cs="Times New Roman"/>
          <w:sz w:val="20"/>
          <w:szCs w:val="20"/>
        </w:rPr>
        <w:t>REP</w:t>
      </w:r>
      <w:r w:rsidRPr="00F7263B">
        <w:rPr>
          <w:rFonts w:cs="Times New Roman"/>
          <w:sz w:val="20"/>
          <w:szCs w:val="20"/>
        </w:rPr>
        <w:tab/>
      </w:r>
      <w:r w:rsidRPr="00F7263B">
        <w:rPr>
          <w:rFonts w:cs="Times New Roman"/>
          <w:sz w:val="20"/>
          <w:szCs w:val="20"/>
        </w:rPr>
        <w:tab/>
        <w:t>Revenue enhancement plan</w:t>
      </w:r>
    </w:p>
    <w:p w:rsidR="00E03921" w:rsidRPr="00F7263B" w:rsidRDefault="00E03921" w:rsidP="00E03921">
      <w:pPr>
        <w:ind w:firstLine="540"/>
        <w:rPr>
          <w:sz w:val="20"/>
          <w:szCs w:val="20"/>
        </w:rPr>
      </w:pPr>
      <w:r w:rsidRPr="00F7263B">
        <w:rPr>
          <w:rFonts w:cs="Times New Roman"/>
          <w:sz w:val="20"/>
          <w:szCs w:val="20"/>
        </w:rPr>
        <w:t>REPA</w:t>
      </w:r>
      <w:r w:rsidRPr="00F7263B">
        <w:rPr>
          <w:sz w:val="20"/>
          <w:szCs w:val="20"/>
        </w:rPr>
        <w:tab/>
      </w:r>
      <w:r w:rsidRPr="00F7263B">
        <w:rPr>
          <w:sz w:val="20"/>
          <w:szCs w:val="20"/>
        </w:rPr>
        <w:tab/>
      </w:r>
      <w:r w:rsidRPr="00F7263B">
        <w:rPr>
          <w:rFonts w:cs="Times New Roman"/>
          <w:sz w:val="20"/>
          <w:szCs w:val="20"/>
        </w:rPr>
        <w:t>Regional environmental protec</w:t>
      </w:r>
      <w:r w:rsidRPr="00F7263B">
        <w:rPr>
          <w:sz w:val="20"/>
          <w:szCs w:val="20"/>
        </w:rPr>
        <w:t>tion agency</w:t>
      </w:r>
    </w:p>
    <w:p w:rsidR="00E03921" w:rsidRPr="00F7263B" w:rsidRDefault="00E03921" w:rsidP="00E03921">
      <w:pPr>
        <w:ind w:firstLine="540"/>
        <w:rPr>
          <w:sz w:val="20"/>
          <w:szCs w:val="20"/>
        </w:rPr>
      </w:pPr>
      <w:r w:rsidRPr="00F7263B">
        <w:rPr>
          <w:rFonts w:eastAsia="Calibri"/>
          <w:sz w:val="20"/>
          <w:szCs w:val="20"/>
        </w:rPr>
        <w:t>RPPAs</w:t>
      </w:r>
      <w:r w:rsidRPr="00F7263B">
        <w:rPr>
          <w:rFonts w:eastAsia="Calibri"/>
          <w:sz w:val="20"/>
          <w:szCs w:val="20"/>
        </w:rPr>
        <w:tab/>
      </w:r>
      <w:r w:rsidRPr="00F7263B">
        <w:rPr>
          <w:rFonts w:eastAsia="Calibri"/>
          <w:sz w:val="20"/>
          <w:szCs w:val="20"/>
        </w:rPr>
        <w:tab/>
      </w:r>
      <w:r w:rsidRPr="00F7263B">
        <w:rPr>
          <w:rFonts w:eastAsia="Calibri" w:cs="Times New Roman"/>
          <w:sz w:val="20"/>
          <w:szCs w:val="20"/>
        </w:rPr>
        <w:t xml:space="preserve">Regional Public Procurement Agencies </w:t>
      </w:r>
    </w:p>
    <w:p w:rsidR="00E03921" w:rsidRPr="00F7263B" w:rsidRDefault="00E03921" w:rsidP="00E03921">
      <w:pPr>
        <w:ind w:firstLine="540"/>
        <w:rPr>
          <w:sz w:val="20"/>
          <w:szCs w:val="20"/>
        </w:rPr>
      </w:pPr>
      <w:r w:rsidRPr="00F7263B">
        <w:rPr>
          <w:rFonts w:cs="Times New Roman"/>
          <w:sz w:val="20"/>
          <w:szCs w:val="20"/>
        </w:rPr>
        <w:t>SNNP</w:t>
      </w:r>
      <w:r w:rsidRPr="00F7263B">
        <w:rPr>
          <w:sz w:val="20"/>
          <w:szCs w:val="20"/>
        </w:rPr>
        <w:tab/>
      </w:r>
      <w:r w:rsidRPr="00F7263B">
        <w:rPr>
          <w:sz w:val="20"/>
          <w:szCs w:val="20"/>
        </w:rPr>
        <w:tab/>
        <w:t>Southern Nations, Nationalities, and Peoples Region</w:t>
      </w:r>
    </w:p>
    <w:p w:rsidR="00E03921" w:rsidRPr="00F7263B" w:rsidRDefault="00E03921" w:rsidP="00E03921">
      <w:pPr>
        <w:ind w:firstLine="540"/>
        <w:rPr>
          <w:sz w:val="20"/>
          <w:szCs w:val="20"/>
        </w:rPr>
      </w:pPr>
      <w:r w:rsidRPr="00F7263B">
        <w:rPr>
          <w:sz w:val="20"/>
          <w:szCs w:val="20"/>
        </w:rPr>
        <w:t>UGCBB</w:t>
      </w:r>
      <w:r w:rsidRPr="00F7263B">
        <w:rPr>
          <w:sz w:val="20"/>
          <w:szCs w:val="20"/>
        </w:rPr>
        <w:tab/>
      </w:r>
      <w:r w:rsidRPr="00F7263B">
        <w:rPr>
          <w:sz w:val="20"/>
          <w:szCs w:val="20"/>
        </w:rPr>
        <w:tab/>
        <w:t>Urban Governance Capacity Building Bureau</w:t>
      </w:r>
    </w:p>
    <w:p w:rsidR="00E03921" w:rsidRPr="00F7263B" w:rsidRDefault="00E03921" w:rsidP="00E03921">
      <w:pPr>
        <w:ind w:left="540"/>
        <w:rPr>
          <w:sz w:val="20"/>
          <w:szCs w:val="20"/>
        </w:rPr>
      </w:pPr>
      <w:r w:rsidRPr="00F7263B">
        <w:rPr>
          <w:sz w:val="20"/>
          <w:szCs w:val="20"/>
        </w:rPr>
        <w:t>ULG</w:t>
      </w:r>
      <w:r w:rsidRPr="00F7263B">
        <w:rPr>
          <w:sz w:val="20"/>
          <w:szCs w:val="20"/>
        </w:rPr>
        <w:tab/>
      </w:r>
      <w:r w:rsidRPr="00F7263B">
        <w:rPr>
          <w:sz w:val="20"/>
          <w:szCs w:val="20"/>
        </w:rPr>
        <w:tab/>
        <w:t>Urban Local Government</w:t>
      </w:r>
    </w:p>
    <w:p w:rsidR="00E03921" w:rsidRPr="00F7263B" w:rsidRDefault="00E03921" w:rsidP="00E03921">
      <w:pPr>
        <w:ind w:left="540"/>
        <w:rPr>
          <w:sz w:val="20"/>
          <w:szCs w:val="20"/>
        </w:rPr>
      </w:pPr>
      <w:r w:rsidRPr="00F7263B">
        <w:rPr>
          <w:sz w:val="20"/>
          <w:szCs w:val="20"/>
        </w:rPr>
        <w:lastRenderedPageBreak/>
        <w:t>ULGDP</w:t>
      </w:r>
      <w:r w:rsidRPr="00F7263B">
        <w:rPr>
          <w:sz w:val="20"/>
          <w:szCs w:val="20"/>
        </w:rPr>
        <w:tab/>
      </w:r>
      <w:r w:rsidRPr="00F7263B">
        <w:rPr>
          <w:sz w:val="20"/>
          <w:szCs w:val="20"/>
        </w:rPr>
        <w:tab/>
        <w:t>Urban Local Government Development program</w:t>
      </w:r>
    </w:p>
    <w:p w:rsidR="00E03921" w:rsidRPr="00F7263B" w:rsidRDefault="00E03921" w:rsidP="00E03921">
      <w:pPr>
        <w:ind w:left="540"/>
        <w:rPr>
          <w:sz w:val="20"/>
          <w:szCs w:val="20"/>
        </w:rPr>
      </w:pPr>
      <w:r w:rsidRPr="00F7263B">
        <w:rPr>
          <w:sz w:val="20"/>
          <w:szCs w:val="20"/>
        </w:rPr>
        <w:t>ULGDP II</w:t>
      </w:r>
      <w:r w:rsidRPr="00F7263B">
        <w:rPr>
          <w:sz w:val="20"/>
          <w:szCs w:val="20"/>
        </w:rPr>
        <w:tab/>
        <w:t>Second Urban Local Government Development Program</w:t>
      </w:r>
    </w:p>
    <w:p w:rsidR="00E03921" w:rsidRPr="00F7263B" w:rsidRDefault="00E03921" w:rsidP="00E03921">
      <w:pPr>
        <w:ind w:left="540"/>
        <w:rPr>
          <w:sz w:val="20"/>
          <w:szCs w:val="20"/>
        </w:rPr>
      </w:pPr>
      <w:r w:rsidRPr="00F7263B">
        <w:rPr>
          <w:rFonts w:cs="Times New Roman"/>
          <w:sz w:val="20"/>
          <w:szCs w:val="20"/>
        </w:rPr>
        <w:t>ULGSP</w:t>
      </w:r>
      <w:r w:rsidRPr="00F7263B">
        <w:rPr>
          <w:sz w:val="20"/>
          <w:szCs w:val="20"/>
        </w:rPr>
        <w:tab/>
      </w:r>
      <w:r w:rsidRPr="00F7263B">
        <w:rPr>
          <w:sz w:val="20"/>
          <w:szCs w:val="20"/>
        </w:rPr>
        <w:tab/>
        <w:t xml:space="preserve">Tanzania </w:t>
      </w:r>
      <w:r w:rsidRPr="00F7263B">
        <w:rPr>
          <w:rFonts w:cs="Times New Roman"/>
          <w:sz w:val="20"/>
          <w:szCs w:val="20"/>
        </w:rPr>
        <w:t>Urban Local Government Strengthening</w:t>
      </w:r>
      <w:r w:rsidR="004D2289">
        <w:rPr>
          <w:rFonts w:cs="Times New Roman"/>
          <w:sz w:val="20"/>
          <w:szCs w:val="20"/>
        </w:rPr>
        <w:t xml:space="preserve"> </w:t>
      </w:r>
      <w:r w:rsidRPr="00F7263B">
        <w:rPr>
          <w:sz w:val="20"/>
          <w:szCs w:val="20"/>
        </w:rPr>
        <w:t>Program</w:t>
      </w:r>
    </w:p>
    <w:p w:rsidR="00E03921" w:rsidRPr="00F7263B" w:rsidRDefault="00E03921" w:rsidP="00556F1B">
      <w:pPr>
        <w:jc w:val="both"/>
        <w:rPr>
          <w:sz w:val="20"/>
          <w:szCs w:val="20"/>
        </w:rPr>
      </w:pPr>
    </w:p>
    <w:p w:rsidR="00E03921" w:rsidRPr="00F7263B" w:rsidRDefault="00E03921" w:rsidP="00556F1B">
      <w:pPr>
        <w:jc w:val="both"/>
        <w:rPr>
          <w:sz w:val="20"/>
          <w:szCs w:val="20"/>
        </w:rPr>
      </w:pPr>
    </w:p>
    <w:p w:rsidR="00E03921" w:rsidRPr="00F7263B" w:rsidRDefault="00E03921" w:rsidP="00556F1B">
      <w:pPr>
        <w:jc w:val="both"/>
        <w:rPr>
          <w:sz w:val="20"/>
          <w:szCs w:val="20"/>
        </w:rPr>
      </w:pPr>
    </w:p>
    <w:p w:rsidR="000935A0" w:rsidRPr="00F7263B" w:rsidRDefault="000935A0" w:rsidP="00556F1B">
      <w:pPr>
        <w:jc w:val="both"/>
        <w:rPr>
          <w:rFonts w:cs="Times New Roman"/>
          <w:sz w:val="20"/>
          <w:szCs w:val="20"/>
        </w:rPr>
      </w:pPr>
    </w:p>
    <w:p w:rsidR="00C82994" w:rsidRPr="00F7263B" w:rsidRDefault="00C82994" w:rsidP="00556F1B">
      <w:pPr>
        <w:jc w:val="both"/>
        <w:rPr>
          <w:rFonts w:cs="Times New Roman"/>
          <w:sz w:val="20"/>
          <w:szCs w:val="20"/>
        </w:rPr>
      </w:pPr>
    </w:p>
    <w:p w:rsidR="00C82994" w:rsidRPr="00F7263B" w:rsidRDefault="00C82994" w:rsidP="00556F1B">
      <w:pPr>
        <w:jc w:val="both"/>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7"/>
        <w:gridCol w:w="368"/>
        <w:gridCol w:w="4551"/>
      </w:tblGrid>
      <w:tr w:rsidR="00C82994" w:rsidRPr="00F7263B">
        <w:tc>
          <w:tcPr>
            <w:tcW w:w="2432" w:type="pct"/>
          </w:tcPr>
          <w:p w:rsidR="00C82994" w:rsidRPr="00F7263B" w:rsidRDefault="00C82994" w:rsidP="000F6BF2">
            <w:pPr>
              <w:autoSpaceDE w:val="0"/>
              <w:autoSpaceDN w:val="0"/>
              <w:adjustRightInd w:val="0"/>
              <w:jc w:val="right"/>
              <w:rPr>
                <w:rFonts w:cs="Times New Roman"/>
                <w:color w:val="000000"/>
                <w:sz w:val="20"/>
                <w:szCs w:val="20"/>
              </w:rPr>
            </w:pPr>
            <w:r w:rsidRPr="00F7263B">
              <w:rPr>
                <w:rFonts w:cs="Times New Roman"/>
                <w:color w:val="000000"/>
                <w:sz w:val="20"/>
                <w:szCs w:val="20"/>
              </w:rPr>
              <w:t>Vice President:</w:t>
            </w:r>
          </w:p>
        </w:tc>
        <w:tc>
          <w:tcPr>
            <w:tcW w:w="192" w:type="pct"/>
          </w:tcPr>
          <w:p w:rsidR="00C82994" w:rsidRPr="00F7263B" w:rsidRDefault="00C82994" w:rsidP="00556F1B">
            <w:pPr>
              <w:autoSpaceDE w:val="0"/>
              <w:autoSpaceDN w:val="0"/>
              <w:adjustRightInd w:val="0"/>
              <w:jc w:val="both"/>
              <w:rPr>
                <w:rFonts w:cs="Times New Roman"/>
                <w:color w:val="000000"/>
                <w:sz w:val="20"/>
                <w:szCs w:val="20"/>
              </w:rPr>
            </w:pPr>
          </w:p>
        </w:tc>
        <w:tc>
          <w:tcPr>
            <w:tcW w:w="2376" w:type="pct"/>
          </w:tcPr>
          <w:p w:rsidR="00C82994" w:rsidRPr="00F7263B" w:rsidRDefault="00C82994" w:rsidP="000F6BF2">
            <w:pPr>
              <w:autoSpaceDE w:val="0"/>
              <w:autoSpaceDN w:val="0"/>
              <w:adjustRightInd w:val="0"/>
              <w:rPr>
                <w:rFonts w:cs="Times New Roman"/>
                <w:color w:val="000000"/>
                <w:sz w:val="20"/>
                <w:szCs w:val="20"/>
              </w:rPr>
            </w:pPr>
            <w:r w:rsidRPr="00F7263B">
              <w:rPr>
                <w:rFonts w:cs="Times New Roman"/>
                <w:sz w:val="20"/>
                <w:szCs w:val="20"/>
              </w:rPr>
              <w:t>MakhtarDiop</w:t>
            </w:r>
          </w:p>
        </w:tc>
      </w:tr>
      <w:tr w:rsidR="00C82994" w:rsidRPr="00F7263B">
        <w:tc>
          <w:tcPr>
            <w:tcW w:w="2432" w:type="pct"/>
          </w:tcPr>
          <w:p w:rsidR="00C82994" w:rsidRPr="00F7263B" w:rsidRDefault="00C82994" w:rsidP="000F6BF2">
            <w:pPr>
              <w:autoSpaceDE w:val="0"/>
              <w:autoSpaceDN w:val="0"/>
              <w:adjustRightInd w:val="0"/>
              <w:jc w:val="right"/>
              <w:rPr>
                <w:rFonts w:cs="Times New Roman"/>
                <w:color w:val="000000"/>
                <w:sz w:val="20"/>
                <w:szCs w:val="20"/>
              </w:rPr>
            </w:pPr>
            <w:r w:rsidRPr="00F7263B">
              <w:rPr>
                <w:rFonts w:cs="Times New Roman"/>
                <w:color w:val="000000"/>
                <w:sz w:val="20"/>
                <w:szCs w:val="20"/>
              </w:rPr>
              <w:t>Country Director:</w:t>
            </w:r>
          </w:p>
        </w:tc>
        <w:tc>
          <w:tcPr>
            <w:tcW w:w="192" w:type="pct"/>
          </w:tcPr>
          <w:p w:rsidR="00C82994" w:rsidRPr="00F7263B" w:rsidRDefault="00C82994" w:rsidP="00556F1B">
            <w:pPr>
              <w:autoSpaceDE w:val="0"/>
              <w:autoSpaceDN w:val="0"/>
              <w:adjustRightInd w:val="0"/>
              <w:jc w:val="both"/>
              <w:rPr>
                <w:rFonts w:cs="Times New Roman"/>
                <w:color w:val="000000"/>
                <w:sz w:val="20"/>
                <w:szCs w:val="20"/>
              </w:rPr>
            </w:pPr>
          </w:p>
        </w:tc>
        <w:tc>
          <w:tcPr>
            <w:tcW w:w="2376" w:type="pct"/>
          </w:tcPr>
          <w:p w:rsidR="00C82994" w:rsidRPr="00F7263B" w:rsidRDefault="00C82994" w:rsidP="000F6BF2">
            <w:pPr>
              <w:autoSpaceDE w:val="0"/>
              <w:autoSpaceDN w:val="0"/>
              <w:adjustRightInd w:val="0"/>
              <w:rPr>
                <w:rFonts w:cs="Times New Roman"/>
                <w:color w:val="000000"/>
                <w:sz w:val="20"/>
                <w:szCs w:val="20"/>
              </w:rPr>
            </w:pPr>
            <w:r w:rsidRPr="00F7263B">
              <w:rPr>
                <w:rFonts w:cs="Times New Roman"/>
                <w:sz w:val="20"/>
                <w:szCs w:val="20"/>
              </w:rPr>
              <w:t>GuangZhe Chen</w:t>
            </w:r>
          </w:p>
        </w:tc>
      </w:tr>
      <w:tr w:rsidR="00C82994" w:rsidRPr="00F7263B">
        <w:tc>
          <w:tcPr>
            <w:tcW w:w="2432" w:type="pct"/>
          </w:tcPr>
          <w:p w:rsidR="00C82994" w:rsidRPr="00F7263B" w:rsidRDefault="00C82994" w:rsidP="000F6BF2">
            <w:pPr>
              <w:autoSpaceDE w:val="0"/>
              <w:autoSpaceDN w:val="0"/>
              <w:adjustRightInd w:val="0"/>
              <w:jc w:val="right"/>
              <w:rPr>
                <w:rFonts w:cs="Times New Roman"/>
                <w:color w:val="000000"/>
                <w:sz w:val="20"/>
                <w:szCs w:val="20"/>
              </w:rPr>
            </w:pPr>
            <w:r w:rsidRPr="00F7263B">
              <w:rPr>
                <w:rFonts w:cs="Times New Roman"/>
                <w:color w:val="000000"/>
                <w:sz w:val="20"/>
                <w:szCs w:val="20"/>
              </w:rPr>
              <w:t>Sector Director</w:t>
            </w:r>
          </w:p>
        </w:tc>
        <w:tc>
          <w:tcPr>
            <w:tcW w:w="192" w:type="pct"/>
          </w:tcPr>
          <w:p w:rsidR="00C82994" w:rsidRPr="00F7263B" w:rsidRDefault="00C82994" w:rsidP="00556F1B">
            <w:pPr>
              <w:autoSpaceDE w:val="0"/>
              <w:autoSpaceDN w:val="0"/>
              <w:adjustRightInd w:val="0"/>
              <w:jc w:val="both"/>
              <w:rPr>
                <w:rFonts w:cs="Times New Roman"/>
                <w:color w:val="000000"/>
                <w:sz w:val="20"/>
                <w:szCs w:val="20"/>
              </w:rPr>
            </w:pPr>
          </w:p>
        </w:tc>
        <w:tc>
          <w:tcPr>
            <w:tcW w:w="2376" w:type="pct"/>
          </w:tcPr>
          <w:p w:rsidR="00C82994" w:rsidRPr="00F7263B" w:rsidRDefault="00C82994" w:rsidP="000F6BF2">
            <w:pPr>
              <w:autoSpaceDE w:val="0"/>
              <w:autoSpaceDN w:val="0"/>
              <w:adjustRightInd w:val="0"/>
              <w:rPr>
                <w:rFonts w:cs="Times New Roman"/>
                <w:color w:val="000000"/>
                <w:sz w:val="20"/>
                <w:szCs w:val="20"/>
              </w:rPr>
            </w:pPr>
            <w:r w:rsidRPr="00F7263B">
              <w:rPr>
                <w:rFonts w:cs="Times New Roman"/>
                <w:color w:val="000000"/>
                <w:sz w:val="20"/>
                <w:szCs w:val="20"/>
              </w:rPr>
              <w:t>Jamal Saghir</w:t>
            </w:r>
          </w:p>
        </w:tc>
      </w:tr>
      <w:tr w:rsidR="00C82994" w:rsidRPr="00F7263B">
        <w:tc>
          <w:tcPr>
            <w:tcW w:w="2432" w:type="pct"/>
          </w:tcPr>
          <w:p w:rsidR="00C82994" w:rsidRPr="00F7263B" w:rsidRDefault="00C82994" w:rsidP="000F6BF2">
            <w:pPr>
              <w:autoSpaceDE w:val="0"/>
              <w:autoSpaceDN w:val="0"/>
              <w:adjustRightInd w:val="0"/>
              <w:jc w:val="right"/>
              <w:rPr>
                <w:rFonts w:cs="Times New Roman"/>
                <w:color w:val="000000"/>
                <w:sz w:val="20"/>
                <w:szCs w:val="20"/>
              </w:rPr>
            </w:pPr>
            <w:r w:rsidRPr="00F7263B">
              <w:rPr>
                <w:rFonts w:cs="Times New Roman"/>
                <w:color w:val="000000"/>
                <w:sz w:val="20"/>
                <w:szCs w:val="20"/>
              </w:rPr>
              <w:t>Sector Manager:</w:t>
            </w:r>
          </w:p>
        </w:tc>
        <w:tc>
          <w:tcPr>
            <w:tcW w:w="192" w:type="pct"/>
          </w:tcPr>
          <w:p w:rsidR="00C82994" w:rsidRPr="00F7263B" w:rsidRDefault="00C82994" w:rsidP="00556F1B">
            <w:pPr>
              <w:autoSpaceDE w:val="0"/>
              <w:autoSpaceDN w:val="0"/>
              <w:adjustRightInd w:val="0"/>
              <w:jc w:val="both"/>
              <w:rPr>
                <w:rFonts w:cs="Times New Roman"/>
                <w:color w:val="000000"/>
                <w:sz w:val="20"/>
                <w:szCs w:val="20"/>
              </w:rPr>
            </w:pPr>
          </w:p>
        </w:tc>
        <w:tc>
          <w:tcPr>
            <w:tcW w:w="2376" w:type="pct"/>
          </w:tcPr>
          <w:p w:rsidR="00C82994" w:rsidRPr="00F7263B" w:rsidRDefault="004D2289" w:rsidP="000F6BF2">
            <w:pPr>
              <w:autoSpaceDE w:val="0"/>
              <w:autoSpaceDN w:val="0"/>
              <w:adjustRightInd w:val="0"/>
              <w:rPr>
                <w:rFonts w:cs="Times New Roman"/>
                <w:color w:val="000000"/>
                <w:sz w:val="20"/>
                <w:szCs w:val="20"/>
              </w:rPr>
            </w:pPr>
            <w:r>
              <w:rPr>
                <w:rFonts w:cs="Times New Roman"/>
                <w:color w:val="000000"/>
                <w:sz w:val="20"/>
                <w:szCs w:val="20"/>
              </w:rPr>
              <w:t>R.</w:t>
            </w:r>
            <w:r w:rsidR="00351020" w:rsidRPr="00F7263B">
              <w:rPr>
                <w:rFonts w:cs="Times New Roman"/>
                <w:color w:val="000000"/>
                <w:sz w:val="20"/>
                <w:szCs w:val="20"/>
              </w:rPr>
              <w:t>MukamiKariuki</w:t>
            </w:r>
          </w:p>
        </w:tc>
      </w:tr>
      <w:tr w:rsidR="00C82994" w:rsidRPr="00F7263B">
        <w:tc>
          <w:tcPr>
            <w:tcW w:w="2432" w:type="pct"/>
          </w:tcPr>
          <w:p w:rsidR="00C82994" w:rsidRPr="00F7263B" w:rsidRDefault="00C82994" w:rsidP="000F6BF2">
            <w:pPr>
              <w:autoSpaceDE w:val="0"/>
              <w:autoSpaceDN w:val="0"/>
              <w:adjustRightInd w:val="0"/>
              <w:jc w:val="right"/>
              <w:rPr>
                <w:rFonts w:cs="Times New Roman"/>
                <w:color w:val="000000"/>
                <w:sz w:val="20"/>
                <w:szCs w:val="20"/>
              </w:rPr>
            </w:pPr>
            <w:r w:rsidRPr="00F7263B">
              <w:rPr>
                <w:rFonts w:cs="Times New Roman"/>
                <w:color w:val="000000"/>
                <w:sz w:val="20"/>
                <w:szCs w:val="20"/>
              </w:rPr>
              <w:t>Task Team Leader:</w:t>
            </w:r>
          </w:p>
        </w:tc>
        <w:tc>
          <w:tcPr>
            <w:tcW w:w="192" w:type="pct"/>
          </w:tcPr>
          <w:p w:rsidR="00C82994" w:rsidRPr="00F7263B" w:rsidRDefault="00C82994" w:rsidP="00556F1B">
            <w:pPr>
              <w:autoSpaceDE w:val="0"/>
              <w:autoSpaceDN w:val="0"/>
              <w:adjustRightInd w:val="0"/>
              <w:jc w:val="both"/>
              <w:rPr>
                <w:rFonts w:cs="Times New Roman"/>
                <w:color w:val="000000"/>
                <w:sz w:val="20"/>
                <w:szCs w:val="20"/>
              </w:rPr>
            </w:pPr>
          </w:p>
        </w:tc>
        <w:tc>
          <w:tcPr>
            <w:tcW w:w="2376" w:type="pct"/>
          </w:tcPr>
          <w:p w:rsidR="00C82994" w:rsidRPr="00F7263B" w:rsidRDefault="00C82994" w:rsidP="000F6BF2">
            <w:pPr>
              <w:autoSpaceDE w:val="0"/>
              <w:autoSpaceDN w:val="0"/>
              <w:adjustRightInd w:val="0"/>
              <w:rPr>
                <w:rFonts w:cs="Times New Roman"/>
                <w:color w:val="000000"/>
                <w:sz w:val="20"/>
                <w:szCs w:val="20"/>
              </w:rPr>
            </w:pPr>
            <w:r w:rsidRPr="00F7263B">
              <w:rPr>
                <w:rFonts w:cs="Times New Roman"/>
                <w:color w:val="000000"/>
                <w:sz w:val="20"/>
                <w:szCs w:val="20"/>
              </w:rPr>
              <w:t>AbebawAlemayehu</w:t>
            </w:r>
          </w:p>
        </w:tc>
      </w:tr>
      <w:tr w:rsidR="00442B60" w:rsidRPr="00F7263B">
        <w:tc>
          <w:tcPr>
            <w:tcW w:w="2432" w:type="pct"/>
          </w:tcPr>
          <w:p w:rsidR="00442B60" w:rsidRPr="00F7263B" w:rsidRDefault="008C1FB2" w:rsidP="000F6BF2">
            <w:pPr>
              <w:autoSpaceDE w:val="0"/>
              <w:autoSpaceDN w:val="0"/>
              <w:adjustRightInd w:val="0"/>
              <w:jc w:val="right"/>
              <w:rPr>
                <w:rFonts w:cs="Times New Roman"/>
                <w:color w:val="000000"/>
                <w:sz w:val="20"/>
                <w:szCs w:val="20"/>
              </w:rPr>
            </w:pPr>
            <w:r w:rsidRPr="00F7263B">
              <w:rPr>
                <w:rFonts w:cs="Times New Roman"/>
                <w:color w:val="000000"/>
                <w:sz w:val="20"/>
                <w:szCs w:val="20"/>
              </w:rPr>
              <w:t>Co-</w:t>
            </w:r>
            <w:r w:rsidR="00442B60" w:rsidRPr="00F7263B">
              <w:rPr>
                <w:rFonts w:cs="Times New Roman"/>
                <w:color w:val="000000"/>
                <w:sz w:val="20"/>
                <w:szCs w:val="20"/>
              </w:rPr>
              <w:t>Task Team Leader:</w:t>
            </w:r>
          </w:p>
        </w:tc>
        <w:tc>
          <w:tcPr>
            <w:tcW w:w="192" w:type="pct"/>
          </w:tcPr>
          <w:p w:rsidR="00442B60" w:rsidRPr="00F7263B" w:rsidRDefault="00442B60" w:rsidP="00556F1B">
            <w:pPr>
              <w:autoSpaceDE w:val="0"/>
              <w:autoSpaceDN w:val="0"/>
              <w:adjustRightInd w:val="0"/>
              <w:jc w:val="both"/>
              <w:rPr>
                <w:rFonts w:cs="Times New Roman"/>
                <w:color w:val="000000"/>
                <w:sz w:val="20"/>
                <w:szCs w:val="20"/>
              </w:rPr>
            </w:pPr>
          </w:p>
        </w:tc>
        <w:tc>
          <w:tcPr>
            <w:tcW w:w="2376" w:type="pct"/>
          </w:tcPr>
          <w:p w:rsidR="00442B60" w:rsidRPr="00F7263B" w:rsidRDefault="00442B60" w:rsidP="000F6BF2">
            <w:pPr>
              <w:autoSpaceDE w:val="0"/>
              <w:autoSpaceDN w:val="0"/>
              <w:adjustRightInd w:val="0"/>
              <w:rPr>
                <w:rFonts w:cs="Times New Roman"/>
                <w:color w:val="000000"/>
                <w:sz w:val="20"/>
                <w:szCs w:val="20"/>
              </w:rPr>
            </w:pPr>
            <w:r w:rsidRPr="00F7263B">
              <w:rPr>
                <w:rFonts w:cs="Times New Roman"/>
                <w:color w:val="000000"/>
                <w:sz w:val="20"/>
                <w:szCs w:val="20"/>
              </w:rPr>
              <w:t>OnurOzlu</w:t>
            </w:r>
          </w:p>
        </w:tc>
      </w:tr>
    </w:tbl>
    <w:p w:rsidR="002F20EB" w:rsidRPr="00F7263B" w:rsidRDefault="002F20EB" w:rsidP="00556F1B">
      <w:pPr>
        <w:jc w:val="both"/>
        <w:rPr>
          <w:rFonts w:cs="Times New Roman"/>
          <w:sz w:val="20"/>
          <w:szCs w:val="20"/>
        </w:rPr>
      </w:pPr>
    </w:p>
    <w:p w:rsidR="00C82994" w:rsidRPr="00F7263B" w:rsidRDefault="00C82994" w:rsidP="00556F1B">
      <w:pPr>
        <w:jc w:val="both"/>
        <w:rPr>
          <w:rFonts w:cs="Times New Roman"/>
          <w:b/>
          <w:sz w:val="20"/>
          <w:szCs w:val="20"/>
        </w:rPr>
      </w:pPr>
      <w:r w:rsidRPr="00F7263B">
        <w:rPr>
          <w:rFonts w:cs="Times New Roman"/>
          <w:b/>
          <w:sz w:val="20"/>
          <w:szCs w:val="20"/>
        </w:rPr>
        <w:br w:type="page"/>
      </w:r>
    </w:p>
    <w:p w:rsidR="00667179" w:rsidRPr="00F7263B" w:rsidRDefault="009548BC" w:rsidP="00740850">
      <w:pPr>
        <w:jc w:val="center"/>
        <w:rPr>
          <w:rFonts w:cs="Times New Roman"/>
          <w:b/>
          <w:sz w:val="20"/>
          <w:szCs w:val="20"/>
        </w:rPr>
      </w:pPr>
      <w:r w:rsidRPr="00F7263B">
        <w:rPr>
          <w:rFonts w:cs="Times New Roman"/>
          <w:b/>
          <w:sz w:val="20"/>
          <w:szCs w:val="20"/>
        </w:rPr>
        <w:lastRenderedPageBreak/>
        <w:t>ETHIOPIA</w:t>
      </w:r>
    </w:p>
    <w:p w:rsidR="009548BC" w:rsidRPr="00F7263B" w:rsidRDefault="009548BC" w:rsidP="00740850">
      <w:pPr>
        <w:pStyle w:val="NoSpacing"/>
        <w:jc w:val="center"/>
        <w:rPr>
          <w:rFonts w:ascii="Times New Roman" w:hAnsi="Times New Roman" w:cs="Times New Roman"/>
          <w:b/>
          <w:sz w:val="20"/>
          <w:szCs w:val="20"/>
        </w:rPr>
      </w:pPr>
      <w:r w:rsidRPr="00F7263B">
        <w:rPr>
          <w:rFonts w:ascii="Times New Roman" w:hAnsi="Times New Roman" w:cs="Times New Roman"/>
          <w:b/>
          <w:sz w:val="20"/>
          <w:szCs w:val="20"/>
        </w:rPr>
        <w:t>Second Urban Local Government Development Program</w:t>
      </w:r>
    </w:p>
    <w:p w:rsidR="000F4826" w:rsidRPr="00F7263B" w:rsidRDefault="001D2940" w:rsidP="00740850">
      <w:pPr>
        <w:pStyle w:val="NoSpacing"/>
        <w:jc w:val="center"/>
        <w:rPr>
          <w:rFonts w:ascii="Times New Roman" w:hAnsi="Times New Roman" w:cs="Times New Roman"/>
          <w:b/>
          <w:sz w:val="20"/>
          <w:szCs w:val="20"/>
        </w:rPr>
      </w:pPr>
      <w:r w:rsidRPr="00F7263B">
        <w:rPr>
          <w:rFonts w:ascii="Times New Roman" w:hAnsi="Times New Roman" w:cs="Times New Roman"/>
          <w:b/>
          <w:sz w:val="20"/>
          <w:szCs w:val="20"/>
        </w:rPr>
        <w:t xml:space="preserve">Program-for-Results </w:t>
      </w:r>
    </w:p>
    <w:p w:rsidR="000F4826" w:rsidRPr="00F7263B" w:rsidRDefault="000F4826" w:rsidP="00740850">
      <w:pPr>
        <w:pStyle w:val="NoSpacing"/>
        <w:jc w:val="center"/>
        <w:rPr>
          <w:rFonts w:ascii="Times New Roman" w:hAnsi="Times New Roman" w:cs="Times New Roman"/>
          <w:b/>
          <w:sz w:val="20"/>
          <w:szCs w:val="20"/>
        </w:rPr>
      </w:pPr>
    </w:p>
    <w:p w:rsidR="000F4826" w:rsidRPr="00F7263B" w:rsidRDefault="001D2940" w:rsidP="00740850">
      <w:pPr>
        <w:pStyle w:val="NoSpacing"/>
        <w:jc w:val="center"/>
        <w:rPr>
          <w:rFonts w:ascii="Times New Roman" w:hAnsi="Times New Roman" w:cs="Times New Roman"/>
          <w:b/>
          <w:sz w:val="20"/>
          <w:szCs w:val="20"/>
        </w:rPr>
      </w:pPr>
      <w:r w:rsidRPr="00F7263B">
        <w:rPr>
          <w:rFonts w:ascii="Times New Roman" w:hAnsi="Times New Roman" w:cs="Times New Roman"/>
          <w:b/>
          <w:sz w:val="20"/>
          <w:szCs w:val="20"/>
        </w:rPr>
        <w:t>Table of Contents</w:t>
      </w:r>
    </w:p>
    <w:p w:rsidR="000F4826" w:rsidRPr="00F7263B" w:rsidRDefault="000F4826" w:rsidP="00740850">
      <w:pPr>
        <w:pStyle w:val="NoSpacing"/>
        <w:jc w:val="center"/>
        <w:rPr>
          <w:rFonts w:ascii="Times New Roman" w:hAnsi="Times New Roman" w:cs="Times New Roman"/>
          <w:b/>
          <w:sz w:val="20"/>
          <w:szCs w:val="20"/>
        </w:rPr>
      </w:pPr>
    </w:p>
    <w:p w:rsidR="000F4826" w:rsidRPr="00F7263B" w:rsidRDefault="001D2940" w:rsidP="00740850">
      <w:pPr>
        <w:pStyle w:val="NoSpacing"/>
        <w:jc w:val="right"/>
        <w:rPr>
          <w:rFonts w:ascii="Times New Roman" w:hAnsi="Times New Roman" w:cs="Times New Roman"/>
          <w:b/>
          <w:sz w:val="20"/>
          <w:szCs w:val="20"/>
        </w:rPr>
      </w:pPr>
      <w:r w:rsidRPr="00F7263B">
        <w:rPr>
          <w:rFonts w:ascii="Times New Roman" w:hAnsi="Times New Roman" w:cs="Times New Roman"/>
          <w:b/>
          <w:sz w:val="20"/>
          <w:szCs w:val="20"/>
        </w:rPr>
        <w:t>Page</w:t>
      </w:r>
    </w:p>
    <w:p w:rsidR="003825BA" w:rsidRPr="00F7263B" w:rsidRDefault="00B845BE">
      <w:pPr>
        <w:pStyle w:val="TOC1"/>
        <w:rPr>
          <w:rFonts w:asciiTheme="minorHAnsi" w:hAnsiTheme="minorHAnsi"/>
          <w:b w:val="0"/>
          <w:bCs w:val="0"/>
          <w:sz w:val="20"/>
          <w:szCs w:val="20"/>
        </w:rPr>
      </w:pPr>
      <w:r w:rsidRPr="00F7263B">
        <w:rPr>
          <w:rFonts w:cs="Times New Roman"/>
          <w:sz w:val="20"/>
          <w:szCs w:val="20"/>
        </w:rPr>
        <w:fldChar w:fldCharType="begin"/>
      </w:r>
      <w:r w:rsidR="00EB32C0" w:rsidRPr="00F7263B">
        <w:rPr>
          <w:rFonts w:cs="Times New Roman"/>
          <w:sz w:val="20"/>
          <w:szCs w:val="20"/>
        </w:rPr>
        <w:instrText xml:space="preserve"> TOC \o "1-2" \h \z \u </w:instrText>
      </w:r>
      <w:r w:rsidRPr="00F7263B">
        <w:rPr>
          <w:rFonts w:cs="Times New Roman"/>
          <w:sz w:val="20"/>
          <w:szCs w:val="20"/>
        </w:rPr>
        <w:fldChar w:fldCharType="separate"/>
      </w:r>
      <w:hyperlink w:anchor="_Toc380167565" w:history="1">
        <w:r w:rsidR="003825BA" w:rsidRPr="00F7263B">
          <w:rPr>
            <w:rStyle w:val="Hyperlink"/>
            <w:sz w:val="20"/>
            <w:szCs w:val="20"/>
          </w:rPr>
          <w:t>I.</w:t>
        </w:r>
        <w:r w:rsidR="003825BA" w:rsidRPr="00F7263B">
          <w:rPr>
            <w:rFonts w:asciiTheme="minorHAnsi" w:hAnsiTheme="minorHAnsi"/>
            <w:b w:val="0"/>
            <w:bCs w:val="0"/>
            <w:sz w:val="20"/>
            <w:szCs w:val="20"/>
          </w:rPr>
          <w:tab/>
        </w:r>
        <w:r w:rsidR="003825BA" w:rsidRPr="00F7263B">
          <w:rPr>
            <w:rStyle w:val="Hyperlink"/>
            <w:sz w:val="20"/>
            <w:szCs w:val="20"/>
          </w:rPr>
          <w:t>STRATEGIC CONTEXT</w:t>
        </w:r>
        <w:r w:rsidR="003825BA" w:rsidRPr="00F7263B">
          <w:rPr>
            <w:webHidden/>
            <w:sz w:val="20"/>
            <w:szCs w:val="20"/>
          </w:rPr>
          <w:tab/>
        </w:r>
        <w:r w:rsidRPr="00F7263B">
          <w:rPr>
            <w:webHidden/>
            <w:sz w:val="20"/>
            <w:szCs w:val="20"/>
          </w:rPr>
          <w:fldChar w:fldCharType="begin"/>
        </w:r>
        <w:r w:rsidR="003825BA" w:rsidRPr="00F7263B">
          <w:rPr>
            <w:webHidden/>
            <w:sz w:val="20"/>
            <w:szCs w:val="20"/>
          </w:rPr>
          <w:instrText xml:space="preserve"> PAGEREF _Toc380167565 \h </w:instrText>
        </w:r>
        <w:r w:rsidRPr="00F7263B">
          <w:rPr>
            <w:webHidden/>
            <w:sz w:val="20"/>
            <w:szCs w:val="20"/>
          </w:rPr>
        </w:r>
        <w:r w:rsidRPr="00F7263B">
          <w:rPr>
            <w:webHidden/>
            <w:sz w:val="20"/>
            <w:szCs w:val="20"/>
          </w:rPr>
          <w:fldChar w:fldCharType="separate"/>
        </w:r>
        <w:r w:rsidR="00933073">
          <w:rPr>
            <w:webHidden/>
            <w:sz w:val="20"/>
            <w:szCs w:val="20"/>
          </w:rPr>
          <w:t>8</w:t>
        </w:r>
        <w:r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66" w:history="1">
        <w:r w:rsidR="003825BA" w:rsidRPr="00F7263B">
          <w:rPr>
            <w:rStyle w:val="Hyperlink"/>
            <w:sz w:val="20"/>
            <w:szCs w:val="20"/>
          </w:rPr>
          <w:t>A.</w:t>
        </w:r>
        <w:r w:rsidR="003825BA" w:rsidRPr="00F7263B">
          <w:rPr>
            <w:rFonts w:asciiTheme="minorHAnsi" w:hAnsiTheme="minorHAnsi"/>
            <w:iCs w:val="0"/>
            <w:sz w:val="20"/>
            <w:szCs w:val="20"/>
          </w:rPr>
          <w:tab/>
        </w:r>
        <w:r w:rsidR="003825BA" w:rsidRPr="00F7263B">
          <w:rPr>
            <w:rStyle w:val="Hyperlink"/>
            <w:sz w:val="20"/>
            <w:szCs w:val="20"/>
          </w:rPr>
          <w:t>Country Context</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_Toc380167566 \h </w:instrText>
        </w:r>
        <w:r w:rsidR="00B845BE" w:rsidRPr="00F7263B">
          <w:rPr>
            <w:webHidden/>
            <w:sz w:val="20"/>
            <w:szCs w:val="20"/>
          </w:rPr>
        </w:r>
        <w:r w:rsidR="00B845BE" w:rsidRPr="00F7263B">
          <w:rPr>
            <w:webHidden/>
            <w:sz w:val="20"/>
            <w:szCs w:val="20"/>
          </w:rPr>
          <w:fldChar w:fldCharType="separate"/>
        </w:r>
        <w:r w:rsidR="00933073">
          <w:rPr>
            <w:webHidden/>
            <w:sz w:val="20"/>
            <w:szCs w:val="20"/>
          </w:rPr>
          <w:t>8</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67" w:history="1">
        <w:r w:rsidR="003825BA" w:rsidRPr="00F7263B">
          <w:rPr>
            <w:rStyle w:val="Hyperlink"/>
            <w:sz w:val="20"/>
            <w:szCs w:val="20"/>
          </w:rPr>
          <w:t>B.</w:t>
        </w:r>
        <w:r w:rsidR="003825BA" w:rsidRPr="00F7263B">
          <w:rPr>
            <w:rFonts w:asciiTheme="minorHAnsi" w:hAnsiTheme="minorHAnsi"/>
            <w:iCs w:val="0"/>
            <w:sz w:val="20"/>
            <w:szCs w:val="20"/>
          </w:rPr>
          <w:tab/>
        </w:r>
        <w:r w:rsidR="003825BA" w:rsidRPr="00F7263B">
          <w:rPr>
            <w:rStyle w:val="Hyperlink"/>
            <w:sz w:val="20"/>
            <w:szCs w:val="20"/>
          </w:rPr>
          <w:t>Sectoral and Institutional Context</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_Toc380167567 \h </w:instrText>
        </w:r>
        <w:r w:rsidR="00B845BE" w:rsidRPr="00F7263B">
          <w:rPr>
            <w:webHidden/>
            <w:sz w:val="20"/>
            <w:szCs w:val="20"/>
          </w:rPr>
        </w:r>
        <w:r w:rsidR="00B845BE" w:rsidRPr="00F7263B">
          <w:rPr>
            <w:webHidden/>
            <w:sz w:val="20"/>
            <w:szCs w:val="20"/>
          </w:rPr>
          <w:fldChar w:fldCharType="separate"/>
        </w:r>
        <w:r w:rsidR="00933073">
          <w:rPr>
            <w:webHidden/>
            <w:sz w:val="20"/>
            <w:szCs w:val="20"/>
          </w:rPr>
          <w:t>8</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68" w:history="1">
        <w:r w:rsidR="003825BA" w:rsidRPr="00F7263B">
          <w:rPr>
            <w:rStyle w:val="Hyperlink"/>
            <w:sz w:val="20"/>
            <w:szCs w:val="20"/>
          </w:rPr>
          <w:t>C.</w:t>
        </w:r>
        <w:r w:rsidR="003825BA" w:rsidRPr="00F7263B">
          <w:rPr>
            <w:rFonts w:asciiTheme="minorHAnsi" w:hAnsiTheme="minorHAnsi"/>
            <w:iCs w:val="0"/>
            <w:sz w:val="20"/>
            <w:szCs w:val="20"/>
          </w:rPr>
          <w:tab/>
        </w:r>
        <w:r w:rsidR="003825BA" w:rsidRPr="00F7263B">
          <w:rPr>
            <w:rStyle w:val="Hyperlink"/>
            <w:sz w:val="20"/>
            <w:szCs w:val="20"/>
          </w:rPr>
          <w:t>Relationship to the Country Partnership Strategy and Rationale for Use of Instrument</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_Toc380167568 \h </w:instrText>
        </w:r>
        <w:r w:rsidR="00B845BE" w:rsidRPr="00F7263B">
          <w:rPr>
            <w:webHidden/>
            <w:sz w:val="20"/>
            <w:szCs w:val="20"/>
          </w:rPr>
        </w:r>
        <w:r w:rsidR="00B845BE" w:rsidRPr="00F7263B">
          <w:rPr>
            <w:webHidden/>
            <w:sz w:val="20"/>
            <w:szCs w:val="20"/>
          </w:rPr>
          <w:fldChar w:fldCharType="separate"/>
        </w:r>
        <w:r w:rsidR="00933073">
          <w:rPr>
            <w:webHidden/>
            <w:sz w:val="20"/>
            <w:szCs w:val="20"/>
          </w:rPr>
          <w:t>11</w:t>
        </w:r>
        <w:r w:rsidR="00B845BE" w:rsidRPr="00F7263B">
          <w:rPr>
            <w:webHidden/>
            <w:sz w:val="20"/>
            <w:szCs w:val="20"/>
          </w:rPr>
          <w:fldChar w:fldCharType="end"/>
        </w:r>
      </w:hyperlink>
    </w:p>
    <w:p w:rsidR="003825BA" w:rsidRPr="00F7263B" w:rsidRDefault="00D72D1D">
      <w:pPr>
        <w:pStyle w:val="TOC1"/>
        <w:rPr>
          <w:rFonts w:asciiTheme="minorHAnsi" w:hAnsiTheme="minorHAnsi"/>
          <w:b w:val="0"/>
          <w:bCs w:val="0"/>
          <w:sz w:val="20"/>
          <w:szCs w:val="20"/>
        </w:rPr>
      </w:pPr>
      <w:hyperlink w:anchor="_Toc380167569" w:history="1">
        <w:r w:rsidR="003825BA" w:rsidRPr="00F7263B">
          <w:rPr>
            <w:rStyle w:val="Hyperlink"/>
            <w:sz w:val="20"/>
            <w:szCs w:val="20"/>
          </w:rPr>
          <w:t>II.</w:t>
        </w:r>
        <w:r w:rsidR="003825BA" w:rsidRPr="00F7263B">
          <w:rPr>
            <w:rFonts w:asciiTheme="minorHAnsi" w:hAnsiTheme="minorHAnsi"/>
            <w:b w:val="0"/>
            <w:bCs w:val="0"/>
            <w:sz w:val="20"/>
            <w:szCs w:val="20"/>
          </w:rPr>
          <w:tab/>
        </w:r>
        <w:r w:rsidR="003825BA" w:rsidRPr="00F7263B">
          <w:rPr>
            <w:rStyle w:val="Hyperlink"/>
            <w:sz w:val="20"/>
            <w:szCs w:val="20"/>
          </w:rPr>
          <w:t>PROGRAM DESCRIPTION</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_Toc380167569 \h </w:instrText>
        </w:r>
        <w:r w:rsidR="00B845BE" w:rsidRPr="00F7263B">
          <w:rPr>
            <w:webHidden/>
            <w:sz w:val="20"/>
            <w:szCs w:val="20"/>
          </w:rPr>
        </w:r>
        <w:r w:rsidR="00B845BE" w:rsidRPr="00F7263B">
          <w:rPr>
            <w:webHidden/>
            <w:sz w:val="20"/>
            <w:szCs w:val="20"/>
          </w:rPr>
          <w:fldChar w:fldCharType="separate"/>
        </w:r>
        <w:r w:rsidR="00933073">
          <w:rPr>
            <w:webHidden/>
            <w:sz w:val="20"/>
            <w:szCs w:val="20"/>
          </w:rPr>
          <w:t>11</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0" w:history="1">
        <w:r w:rsidR="003825BA" w:rsidRPr="00F7263B">
          <w:rPr>
            <w:rStyle w:val="Hyperlink"/>
            <w:sz w:val="20"/>
            <w:szCs w:val="20"/>
          </w:rPr>
          <w:t>A.</w:t>
        </w:r>
        <w:r w:rsidR="003825BA" w:rsidRPr="00F7263B">
          <w:rPr>
            <w:rFonts w:asciiTheme="minorHAnsi" w:hAnsiTheme="minorHAnsi"/>
            <w:iCs w:val="0"/>
            <w:sz w:val="20"/>
            <w:szCs w:val="20"/>
          </w:rPr>
          <w:tab/>
        </w:r>
        <w:r w:rsidR="003825BA" w:rsidRPr="00F7263B">
          <w:rPr>
            <w:rStyle w:val="Hyperlink"/>
            <w:sz w:val="20"/>
            <w:szCs w:val="20"/>
          </w:rPr>
          <w:t>Program Scope</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_Toc380167570 \h </w:instrText>
        </w:r>
        <w:r w:rsidR="00B845BE" w:rsidRPr="00F7263B">
          <w:rPr>
            <w:webHidden/>
            <w:sz w:val="20"/>
            <w:szCs w:val="20"/>
          </w:rPr>
        </w:r>
        <w:r w:rsidR="00B845BE" w:rsidRPr="00F7263B">
          <w:rPr>
            <w:webHidden/>
            <w:sz w:val="20"/>
            <w:szCs w:val="20"/>
          </w:rPr>
          <w:fldChar w:fldCharType="separate"/>
        </w:r>
        <w:r w:rsidR="00933073">
          <w:rPr>
            <w:webHidden/>
            <w:sz w:val="20"/>
            <w:szCs w:val="20"/>
          </w:rPr>
          <w:t>11</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1" w:history="1">
        <w:r w:rsidR="003825BA" w:rsidRPr="00F7263B">
          <w:rPr>
            <w:rStyle w:val="Hyperlink"/>
            <w:sz w:val="20"/>
            <w:szCs w:val="20"/>
          </w:rPr>
          <w:t>B.</w:t>
        </w:r>
        <w:r w:rsidR="003825BA" w:rsidRPr="00F7263B">
          <w:rPr>
            <w:rFonts w:asciiTheme="minorHAnsi" w:hAnsiTheme="minorHAnsi"/>
            <w:iCs w:val="0"/>
            <w:sz w:val="20"/>
            <w:szCs w:val="20"/>
          </w:rPr>
          <w:tab/>
        </w:r>
        <w:r w:rsidR="003825BA" w:rsidRPr="00F7263B">
          <w:rPr>
            <w:rStyle w:val="Hyperlink"/>
            <w:sz w:val="20"/>
            <w:szCs w:val="20"/>
          </w:rPr>
          <w:t>Program Development Objectives</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_Toc380167571 \h </w:instrText>
        </w:r>
        <w:r w:rsidR="00B845BE" w:rsidRPr="00F7263B">
          <w:rPr>
            <w:webHidden/>
            <w:sz w:val="20"/>
            <w:szCs w:val="20"/>
          </w:rPr>
        </w:r>
        <w:r w:rsidR="00B845BE" w:rsidRPr="00F7263B">
          <w:rPr>
            <w:webHidden/>
            <w:sz w:val="20"/>
            <w:szCs w:val="20"/>
          </w:rPr>
          <w:fldChar w:fldCharType="separate"/>
        </w:r>
        <w:r w:rsidR="00933073">
          <w:rPr>
            <w:webHidden/>
            <w:sz w:val="20"/>
            <w:szCs w:val="20"/>
          </w:rPr>
          <w:t>16</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2" w:history="1">
        <w:r w:rsidR="003825BA" w:rsidRPr="00F7263B">
          <w:rPr>
            <w:rStyle w:val="Hyperlink"/>
            <w:sz w:val="20"/>
            <w:szCs w:val="20"/>
          </w:rPr>
          <w:t>C.</w:t>
        </w:r>
        <w:r w:rsidR="003825BA" w:rsidRPr="00F7263B">
          <w:rPr>
            <w:rFonts w:asciiTheme="minorHAnsi" w:hAnsiTheme="minorHAnsi"/>
            <w:iCs w:val="0"/>
            <w:sz w:val="20"/>
            <w:szCs w:val="20"/>
          </w:rPr>
          <w:tab/>
        </w:r>
        <w:r w:rsidR="003825BA" w:rsidRPr="00F7263B">
          <w:rPr>
            <w:rStyle w:val="Hyperlink"/>
            <w:sz w:val="20"/>
            <w:szCs w:val="20"/>
          </w:rPr>
          <w:t>Program Key Results and Disbursement Linked Indicators</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_Toc380167572 \h </w:instrText>
        </w:r>
        <w:r w:rsidR="00B845BE" w:rsidRPr="00F7263B">
          <w:rPr>
            <w:webHidden/>
            <w:sz w:val="20"/>
            <w:szCs w:val="20"/>
          </w:rPr>
        </w:r>
        <w:r w:rsidR="00B845BE" w:rsidRPr="00F7263B">
          <w:rPr>
            <w:webHidden/>
            <w:sz w:val="20"/>
            <w:szCs w:val="20"/>
          </w:rPr>
          <w:fldChar w:fldCharType="separate"/>
        </w:r>
        <w:r w:rsidR="00933073">
          <w:rPr>
            <w:webHidden/>
            <w:sz w:val="20"/>
            <w:szCs w:val="20"/>
          </w:rPr>
          <w:t>16</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3" w:history="1">
        <w:r w:rsidR="003825BA" w:rsidRPr="00F7263B">
          <w:rPr>
            <w:rStyle w:val="Hyperlink"/>
            <w:sz w:val="20"/>
            <w:szCs w:val="20"/>
          </w:rPr>
          <w:t>D.</w:t>
        </w:r>
        <w:r w:rsidR="003825BA" w:rsidRPr="00F7263B">
          <w:rPr>
            <w:rFonts w:asciiTheme="minorHAnsi" w:hAnsiTheme="minorHAnsi"/>
            <w:iCs w:val="0"/>
            <w:sz w:val="20"/>
            <w:szCs w:val="20"/>
          </w:rPr>
          <w:tab/>
        </w:r>
        <w:r w:rsidR="003825BA" w:rsidRPr="00F7263B">
          <w:rPr>
            <w:rStyle w:val="Hyperlink"/>
            <w:sz w:val="20"/>
            <w:szCs w:val="20"/>
          </w:rPr>
          <w:t>Key Capacity Building and Systems Strengthening Activities</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_Toc380167573 \h </w:instrText>
        </w:r>
        <w:r w:rsidR="00B845BE" w:rsidRPr="00F7263B">
          <w:rPr>
            <w:webHidden/>
            <w:sz w:val="20"/>
            <w:szCs w:val="20"/>
          </w:rPr>
        </w:r>
        <w:r w:rsidR="00B845BE" w:rsidRPr="00F7263B">
          <w:rPr>
            <w:webHidden/>
            <w:sz w:val="20"/>
            <w:szCs w:val="20"/>
          </w:rPr>
          <w:fldChar w:fldCharType="separate"/>
        </w:r>
        <w:r w:rsidR="00933073">
          <w:rPr>
            <w:webHidden/>
            <w:sz w:val="20"/>
            <w:szCs w:val="20"/>
          </w:rPr>
          <w:t>18</w:t>
        </w:r>
        <w:r w:rsidR="00B845BE" w:rsidRPr="00F7263B">
          <w:rPr>
            <w:webHidden/>
            <w:sz w:val="20"/>
            <w:szCs w:val="20"/>
          </w:rPr>
          <w:fldChar w:fldCharType="end"/>
        </w:r>
      </w:hyperlink>
    </w:p>
    <w:p w:rsidR="003825BA" w:rsidRPr="00F7263B" w:rsidRDefault="00D72D1D">
      <w:pPr>
        <w:pStyle w:val="TOC1"/>
        <w:rPr>
          <w:rFonts w:asciiTheme="minorHAnsi" w:hAnsiTheme="minorHAnsi"/>
          <w:b w:val="0"/>
          <w:bCs w:val="0"/>
          <w:sz w:val="20"/>
          <w:szCs w:val="20"/>
        </w:rPr>
      </w:pPr>
      <w:hyperlink w:anchor="_Toc380167574" w:history="1">
        <w:r w:rsidR="003825BA" w:rsidRPr="00F7263B">
          <w:rPr>
            <w:rStyle w:val="Hyperlink"/>
            <w:sz w:val="20"/>
            <w:szCs w:val="20"/>
          </w:rPr>
          <w:t>III.</w:t>
        </w:r>
        <w:r w:rsidR="003825BA" w:rsidRPr="00F7263B">
          <w:rPr>
            <w:rFonts w:asciiTheme="minorHAnsi" w:hAnsiTheme="minorHAnsi"/>
            <w:b w:val="0"/>
            <w:bCs w:val="0"/>
            <w:sz w:val="20"/>
            <w:szCs w:val="20"/>
          </w:rPr>
          <w:tab/>
        </w:r>
        <w:r w:rsidR="003825BA" w:rsidRPr="00F7263B">
          <w:rPr>
            <w:rStyle w:val="Hyperlink"/>
            <w:sz w:val="20"/>
            <w:szCs w:val="20"/>
          </w:rPr>
          <w:t>PROGRAM IMPLEMENTATION</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_Toc380167574 \h </w:instrText>
        </w:r>
        <w:r w:rsidR="00B845BE" w:rsidRPr="00F7263B">
          <w:rPr>
            <w:webHidden/>
            <w:sz w:val="20"/>
            <w:szCs w:val="20"/>
          </w:rPr>
        </w:r>
        <w:r w:rsidR="00B845BE" w:rsidRPr="00F7263B">
          <w:rPr>
            <w:webHidden/>
            <w:sz w:val="20"/>
            <w:szCs w:val="20"/>
          </w:rPr>
          <w:fldChar w:fldCharType="separate"/>
        </w:r>
        <w:r w:rsidR="00933073">
          <w:rPr>
            <w:webHidden/>
            <w:sz w:val="20"/>
            <w:szCs w:val="20"/>
          </w:rPr>
          <w:t>19</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5" w:history="1">
        <w:r w:rsidR="003825BA" w:rsidRPr="00F7263B">
          <w:rPr>
            <w:rStyle w:val="Hyperlink"/>
            <w:sz w:val="20"/>
            <w:szCs w:val="20"/>
          </w:rPr>
          <w:t>A.</w:t>
        </w:r>
        <w:r w:rsidR="003825BA" w:rsidRPr="00F7263B">
          <w:rPr>
            <w:rFonts w:asciiTheme="minorHAnsi" w:hAnsiTheme="minorHAnsi"/>
            <w:iCs w:val="0"/>
            <w:sz w:val="20"/>
            <w:szCs w:val="20"/>
          </w:rPr>
          <w:tab/>
        </w:r>
        <w:r w:rsidR="003825BA" w:rsidRPr="00F7263B">
          <w:rPr>
            <w:rStyle w:val="Hyperlink"/>
            <w:sz w:val="20"/>
            <w:szCs w:val="20"/>
          </w:rPr>
          <w:t>Institutional and Implementation Arrangements</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_Toc380167575 \h </w:instrText>
        </w:r>
        <w:r w:rsidR="00B845BE" w:rsidRPr="00F7263B">
          <w:rPr>
            <w:webHidden/>
            <w:sz w:val="20"/>
            <w:szCs w:val="20"/>
          </w:rPr>
        </w:r>
        <w:r w:rsidR="00B845BE" w:rsidRPr="00F7263B">
          <w:rPr>
            <w:webHidden/>
            <w:sz w:val="20"/>
            <w:szCs w:val="20"/>
          </w:rPr>
          <w:fldChar w:fldCharType="separate"/>
        </w:r>
        <w:r w:rsidR="00933073">
          <w:rPr>
            <w:webHidden/>
            <w:sz w:val="20"/>
            <w:szCs w:val="20"/>
          </w:rPr>
          <w:t>19</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6" w:history="1">
        <w:r w:rsidR="003825BA" w:rsidRPr="00F7263B">
          <w:rPr>
            <w:rStyle w:val="Hyperlink"/>
            <w:sz w:val="20"/>
            <w:szCs w:val="20"/>
          </w:rPr>
          <w:t>B.</w:t>
        </w:r>
        <w:r w:rsidR="003825BA" w:rsidRPr="00F7263B">
          <w:rPr>
            <w:rFonts w:asciiTheme="minorHAnsi" w:hAnsiTheme="minorHAnsi"/>
            <w:iCs w:val="0"/>
            <w:sz w:val="20"/>
            <w:szCs w:val="20"/>
          </w:rPr>
          <w:tab/>
        </w:r>
        <w:r w:rsidR="003825BA" w:rsidRPr="00F7263B">
          <w:rPr>
            <w:rStyle w:val="Hyperlink"/>
            <w:sz w:val="20"/>
            <w:szCs w:val="20"/>
          </w:rPr>
          <w:t>Results Monitoring and Evaluation</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_Toc380167576 \h </w:instrText>
        </w:r>
        <w:r w:rsidR="00B845BE" w:rsidRPr="00F7263B">
          <w:rPr>
            <w:webHidden/>
            <w:sz w:val="20"/>
            <w:szCs w:val="20"/>
          </w:rPr>
        </w:r>
        <w:r w:rsidR="00B845BE" w:rsidRPr="00F7263B">
          <w:rPr>
            <w:webHidden/>
            <w:sz w:val="20"/>
            <w:szCs w:val="20"/>
          </w:rPr>
          <w:fldChar w:fldCharType="separate"/>
        </w:r>
        <w:r w:rsidR="00933073">
          <w:rPr>
            <w:webHidden/>
            <w:sz w:val="20"/>
            <w:szCs w:val="20"/>
          </w:rPr>
          <w:t>21</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7" w:history="1">
        <w:r w:rsidR="003825BA" w:rsidRPr="00F7263B">
          <w:rPr>
            <w:rStyle w:val="Hyperlink"/>
            <w:sz w:val="20"/>
            <w:szCs w:val="20"/>
          </w:rPr>
          <w:t>C.</w:t>
        </w:r>
        <w:r w:rsidR="003825BA" w:rsidRPr="00F7263B">
          <w:rPr>
            <w:rFonts w:asciiTheme="minorHAnsi" w:hAnsiTheme="minorHAnsi"/>
            <w:iCs w:val="0"/>
            <w:sz w:val="20"/>
            <w:szCs w:val="20"/>
          </w:rPr>
          <w:tab/>
        </w:r>
        <w:r w:rsidR="003825BA" w:rsidRPr="00F7263B">
          <w:rPr>
            <w:rStyle w:val="Hyperlink"/>
            <w:sz w:val="20"/>
            <w:szCs w:val="20"/>
          </w:rPr>
          <w:t>Disbursement Arrangements and Verification Protocols</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_Toc380167577 \h </w:instrText>
        </w:r>
        <w:r w:rsidR="00B845BE" w:rsidRPr="00F7263B">
          <w:rPr>
            <w:webHidden/>
            <w:sz w:val="20"/>
            <w:szCs w:val="20"/>
          </w:rPr>
        </w:r>
        <w:r w:rsidR="00B845BE" w:rsidRPr="00F7263B">
          <w:rPr>
            <w:webHidden/>
            <w:sz w:val="20"/>
            <w:szCs w:val="20"/>
          </w:rPr>
          <w:fldChar w:fldCharType="separate"/>
        </w:r>
        <w:r w:rsidR="00933073">
          <w:rPr>
            <w:webHidden/>
            <w:sz w:val="20"/>
            <w:szCs w:val="20"/>
          </w:rPr>
          <w:t>22</w:t>
        </w:r>
        <w:r w:rsidR="00B845BE" w:rsidRPr="00F7263B">
          <w:rPr>
            <w:webHidden/>
            <w:sz w:val="20"/>
            <w:szCs w:val="20"/>
          </w:rPr>
          <w:fldChar w:fldCharType="end"/>
        </w:r>
      </w:hyperlink>
    </w:p>
    <w:p w:rsidR="003825BA" w:rsidRPr="00F7263B" w:rsidRDefault="00D72D1D">
      <w:pPr>
        <w:pStyle w:val="TOC1"/>
        <w:rPr>
          <w:rFonts w:asciiTheme="minorHAnsi" w:hAnsiTheme="minorHAnsi"/>
          <w:b w:val="0"/>
          <w:bCs w:val="0"/>
          <w:sz w:val="20"/>
          <w:szCs w:val="20"/>
        </w:rPr>
      </w:pPr>
      <w:hyperlink w:anchor="_Toc380167578" w:history="1">
        <w:r w:rsidR="003825BA" w:rsidRPr="00F7263B">
          <w:rPr>
            <w:rStyle w:val="Hyperlink"/>
            <w:sz w:val="20"/>
            <w:szCs w:val="20"/>
          </w:rPr>
          <w:t>IV.</w:t>
        </w:r>
        <w:r w:rsidR="003825BA" w:rsidRPr="00F7263B">
          <w:rPr>
            <w:rFonts w:asciiTheme="minorHAnsi" w:hAnsiTheme="minorHAnsi"/>
            <w:b w:val="0"/>
            <w:bCs w:val="0"/>
            <w:sz w:val="20"/>
            <w:szCs w:val="20"/>
          </w:rPr>
          <w:tab/>
        </w:r>
        <w:r w:rsidR="003825BA" w:rsidRPr="00F7263B">
          <w:rPr>
            <w:rStyle w:val="Hyperlink"/>
            <w:sz w:val="20"/>
            <w:szCs w:val="20"/>
          </w:rPr>
          <w:t>ASSESSMENT SUMMARY</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_Toc380167578 \h </w:instrText>
        </w:r>
        <w:r w:rsidR="00B845BE" w:rsidRPr="00F7263B">
          <w:rPr>
            <w:webHidden/>
            <w:sz w:val="20"/>
            <w:szCs w:val="20"/>
          </w:rPr>
        </w:r>
        <w:r w:rsidR="00B845BE" w:rsidRPr="00F7263B">
          <w:rPr>
            <w:webHidden/>
            <w:sz w:val="20"/>
            <w:szCs w:val="20"/>
          </w:rPr>
          <w:fldChar w:fldCharType="separate"/>
        </w:r>
        <w:r w:rsidR="00933073">
          <w:rPr>
            <w:webHidden/>
            <w:sz w:val="20"/>
            <w:szCs w:val="20"/>
          </w:rPr>
          <w:t>23</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79" w:history="1">
        <w:r w:rsidR="003825BA" w:rsidRPr="00F7263B">
          <w:rPr>
            <w:rStyle w:val="Hyperlink"/>
            <w:sz w:val="20"/>
            <w:szCs w:val="20"/>
          </w:rPr>
          <w:t>A.</w:t>
        </w:r>
        <w:r w:rsidR="003825BA" w:rsidRPr="00F7263B">
          <w:rPr>
            <w:rFonts w:asciiTheme="minorHAnsi" w:hAnsiTheme="minorHAnsi"/>
            <w:iCs w:val="0"/>
            <w:sz w:val="20"/>
            <w:szCs w:val="20"/>
          </w:rPr>
          <w:tab/>
        </w:r>
        <w:r w:rsidR="003825BA" w:rsidRPr="00F7263B">
          <w:rPr>
            <w:rStyle w:val="Hyperlink"/>
            <w:sz w:val="20"/>
            <w:szCs w:val="20"/>
          </w:rPr>
          <w:t>Technical (including program economic evaluation)</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_Toc380167579 \h </w:instrText>
        </w:r>
        <w:r w:rsidR="00B845BE" w:rsidRPr="00F7263B">
          <w:rPr>
            <w:webHidden/>
            <w:sz w:val="20"/>
            <w:szCs w:val="20"/>
          </w:rPr>
        </w:r>
        <w:r w:rsidR="00B845BE" w:rsidRPr="00F7263B">
          <w:rPr>
            <w:webHidden/>
            <w:sz w:val="20"/>
            <w:szCs w:val="20"/>
          </w:rPr>
          <w:fldChar w:fldCharType="separate"/>
        </w:r>
        <w:r w:rsidR="00933073">
          <w:rPr>
            <w:webHidden/>
            <w:sz w:val="20"/>
            <w:szCs w:val="20"/>
          </w:rPr>
          <w:t>23</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80" w:history="1">
        <w:r w:rsidR="003825BA" w:rsidRPr="00F7263B">
          <w:rPr>
            <w:rStyle w:val="Hyperlink"/>
            <w:sz w:val="20"/>
            <w:szCs w:val="20"/>
          </w:rPr>
          <w:t>B.</w:t>
        </w:r>
        <w:r w:rsidR="003825BA" w:rsidRPr="00F7263B">
          <w:rPr>
            <w:rFonts w:asciiTheme="minorHAnsi" w:hAnsiTheme="minorHAnsi"/>
            <w:iCs w:val="0"/>
            <w:sz w:val="20"/>
            <w:szCs w:val="20"/>
          </w:rPr>
          <w:tab/>
        </w:r>
        <w:r w:rsidR="003825BA" w:rsidRPr="00F7263B">
          <w:rPr>
            <w:rStyle w:val="Hyperlink"/>
            <w:sz w:val="20"/>
            <w:szCs w:val="20"/>
          </w:rPr>
          <w:t>Fiduciary</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_Toc380167580 \h </w:instrText>
        </w:r>
        <w:r w:rsidR="00B845BE" w:rsidRPr="00F7263B">
          <w:rPr>
            <w:webHidden/>
            <w:sz w:val="20"/>
            <w:szCs w:val="20"/>
          </w:rPr>
        </w:r>
        <w:r w:rsidR="00B845BE" w:rsidRPr="00F7263B">
          <w:rPr>
            <w:webHidden/>
            <w:sz w:val="20"/>
            <w:szCs w:val="20"/>
          </w:rPr>
          <w:fldChar w:fldCharType="separate"/>
        </w:r>
        <w:r w:rsidR="00933073">
          <w:rPr>
            <w:webHidden/>
            <w:sz w:val="20"/>
            <w:szCs w:val="20"/>
          </w:rPr>
          <w:t>26</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81" w:history="1">
        <w:r w:rsidR="003825BA" w:rsidRPr="00F7263B">
          <w:rPr>
            <w:rStyle w:val="Hyperlink"/>
            <w:sz w:val="20"/>
            <w:szCs w:val="20"/>
          </w:rPr>
          <w:t>C.</w:t>
        </w:r>
        <w:r w:rsidR="003825BA" w:rsidRPr="00F7263B">
          <w:rPr>
            <w:rFonts w:asciiTheme="minorHAnsi" w:hAnsiTheme="minorHAnsi"/>
            <w:iCs w:val="0"/>
            <w:sz w:val="20"/>
            <w:szCs w:val="20"/>
          </w:rPr>
          <w:tab/>
        </w:r>
        <w:r w:rsidR="003825BA" w:rsidRPr="00F7263B">
          <w:rPr>
            <w:rStyle w:val="Hyperlink"/>
            <w:sz w:val="20"/>
            <w:szCs w:val="20"/>
          </w:rPr>
          <w:t>Environmental and Social Effects</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_Toc380167581 \h </w:instrText>
        </w:r>
        <w:r w:rsidR="00B845BE" w:rsidRPr="00F7263B">
          <w:rPr>
            <w:webHidden/>
            <w:sz w:val="20"/>
            <w:szCs w:val="20"/>
          </w:rPr>
        </w:r>
        <w:r w:rsidR="00B845BE" w:rsidRPr="00F7263B">
          <w:rPr>
            <w:webHidden/>
            <w:sz w:val="20"/>
            <w:szCs w:val="20"/>
          </w:rPr>
          <w:fldChar w:fldCharType="separate"/>
        </w:r>
        <w:r w:rsidR="00933073">
          <w:rPr>
            <w:webHidden/>
            <w:sz w:val="20"/>
            <w:szCs w:val="20"/>
          </w:rPr>
          <w:t>30</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82" w:history="1">
        <w:r w:rsidR="003825BA" w:rsidRPr="00F7263B">
          <w:rPr>
            <w:rStyle w:val="Hyperlink"/>
            <w:sz w:val="20"/>
            <w:szCs w:val="20"/>
          </w:rPr>
          <w:t>D.</w:t>
        </w:r>
        <w:r w:rsidR="003825BA" w:rsidRPr="00F7263B">
          <w:rPr>
            <w:rFonts w:asciiTheme="minorHAnsi" w:hAnsiTheme="minorHAnsi"/>
            <w:iCs w:val="0"/>
            <w:sz w:val="20"/>
            <w:szCs w:val="20"/>
          </w:rPr>
          <w:tab/>
        </w:r>
        <w:r w:rsidR="003825BA" w:rsidRPr="00F7263B">
          <w:rPr>
            <w:rStyle w:val="Hyperlink"/>
            <w:sz w:val="20"/>
            <w:szCs w:val="20"/>
          </w:rPr>
          <w:t>Integrated Risk Assessment Summary</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_Toc380167582 \h </w:instrText>
        </w:r>
        <w:r w:rsidR="00B845BE" w:rsidRPr="00F7263B">
          <w:rPr>
            <w:webHidden/>
            <w:sz w:val="20"/>
            <w:szCs w:val="20"/>
          </w:rPr>
        </w:r>
        <w:r w:rsidR="00B845BE" w:rsidRPr="00F7263B">
          <w:rPr>
            <w:webHidden/>
            <w:sz w:val="20"/>
            <w:szCs w:val="20"/>
          </w:rPr>
          <w:fldChar w:fldCharType="separate"/>
        </w:r>
        <w:r w:rsidR="00933073">
          <w:rPr>
            <w:webHidden/>
            <w:sz w:val="20"/>
            <w:szCs w:val="20"/>
          </w:rPr>
          <w:t>31</w:t>
        </w:r>
        <w:r w:rsidR="00B845BE" w:rsidRPr="00F7263B">
          <w:rPr>
            <w:webHidden/>
            <w:sz w:val="20"/>
            <w:szCs w:val="20"/>
          </w:rPr>
          <w:fldChar w:fldCharType="end"/>
        </w:r>
      </w:hyperlink>
    </w:p>
    <w:p w:rsidR="003825BA" w:rsidRPr="00F7263B" w:rsidRDefault="00D72D1D">
      <w:pPr>
        <w:pStyle w:val="TOC2"/>
        <w:rPr>
          <w:rFonts w:asciiTheme="minorHAnsi" w:hAnsiTheme="minorHAnsi"/>
          <w:iCs w:val="0"/>
          <w:sz w:val="20"/>
          <w:szCs w:val="20"/>
        </w:rPr>
      </w:pPr>
      <w:hyperlink w:anchor="_Toc380167583" w:history="1">
        <w:r w:rsidR="003825BA" w:rsidRPr="00F7263B">
          <w:rPr>
            <w:rStyle w:val="Hyperlink"/>
            <w:sz w:val="20"/>
            <w:szCs w:val="20"/>
          </w:rPr>
          <w:t>E.</w:t>
        </w:r>
        <w:r w:rsidR="003825BA" w:rsidRPr="00F7263B">
          <w:rPr>
            <w:rFonts w:asciiTheme="minorHAnsi" w:hAnsiTheme="minorHAnsi"/>
            <w:iCs w:val="0"/>
            <w:sz w:val="20"/>
            <w:szCs w:val="20"/>
          </w:rPr>
          <w:tab/>
        </w:r>
        <w:r w:rsidR="003825BA" w:rsidRPr="00F7263B">
          <w:rPr>
            <w:rStyle w:val="Hyperlink"/>
            <w:sz w:val="20"/>
            <w:szCs w:val="20"/>
          </w:rPr>
          <w:t>Program Action Plan</w:t>
        </w:r>
        <w:r w:rsidR="003825BA" w:rsidRPr="00F7263B">
          <w:rPr>
            <w:webHidden/>
            <w:sz w:val="20"/>
            <w:szCs w:val="20"/>
          </w:rPr>
          <w:tab/>
        </w:r>
        <w:r w:rsidR="00B845BE" w:rsidRPr="00F7263B">
          <w:rPr>
            <w:webHidden/>
            <w:sz w:val="20"/>
            <w:szCs w:val="20"/>
          </w:rPr>
          <w:fldChar w:fldCharType="begin"/>
        </w:r>
        <w:r w:rsidR="003825BA" w:rsidRPr="00F7263B">
          <w:rPr>
            <w:webHidden/>
            <w:sz w:val="20"/>
            <w:szCs w:val="20"/>
          </w:rPr>
          <w:instrText xml:space="preserve"> PAGEREF _Toc380167583 \h </w:instrText>
        </w:r>
        <w:r w:rsidR="00B845BE" w:rsidRPr="00F7263B">
          <w:rPr>
            <w:webHidden/>
            <w:sz w:val="20"/>
            <w:szCs w:val="20"/>
          </w:rPr>
        </w:r>
        <w:r w:rsidR="00B845BE" w:rsidRPr="00F7263B">
          <w:rPr>
            <w:webHidden/>
            <w:sz w:val="20"/>
            <w:szCs w:val="20"/>
          </w:rPr>
          <w:fldChar w:fldCharType="separate"/>
        </w:r>
        <w:r w:rsidR="00933073">
          <w:rPr>
            <w:webHidden/>
            <w:sz w:val="20"/>
            <w:szCs w:val="20"/>
          </w:rPr>
          <w:t>32</w:t>
        </w:r>
        <w:r w:rsidR="00B845BE" w:rsidRPr="00F7263B">
          <w:rPr>
            <w:webHidden/>
            <w:sz w:val="20"/>
            <w:szCs w:val="20"/>
          </w:rPr>
          <w:fldChar w:fldCharType="end"/>
        </w:r>
      </w:hyperlink>
    </w:p>
    <w:p w:rsidR="000F4826" w:rsidRPr="00F7263B" w:rsidRDefault="00B845BE" w:rsidP="00827BD7">
      <w:pPr>
        <w:pStyle w:val="NoSpacing"/>
        <w:rPr>
          <w:rFonts w:ascii="Times New Roman" w:hAnsi="Times New Roman" w:cs="Times New Roman"/>
          <w:b/>
          <w:bCs/>
          <w:noProof/>
          <w:sz w:val="20"/>
          <w:szCs w:val="20"/>
        </w:rPr>
      </w:pPr>
      <w:r w:rsidRPr="00F7263B">
        <w:rPr>
          <w:rFonts w:ascii="Times New Roman" w:hAnsi="Times New Roman" w:cs="Times New Roman"/>
          <w:b/>
          <w:bCs/>
          <w:noProof/>
          <w:sz w:val="20"/>
          <w:szCs w:val="20"/>
        </w:rPr>
        <w:fldChar w:fldCharType="end"/>
      </w:r>
    </w:p>
    <w:p w:rsidR="00D743FD" w:rsidRPr="00F7263B" w:rsidRDefault="00D743FD" w:rsidP="00D743FD">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TABLES</w:t>
      </w:r>
      <w:r w:rsidR="00CA6B06" w:rsidRPr="00F7263B">
        <w:rPr>
          <w:rFonts w:ascii="Times New Roman" w:hAnsi="Times New Roman" w:cs="Times New Roman"/>
          <w:b/>
          <w:sz w:val="20"/>
          <w:szCs w:val="20"/>
        </w:rPr>
        <w:t xml:space="preserve"> AND BOXES</w:t>
      </w:r>
    </w:p>
    <w:p w:rsidR="00D743FD" w:rsidRPr="00F7263B" w:rsidRDefault="00D743FD" w:rsidP="00D743FD">
      <w:pPr>
        <w:pStyle w:val="NoSpacing"/>
        <w:jc w:val="both"/>
        <w:rPr>
          <w:rFonts w:ascii="Times New Roman" w:hAnsi="Times New Roman" w:cs="Times New Roman"/>
          <w:b/>
          <w:sz w:val="20"/>
          <w:szCs w:val="20"/>
        </w:rPr>
      </w:pPr>
    </w:p>
    <w:p w:rsidR="007524FA" w:rsidRPr="00F7263B" w:rsidRDefault="00B845BE" w:rsidP="007524FA">
      <w:pPr>
        <w:pStyle w:val="TableofFigures"/>
        <w:tabs>
          <w:tab w:val="left" w:pos="1080"/>
          <w:tab w:val="right" w:leader="dot" w:pos="9350"/>
        </w:tabs>
        <w:rPr>
          <w:rFonts w:asciiTheme="minorHAnsi" w:hAnsiTheme="minorHAnsi"/>
          <w:noProof/>
          <w:sz w:val="20"/>
          <w:szCs w:val="20"/>
        </w:rPr>
      </w:pPr>
      <w:r w:rsidRPr="00F7263B">
        <w:rPr>
          <w:rStyle w:val="Hyperlink"/>
          <w:noProof/>
          <w:color w:val="auto"/>
          <w:sz w:val="20"/>
          <w:szCs w:val="20"/>
        </w:rPr>
        <w:fldChar w:fldCharType="begin"/>
      </w:r>
      <w:r w:rsidR="00D743FD" w:rsidRPr="00F7263B">
        <w:rPr>
          <w:rStyle w:val="Hyperlink"/>
          <w:noProof/>
          <w:color w:val="auto"/>
          <w:sz w:val="20"/>
          <w:szCs w:val="20"/>
        </w:rPr>
        <w:instrText xml:space="preserve"> TOC \h \z \c "Table" </w:instrText>
      </w:r>
      <w:r w:rsidRPr="00F7263B">
        <w:rPr>
          <w:rStyle w:val="Hyperlink"/>
          <w:noProof/>
          <w:color w:val="auto"/>
          <w:sz w:val="20"/>
          <w:szCs w:val="20"/>
        </w:rPr>
        <w:fldChar w:fldCharType="separate"/>
      </w:r>
      <w:hyperlink w:anchor="_Toc380087102" w:history="1">
        <w:r w:rsidR="007524FA" w:rsidRPr="00F7263B">
          <w:rPr>
            <w:rStyle w:val="Hyperlink"/>
            <w:noProof/>
            <w:sz w:val="20"/>
            <w:szCs w:val="20"/>
          </w:rPr>
          <w:t xml:space="preserve">Table 1: </w:t>
        </w:r>
        <w:r w:rsidR="007524FA" w:rsidRPr="00F7263B">
          <w:rPr>
            <w:rStyle w:val="Hyperlink"/>
            <w:noProof/>
            <w:sz w:val="20"/>
            <w:szCs w:val="20"/>
          </w:rPr>
          <w:tab/>
          <w:t>Urbanization rates of selected African countries (1960–2012)</w:t>
        </w:r>
        <w:r w:rsidR="007524FA" w:rsidRPr="00F7263B">
          <w:rPr>
            <w:noProof/>
            <w:webHidden/>
            <w:sz w:val="20"/>
            <w:szCs w:val="20"/>
          </w:rPr>
          <w:tab/>
        </w:r>
        <w:r w:rsidRPr="00F7263B">
          <w:rPr>
            <w:noProof/>
            <w:webHidden/>
            <w:sz w:val="20"/>
            <w:szCs w:val="20"/>
          </w:rPr>
          <w:fldChar w:fldCharType="begin"/>
        </w:r>
        <w:r w:rsidR="007524FA" w:rsidRPr="00F7263B">
          <w:rPr>
            <w:noProof/>
            <w:webHidden/>
            <w:sz w:val="20"/>
            <w:szCs w:val="20"/>
          </w:rPr>
          <w:instrText xml:space="preserve"> PAGEREF _Toc380087102 \h </w:instrText>
        </w:r>
        <w:r w:rsidRPr="00F7263B">
          <w:rPr>
            <w:noProof/>
            <w:webHidden/>
            <w:sz w:val="20"/>
            <w:szCs w:val="20"/>
          </w:rPr>
        </w:r>
        <w:r w:rsidRPr="00F7263B">
          <w:rPr>
            <w:noProof/>
            <w:webHidden/>
            <w:sz w:val="20"/>
            <w:szCs w:val="20"/>
          </w:rPr>
          <w:fldChar w:fldCharType="separate"/>
        </w:r>
        <w:r w:rsidR="00933073">
          <w:rPr>
            <w:noProof/>
            <w:webHidden/>
            <w:sz w:val="20"/>
            <w:szCs w:val="20"/>
          </w:rPr>
          <w:t>9</w:t>
        </w:r>
        <w:r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03" w:history="1">
        <w:r w:rsidR="007524FA" w:rsidRPr="00F7263B">
          <w:rPr>
            <w:rStyle w:val="Hyperlink"/>
            <w:noProof/>
            <w:sz w:val="20"/>
            <w:szCs w:val="20"/>
          </w:rPr>
          <w:t xml:space="preserve">Table 2: </w:t>
        </w:r>
        <w:r w:rsidR="007524FA" w:rsidRPr="00F7263B">
          <w:rPr>
            <w:rStyle w:val="Hyperlink"/>
            <w:noProof/>
            <w:sz w:val="20"/>
            <w:szCs w:val="20"/>
          </w:rPr>
          <w:tab/>
          <w:t>Level of access to urban services and infrastructure in the 19 largest ULGs</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_Toc380087103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10</w:t>
        </w:r>
        <w:r w:rsidR="00B845BE"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04" w:history="1">
        <w:r w:rsidR="007524FA" w:rsidRPr="00F7263B">
          <w:rPr>
            <w:rStyle w:val="Hyperlink"/>
            <w:noProof/>
            <w:sz w:val="20"/>
            <w:szCs w:val="20"/>
          </w:rPr>
          <w:t>Table 3</w:t>
        </w:r>
        <w:r w:rsidR="007524FA" w:rsidRPr="00F7263B">
          <w:rPr>
            <w:rStyle w:val="Hyperlink"/>
            <w:noProof/>
            <w:sz w:val="20"/>
            <w:szCs w:val="20"/>
            <w:lang w:val="en-GB"/>
          </w:rPr>
          <w:t xml:space="preserve">: </w:t>
        </w:r>
        <w:r w:rsidR="007524FA" w:rsidRPr="00F7263B">
          <w:rPr>
            <w:rStyle w:val="Hyperlink"/>
            <w:noProof/>
            <w:sz w:val="20"/>
            <w:szCs w:val="20"/>
            <w:lang w:val="en-GB"/>
          </w:rPr>
          <w:tab/>
          <w:t>Program financing (US$556.5 million)</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_Toc380087104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14</w:t>
        </w:r>
        <w:r w:rsidR="00B845BE"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05" w:history="1">
        <w:r w:rsidR="007524FA" w:rsidRPr="00F7263B">
          <w:rPr>
            <w:rStyle w:val="Hyperlink"/>
            <w:noProof/>
            <w:sz w:val="20"/>
            <w:szCs w:val="20"/>
          </w:rPr>
          <w:t xml:space="preserve">Table 4: </w:t>
        </w:r>
        <w:r w:rsidR="007524FA" w:rsidRPr="00F7263B">
          <w:rPr>
            <w:rStyle w:val="Hyperlink"/>
            <w:noProof/>
            <w:sz w:val="20"/>
            <w:szCs w:val="20"/>
          </w:rPr>
          <w:tab/>
          <w:t>Main capacity building activities in phases 1 and 2</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_Toc380087105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19</w:t>
        </w:r>
        <w:r w:rsidR="00B845BE"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06" w:history="1">
        <w:r w:rsidR="007524FA" w:rsidRPr="00F7263B">
          <w:rPr>
            <w:rStyle w:val="Hyperlink"/>
            <w:noProof/>
            <w:sz w:val="20"/>
            <w:szCs w:val="20"/>
          </w:rPr>
          <w:t xml:space="preserve">Table 5: </w:t>
        </w:r>
        <w:r w:rsidR="007524FA" w:rsidRPr="00F7263B">
          <w:rPr>
            <w:rStyle w:val="Hyperlink"/>
            <w:noProof/>
            <w:sz w:val="20"/>
            <w:szCs w:val="20"/>
          </w:rPr>
          <w:tab/>
          <w:t>Data generation and collection</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_Toc380087106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21</w:t>
        </w:r>
        <w:r w:rsidR="00B845BE"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07" w:history="1">
        <w:r w:rsidR="007524FA" w:rsidRPr="00F7263B">
          <w:rPr>
            <w:rStyle w:val="Hyperlink"/>
            <w:noProof/>
            <w:sz w:val="20"/>
            <w:szCs w:val="20"/>
          </w:rPr>
          <w:t xml:space="preserve">Table 6: </w:t>
        </w:r>
        <w:r w:rsidR="007524FA" w:rsidRPr="00F7263B">
          <w:rPr>
            <w:rStyle w:val="Hyperlink"/>
            <w:noProof/>
            <w:sz w:val="20"/>
            <w:szCs w:val="20"/>
          </w:rPr>
          <w:tab/>
          <w:t>Program expenditure framework (US$, million)</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_Toc380087107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25</w:t>
        </w:r>
        <w:r w:rsidR="00B845BE"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08" w:history="1">
        <w:r w:rsidR="007524FA" w:rsidRPr="00F7263B">
          <w:rPr>
            <w:rStyle w:val="Hyperlink"/>
            <w:noProof/>
            <w:sz w:val="20"/>
            <w:szCs w:val="20"/>
          </w:rPr>
          <w:t xml:space="preserve">Table 7: </w:t>
        </w:r>
        <w:r w:rsidR="007524FA" w:rsidRPr="00F7263B">
          <w:rPr>
            <w:rStyle w:val="Hyperlink"/>
            <w:noProof/>
            <w:sz w:val="20"/>
            <w:szCs w:val="20"/>
          </w:rPr>
          <w:tab/>
          <w:t>Cost of cobblestone roads compared with asphalt roads, selected cities</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_Toc380087108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25</w:t>
        </w:r>
        <w:r w:rsidR="00B845BE"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09" w:history="1">
        <w:r w:rsidR="007524FA" w:rsidRPr="00F7263B">
          <w:rPr>
            <w:rStyle w:val="Hyperlink"/>
            <w:noProof/>
            <w:sz w:val="20"/>
            <w:szCs w:val="20"/>
          </w:rPr>
          <w:t xml:space="preserve">Table 8: </w:t>
        </w:r>
        <w:r w:rsidR="007524FA" w:rsidRPr="00F7263B">
          <w:rPr>
            <w:rStyle w:val="Hyperlink"/>
            <w:noProof/>
            <w:sz w:val="20"/>
            <w:szCs w:val="20"/>
          </w:rPr>
          <w:tab/>
          <w:t>Summary of the economic analysis of investments in cobblestone roads</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_Toc380087109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26</w:t>
        </w:r>
        <w:r w:rsidR="00B845BE" w:rsidRPr="00F7263B">
          <w:rPr>
            <w:noProof/>
            <w:webHidden/>
            <w:sz w:val="20"/>
            <w:szCs w:val="20"/>
          </w:rPr>
          <w:fldChar w:fldCharType="end"/>
        </w:r>
      </w:hyperlink>
    </w:p>
    <w:p w:rsidR="007524FA" w:rsidRPr="00F7263B" w:rsidRDefault="00D72D1D" w:rsidP="007524FA">
      <w:pPr>
        <w:pStyle w:val="TableofFigures"/>
        <w:tabs>
          <w:tab w:val="left" w:pos="1080"/>
          <w:tab w:val="right" w:leader="dot" w:pos="9350"/>
        </w:tabs>
        <w:rPr>
          <w:rFonts w:asciiTheme="minorHAnsi" w:hAnsiTheme="minorHAnsi"/>
          <w:noProof/>
          <w:sz w:val="20"/>
          <w:szCs w:val="20"/>
        </w:rPr>
      </w:pPr>
      <w:hyperlink w:anchor="_Toc380087110" w:history="1">
        <w:r w:rsidR="007524FA" w:rsidRPr="00F7263B">
          <w:rPr>
            <w:rStyle w:val="Hyperlink"/>
            <w:noProof/>
            <w:sz w:val="20"/>
            <w:szCs w:val="20"/>
          </w:rPr>
          <w:t xml:space="preserve">Table 9: </w:t>
        </w:r>
        <w:r w:rsidR="007524FA" w:rsidRPr="00F7263B">
          <w:rPr>
            <w:rStyle w:val="Hyperlink"/>
            <w:noProof/>
            <w:sz w:val="20"/>
            <w:szCs w:val="20"/>
          </w:rPr>
          <w:tab/>
          <w:t>Integrated Risk Assessment Summary</w:t>
        </w:r>
        <w:r w:rsidR="007524FA" w:rsidRPr="00F7263B">
          <w:rPr>
            <w:noProof/>
            <w:webHidden/>
            <w:sz w:val="20"/>
            <w:szCs w:val="20"/>
          </w:rPr>
          <w:tab/>
        </w:r>
        <w:r w:rsidR="00B845BE" w:rsidRPr="00F7263B">
          <w:rPr>
            <w:noProof/>
            <w:webHidden/>
            <w:sz w:val="20"/>
            <w:szCs w:val="20"/>
          </w:rPr>
          <w:fldChar w:fldCharType="begin"/>
        </w:r>
        <w:r w:rsidR="007524FA" w:rsidRPr="00F7263B">
          <w:rPr>
            <w:noProof/>
            <w:webHidden/>
            <w:sz w:val="20"/>
            <w:szCs w:val="20"/>
          </w:rPr>
          <w:instrText xml:space="preserve"> PAGEREF _Toc380087110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31</w:t>
        </w:r>
        <w:r w:rsidR="00B845BE" w:rsidRPr="00F7263B">
          <w:rPr>
            <w:noProof/>
            <w:webHidden/>
            <w:sz w:val="20"/>
            <w:szCs w:val="20"/>
          </w:rPr>
          <w:fldChar w:fldCharType="end"/>
        </w:r>
      </w:hyperlink>
    </w:p>
    <w:p w:rsidR="00D743FD" w:rsidRPr="00F7263B" w:rsidRDefault="00B845BE" w:rsidP="00D743FD">
      <w:pPr>
        <w:pStyle w:val="TableofFigures"/>
        <w:tabs>
          <w:tab w:val="left" w:pos="1080"/>
          <w:tab w:val="right" w:leader="dot" w:pos="9350"/>
        </w:tabs>
        <w:jc w:val="both"/>
        <w:rPr>
          <w:rFonts w:cs="Times New Roman"/>
          <w:b/>
          <w:bCs/>
          <w:noProof/>
          <w:sz w:val="20"/>
          <w:szCs w:val="20"/>
        </w:rPr>
      </w:pPr>
      <w:r w:rsidRPr="00F7263B">
        <w:rPr>
          <w:rStyle w:val="Hyperlink"/>
          <w:noProof/>
          <w:color w:val="auto"/>
          <w:sz w:val="20"/>
          <w:szCs w:val="20"/>
        </w:rPr>
        <w:fldChar w:fldCharType="end"/>
      </w:r>
    </w:p>
    <w:p w:rsidR="00D743FD" w:rsidRPr="00F7263B" w:rsidRDefault="00D743FD" w:rsidP="00556F1B">
      <w:pPr>
        <w:pStyle w:val="NoSpacing"/>
        <w:jc w:val="both"/>
        <w:rPr>
          <w:rFonts w:ascii="Times New Roman" w:hAnsi="Times New Roman" w:cs="Times New Roman"/>
          <w:b/>
          <w:bCs/>
          <w:noProof/>
          <w:sz w:val="20"/>
          <w:szCs w:val="20"/>
        </w:rPr>
      </w:pPr>
    </w:p>
    <w:p w:rsidR="00D743FD" w:rsidRPr="00F7263B" w:rsidRDefault="00D743FD" w:rsidP="00556F1B">
      <w:pPr>
        <w:pStyle w:val="NoSpacing"/>
        <w:jc w:val="both"/>
        <w:rPr>
          <w:rFonts w:ascii="Times New Roman" w:hAnsi="Times New Roman" w:cs="Times New Roman"/>
          <w:b/>
          <w:bCs/>
          <w:noProof/>
          <w:sz w:val="20"/>
          <w:szCs w:val="20"/>
        </w:rPr>
      </w:pPr>
    </w:p>
    <w:p w:rsidR="00D743FD" w:rsidRPr="00F7263B" w:rsidRDefault="00D743FD" w:rsidP="00556F1B">
      <w:pPr>
        <w:pStyle w:val="NoSpacing"/>
        <w:jc w:val="both"/>
        <w:rPr>
          <w:rFonts w:ascii="Times New Roman" w:hAnsi="Times New Roman" w:cs="Times New Roman"/>
          <w:b/>
          <w:bCs/>
          <w:noProof/>
          <w:sz w:val="20"/>
          <w:szCs w:val="20"/>
        </w:rPr>
      </w:pPr>
    </w:p>
    <w:p w:rsidR="007A7B99" w:rsidRPr="00F7263B" w:rsidRDefault="001D2940" w:rsidP="00556F1B">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ANNEXES</w:t>
      </w:r>
    </w:p>
    <w:p w:rsidR="0029010F" w:rsidRPr="00F7263B" w:rsidRDefault="00B845BE" w:rsidP="009906BB">
      <w:pPr>
        <w:pStyle w:val="TableofFigures"/>
        <w:tabs>
          <w:tab w:val="left" w:pos="1080"/>
          <w:tab w:val="right" w:leader="dot" w:pos="9350"/>
        </w:tabs>
        <w:rPr>
          <w:rFonts w:asciiTheme="minorHAnsi" w:hAnsiTheme="minorHAnsi"/>
          <w:noProof/>
          <w:sz w:val="20"/>
          <w:szCs w:val="20"/>
        </w:rPr>
      </w:pPr>
      <w:r w:rsidRPr="00F7263B">
        <w:rPr>
          <w:rFonts w:cs="Times New Roman"/>
          <w:sz w:val="20"/>
          <w:szCs w:val="20"/>
        </w:rPr>
        <w:fldChar w:fldCharType="begin"/>
      </w:r>
      <w:r w:rsidR="0029010F" w:rsidRPr="00F7263B">
        <w:rPr>
          <w:rFonts w:cs="Times New Roman"/>
          <w:sz w:val="20"/>
          <w:szCs w:val="20"/>
        </w:rPr>
        <w:instrText xml:space="preserve"> TOC \h \z \c "Annex" </w:instrText>
      </w:r>
      <w:r w:rsidRPr="00F7263B">
        <w:rPr>
          <w:rFonts w:cs="Times New Roman"/>
          <w:sz w:val="20"/>
          <w:szCs w:val="20"/>
        </w:rPr>
        <w:fldChar w:fldCharType="separate"/>
      </w:r>
      <w:hyperlink w:anchor="_Toc380087827" w:history="1">
        <w:r w:rsidR="0029010F" w:rsidRPr="00F7263B">
          <w:rPr>
            <w:rStyle w:val="Hyperlink"/>
            <w:noProof/>
            <w:sz w:val="20"/>
            <w:szCs w:val="20"/>
          </w:rPr>
          <w:t xml:space="preserve">Annex 1: </w:t>
        </w:r>
        <w:r w:rsidR="009906BB" w:rsidRPr="00F7263B">
          <w:rPr>
            <w:rStyle w:val="Hyperlink"/>
            <w:noProof/>
            <w:sz w:val="20"/>
            <w:szCs w:val="20"/>
          </w:rPr>
          <w:tab/>
        </w:r>
        <w:r w:rsidR="0029010F" w:rsidRPr="00F7263B">
          <w:rPr>
            <w:rStyle w:val="Hyperlink"/>
            <w:noProof/>
            <w:sz w:val="20"/>
            <w:szCs w:val="20"/>
          </w:rPr>
          <w:t>Detailed Program Description</w:t>
        </w:r>
        <w:r w:rsidR="0029010F" w:rsidRPr="00F7263B">
          <w:rPr>
            <w:noProof/>
            <w:webHidden/>
            <w:sz w:val="20"/>
            <w:szCs w:val="20"/>
          </w:rPr>
          <w:tab/>
        </w:r>
        <w:r w:rsidRPr="00F7263B">
          <w:rPr>
            <w:noProof/>
            <w:webHidden/>
            <w:sz w:val="20"/>
            <w:szCs w:val="20"/>
          </w:rPr>
          <w:fldChar w:fldCharType="begin"/>
        </w:r>
        <w:r w:rsidR="0029010F" w:rsidRPr="00F7263B">
          <w:rPr>
            <w:noProof/>
            <w:webHidden/>
            <w:sz w:val="20"/>
            <w:szCs w:val="20"/>
          </w:rPr>
          <w:instrText xml:space="preserve"> PAGEREF _Toc380087827 \h </w:instrText>
        </w:r>
        <w:r w:rsidRPr="00F7263B">
          <w:rPr>
            <w:noProof/>
            <w:webHidden/>
            <w:sz w:val="20"/>
            <w:szCs w:val="20"/>
          </w:rPr>
        </w:r>
        <w:r w:rsidRPr="00F7263B">
          <w:rPr>
            <w:noProof/>
            <w:webHidden/>
            <w:sz w:val="20"/>
            <w:szCs w:val="20"/>
          </w:rPr>
          <w:fldChar w:fldCharType="separate"/>
        </w:r>
        <w:r w:rsidR="00933073">
          <w:rPr>
            <w:noProof/>
            <w:webHidden/>
            <w:sz w:val="20"/>
            <w:szCs w:val="20"/>
          </w:rPr>
          <w:t>33</w:t>
        </w:r>
        <w:r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rPr>
          <w:rFonts w:asciiTheme="minorHAnsi" w:hAnsiTheme="minorHAnsi"/>
          <w:noProof/>
          <w:sz w:val="20"/>
          <w:szCs w:val="20"/>
        </w:rPr>
      </w:pPr>
      <w:hyperlink w:anchor="_Toc380087828" w:history="1">
        <w:r w:rsidR="0029010F" w:rsidRPr="00F7263B">
          <w:rPr>
            <w:rStyle w:val="Hyperlink"/>
            <w:noProof/>
            <w:sz w:val="20"/>
            <w:szCs w:val="20"/>
          </w:rPr>
          <w:t xml:space="preserve">Annex 2: </w:t>
        </w:r>
        <w:r w:rsidR="009906BB" w:rsidRPr="00F7263B">
          <w:rPr>
            <w:rStyle w:val="Hyperlink"/>
            <w:noProof/>
            <w:sz w:val="20"/>
            <w:szCs w:val="20"/>
          </w:rPr>
          <w:tab/>
        </w:r>
        <w:r w:rsidR="0029010F" w:rsidRPr="00F7263B">
          <w:rPr>
            <w:rStyle w:val="Hyperlink"/>
            <w:noProof/>
            <w:sz w:val="20"/>
            <w:szCs w:val="20"/>
          </w:rPr>
          <w:t>Results Framework Matrix</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_Toc380087828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51</w:t>
        </w:r>
        <w:r w:rsidR="00B845BE"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ind w:left="1080" w:hanging="1080"/>
        <w:rPr>
          <w:rFonts w:asciiTheme="minorHAnsi" w:hAnsiTheme="minorHAnsi"/>
          <w:noProof/>
          <w:sz w:val="20"/>
          <w:szCs w:val="20"/>
        </w:rPr>
      </w:pPr>
      <w:hyperlink w:anchor="_Toc380087829" w:history="1">
        <w:r w:rsidR="0029010F" w:rsidRPr="00F7263B">
          <w:rPr>
            <w:rStyle w:val="Hyperlink"/>
            <w:noProof/>
            <w:sz w:val="20"/>
            <w:szCs w:val="20"/>
          </w:rPr>
          <w:t xml:space="preserve">Annex 3: </w:t>
        </w:r>
        <w:r w:rsidR="009906BB" w:rsidRPr="00F7263B">
          <w:rPr>
            <w:rStyle w:val="Hyperlink"/>
            <w:noProof/>
            <w:sz w:val="20"/>
            <w:szCs w:val="20"/>
          </w:rPr>
          <w:tab/>
        </w:r>
        <w:r w:rsidR="0029010F" w:rsidRPr="00F7263B">
          <w:rPr>
            <w:rStyle w:val="Hyperlink"/>
            <w:noProof/>
            <w:sz w:val="20"/>
            <w:szCs w:val="20"/>
          </w:rPr>
          <w:t>Disbursement Linked Indicators, Disbursement Arrangements, and Verification Protocols</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_Toc380087829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54</w:t>
        </w:r>
        <w:r w:rsidR="00B845BE"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rPr>
          <w:rFonts w:asciiTheme="minorHAnsi" w:hAnsiTheme="minorHAnsi"/>
          <w:noProof/>
          <w:sz w:val="20"/>
          <w:szCs w:val="20"/>
        </w:rPr>
      </w:pPr>
      <w:hyperlink w:anchor="_Toc380087830" w:history="1">
        <w:r w:rsidR="0029010F" w:rsidRPr="00F7263B">
          <w:rPr>
            <w:rStyle w:val="Hyperlink"/>
            <w:noProof/>
            <w:sz w:val="20"/>
            <w:szCs w:val="20"/>
          </w:rPr>
          <w:t xml:space="preserve">Annex 4: </w:t>
        </w:r>
        <w:r w:rsidR="009906BB" w:rsidRPr="00F7263B">
          <w:rPr>
            <w:rStyle w:val="Hyperlink"/>
            <w:noProof/>
            <w:sz w:val="20"/>
            <w:szCs w:val="20"/>
          </w:rPr>
          <w:tab/>
        </w:r>
        <w:r w:rsidR="0029010F" w:rsidRPr="00F7263B">
          <w:rPr>
            <w:rStyle w:val="Hyperlink"/>
            <w:noProof/>
            <w:sz w:val="20"/>
            <w:szCs w:val="20"/>
          </w:rPr>
          <w:t>Summary of Technical Assessment</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_Toc380087830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71</w:t>
        </w:r>
        <w:r w:rsidR="00B845BE"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rPr>
          <w:rFonts w:asciiTheme="minorHAnsi" w:hAnsiTheme="minorHAnsi"/>
          <w:noProof/>
          <w:sz w:val="20"/>
          <w:szCs w:val="20"/>
        </w:rPr>
      </w:pPr>
      <w:hyperlink w:anchor="_Toc380087831" w:history="1">
        <w:r w:rsidR="0029010F" w:rsidRPr="00F7263B">
          <w:rPr>
            <w:rStyle w:val="Hyperlink"/>
            <w:noProof/>
            <w:sz w:val="20"/>
            <w:szCs w:val="20"/>
          </w:rPr>
          <w:t xml:space="preserve">Annex 5: </w:t>
        </w:r>
        <w:r w:rsidR="009906BB" w:rsidRPr="00F7263B">
          <w:rPr>
            <w:rStyle w:val="Hyperlink"/>
            <w:noProof/>
            <w:sz w:val="20"/>
            <w:szCs w:val="20"/>
          </w:rPr>
          <w:tab/>
        </w:r>
        <w:r w:rsidR="0029010F" w:rsidRPr="00F7263B">
          <w:rPr>
            <w:rStyle w:val="Hyperlink"/>
            <w:noProof/>
            <w:sz w:val="20"/>
            <w:szCs w:val="20"/>
          </w:rPr>
          <w:t>Summary Fiduciary Systems Assessment</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_Toc380087831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88</w:t>
        </w:r>
        <w:r w:rsidR="00B845BE"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rPr>
          <w:rFonts w:asciiTheme="minorHAnsi" w:hAnsiTheme="minorHAnsi"/>
          <w:noProof/>
          <w:sz w:val="20"/>
          <w:szCs w:val="20"/>
        </w:rPr>
      </w:pPr>
      <w:hyperlink w:anchor="_Toc380087832" w:history="1">
        <w:r w:rsidR="0029010F" w:rsidRPr="00F7263B">
          <w:rPr>
            <w:rStyle w:val="Hyperlink"/>
            <w:noProof/>
            <w:sz w:val="20"/>
            <w:szCs w:val="20"/>
          </w:rPr>
          <w:t xml:space="preserve">Annex 6: </w:t>
        </w:r>
        <w:r w:rsidR="009906BB" w:rsidRPr="00F7263B">
          <w:rPr>
            <w:rStyle w:val="Hyperlink"/>
            <w:noProof/>
            <w:sz w:val="20"/>
            <w:szCs w:val="20"/>
          </w:rPr>
          <w:tab/>
        </w:r>
        <w:r w:rsidR="0029010F" w:rsidRPr="00F7263B">
          <w:rPr>
            <w:rStyle w:val="Hyperlink"/>
            <w:noProof/>
            <w:sz w:val="20"/>
            <w:szCs w:val="20"/>
          </w:rPr>
          <w:t>Summary Environmental and Social Systems Assessment</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_Toc380087832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106</w:t>
        </w:r>
        <w:r w:rsidR="00B845BE"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rPr>
          <w:rFonts w:asciiTheme="minorHAnsi" w:hAnsiTheme="minorHAnsi"/>
          <w:noProof/>
          <w:sz w:val="20"/>
          <w:szCs w:val="20"/>
        </w:rPr>
      </w:pPr>
      <w:hyperlink w:anchor="_Toc380087833" w:history="1">
        <w:r w:rsidR="0029010F" w:rsidRPr="00F7263B">
          <w:rPr>
            <w:rStyle w:val="Hyperlink"/>
            <w:noProof/>
            <w:sz w:val="20"/>
            <w:szCs w:val="20"/>
          </w:rPr>
          <w:t xml:space="preserve">Annex 7: </w:t>
        </w:r>
        <w:r w:rsidR="009906BB" w:rsidRPr="00F7263B">
          <w:rPr>
            <w:rStyle w:val="Hyperlink"/>
            <w:noProof/>
            <w:sz w:val="20"/>
            <w:szCs w:val="20"/>
          </w:rPr>
          <w:tab/>
        </w:r>
        <w:r w:rsidR="0029010F" w:rsidRPr="00F7263B">
          <w:rPr>
            <w:rStyle w:val="Hyperlink"/>
            <w:noProof/>
            <w:sz w:val="20"/>
            <w:szCs w:val="20"/>
          </w:rPr>
          <w:t>Integrated Risk Assessment</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_Toc380087833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109</w:t>
        </w:r>
        <w:r w:rsidR="00B845BE"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rPr>
          <w:rFonts w:asciiTheme="minorHAnsi" w:hAnsiTheme="minorHAnsi"/>
          <w:noProof/>
          <w:sz w:val="20"/>
          <w:szCs w:val="20"/>
        </w:rPr>
      </w:pPr>
      <w:hyperlink w:anchor="_Toc380087834" w:history="1">
        <w:r w:rsidR="0029010F" w:rsidRPr="00F7263B">
          <w:rPr>
            <w:rStyle w:val="Hyperlink"/>
            <w:noProof/>
            <w:sz w:val="20"/>
            <w:szCs w:val="20"/>
          </w:rPr>
          <w:t xml:space="preserve">Annex 8: </w:t>
        </w:r>
        <w:r w:rsidR="009906BB" w:rsidRPr="00F7263B">
          <w:rPr>
            <w:rStyle w:val="Hyperlink"/>
            <w:noProof/>
            <w:sz w:val="20"/>
            <w:szCs w:val="20"/>
          </w:rPr>
          <w:tab/>
        </w:r>
        <w:r w:rsidR="0029010F" w:rsidRPr="00F7263B">
          <w:rPr>
            <w:rStyle w:val="Hyperlink"/>
            <w:noProof/>
            <w:sz w:val="20"/>
            <w:szCs w:val="20"/>
          </w:rPr>
          <w:t>Program Action Plan</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_Toc380087834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112</w:t>
        </w:r>
        <w:r w:rsidR="00B845BE" w:rsidRPr="00F7263B">
          <w:rPr>
            <w:noProof/>
            <w:webHidden/>
            <w:sz w:val="20"/>
            <w:szCs w:val="20"/>
          </w:rPr>
          <w:fldChar w:fldCharType="end"/>
        </w:r>
      </w:hyperlink>
    </w:p>
    <w:p w:rsidR="0029010F" w:rsidRPr="00F7263B" w:rsidRDefault="00D72D1D" w:rsidP="009906BB">
      <w:pPr>
        <w:pStyle w:val="TableofFigures"/>
        <w:tabs>
          <w:tab w:val="left" w:pos="1080"/>
          <w:tab w:val="right" w:leader="dot" w:pos="9350"/>
        </w:tabs>
        <w:rPr>
          <w:rFonts w:asciiTheme="minorHAnsi" w:hAnsiTheme="minorHAnsi"/>
          <w:noProof/>
          <w:sz w:val="20"/>
          <w:szCs w:val="20"/>
        </w:rPr>
      </w:pPr>
      <w:hyperlink w:anchor="_Toc380087835" w:history="1">
        <w:r w:rsidR="0029010F" w:rsidRPr="00F7263B">
          <w:rPr>
            <w:rStyle w:val="Hyperlink"/>
            <w:noProof/>
            <w:sz w:val="20"/>
            <w:szCs w:val="20"/>
          </w:rPr>
          <w:t xml:space="preserve">Annex 9: </w:t>
        </w:r>
        <w:r w:rsidR="009906BB" w:rsidRPr="00F7263B">
          <w:rPr>
            <w:rStyle w:val="Hyperlink"/>
            <w:noProof/>
            <w:sz w:val="20"/>
            <w:szCs w:val="20"/>
          </w:rPr>
          <w:tab/>
        </w:r>
        <w:r w:rsidR="0029010F" w:rsidRPr="00F7263B">
          <w:rPr>
            <w:rStyle w:val="Hyperlink"/>
            <w:noProof/>
            <w:sz w:val="20"/>
            <w:szCs w:val="20"/>
          </w:rPr>
          <w:t>Implementation Support Plan</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_Toc380087835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117</w:t>
        </w:r>
        <w:r w:rsidR="00B845BE" w:rsidRPr="00F7263B">
          <w:rPr>
            <w:noProof/>
            <w:webHidden/>
            <w:sz w:val="20"/>
            <w:szCs w:val="20"/>
          </w:rPr>
          <w:fldChar w:fldCharType="end"/>
        </w:r>
      </w:hyperlink>
    </w:p>
    <w:p w:rsidR="0029010F" w:rsidRPr="00F7263B" w:rsidRDefault="00D72D1D" w:rsidP="00000AE2">
      <w:pPr>
        <w:pStyle w:val="TableofFigures"/>
        <w:tabs>
          <w:tab w:val="left" w:pos="1080"/>
          <w:tab w:val="right" w:leader="dot" w:pos="9350"/>
        </w:tabs>
        <w:rPr>
          <w:rFonts w:asciiTheme="minorHAnsi" w:hAnsiTheme="minorHAnsi"/>
          <w:noProof/>
          <w:sz w:val="20"/>
          <w:szCs w:val="20"/>
        </w:rPr>
      </w:pPr>
      <w:hyperlink w:anchor="_Toc380087836" w:history="1">
        <w:r w:rsidR="0029010F" w:rsidRPr="00F7263B">
          <w:rPr>
            <w:rStyle w:val="Hyperlink"/>
            <w:noProof/>
            <w:sz w:val="20"/>
            <w:szCs w:val="20"/>
          </w:rPr>
          <w:t xml:space="preserve">Annex 10: </w:t>
        </w:r>
        <w:r w:rsidR="00000AE2" w:rsidRPr="00F7263B">
          <w:rPr>
            <w:rStyle w:val="Hyperlink"/>
            <w:noProof/>
            <w:sz w:val="20"/>
            <w:szCs w:val="20"/>
          </w:rPr>
          <w:tab/>
        </w:r>
        <w:r w:rsidR="0029010F" w:rsidRPr="00F7263B">
          <w:rPr>
            <w:rStyle w:val="Hyperlink"/>
            <w:noProof/>
            <w:sz w:val="20"/>
            <w:szCs w:val="20"/>
          </w:rPr>
          <w:t>Program Minimum Conditions and Performance Measures</w:t>
        </w:r>
        <w:r w:rsidR="0029010F" w:rsidRPr="00F7263B">
          <w:rPr>
            <w:noProof/>
            <w:webHidden/>
            <w:sz w:val="20"/>
            <w:szCs w:val="20"/>
          </w:rPr>
          <w:tab/>
        </w:r>
        <w:r w:rsidR="00B845BE" w:rsidRPr="00F7263B">
          <w:rPr>
            <w:noProof/>
            <w:webHidden/>
            <w:sz w:val="20"/>
            <w:szCs w:val="20"/>
          </w:rPr>
          <w:fldChar w:fldCharType="begin"/>
        </w:r>
        <w:r w:rsidR="0029010F" w:rsidRPr="00F7263B">
          <w:rPr>
            <w:noProof/>
            <w:webHidden/>
            <w:sz w:val="20"/>
            <w:szCs w:val="20"/>
          </w:rPr>
          <w:instrText xml:space="preserve"> PAGEREF _Toc380087836 \h </w:instrText>
        </w:r>
        <w:r w:rsidR="00B845BE" w:rsidRPr="00F7263B">
          <w:rPr>
            <w:noProof/>
            <w:webHidden/>
            <w:sz w:val="20"/>
            <w:szCs w:val="20"/>
          </w:rPr>
        </w:r>
        <w:r w:rsidR="00B845BE" w:rsidRPr="00F7263B">
          <w:rPr>
            <w:noProof/>
            <w:webHidden/>
            <w:sz w:val="20"/>
            <w:szCs w:val="20"/>
          </w:rPr>
          <w:fldChar w:fldCharType="separate"/>
        </w:r>
        <w:r w:rsidR="00933073">
          <w:rPr>
            <w:noProof/>
            <w:webHidden/>
            <w:sz w:val="20"/>
            <w:szCs w:val="20"/>
          </w:rPr>
          <w:t>118</w:t>
        </w:r>
        <w:r w:rsidR="00B845BE" w:rsidRPr="00F7263B">
          <w:rPr>
            <w:noProof/>
            <w:webHidden/>
            <w:sz w:val="20"/>
            <w:szCs w:val="20"/>
          </w:rPr>
          <w:fldChar w:fldCharType="end"/>
        </w:r>
      </w:hyperlink>
    </w:p>
    <w:p w:rsidR="00AB3703" w:rsidRPr="00F7263B" w:rsidRDefault="00B845BE" w:rsidP="009906BB">
      <w:pPr>
        <w:pStyle w:val="TableofFigures"/>
        <w:tabs>
          <w:tab w:val="left" w:pos="1080"/>
          <w:tab w:val="left" w:pos="1260"/>
          <w:tab w:val="right" w:leader="dot" w:pos="9350"/>
        </w:tabs>
        <w:rPr>
          <w:rFonts w:cs="Times New Roman"/>
          <w:sz w:val="20"/>
          <w:szCs w:val="20"/>
        </w:rPr>
      </w:pPr>
      <w:r w:rsidRPr="00F7263B">
        <w:rPr>
          <w:rFonts w:cs="Times New Roman"/>
          <w:sz w:val="20"/>
          <w:szCs w:val="20"/>
        </w:rPr>
        <w:fldChar w:fldCharType="end"/>
      </w:r>
    </w:p>
    <w:p w:rsidR="009308AE" w:rsidRPr="00F7263B" w:rsidRDefault="009308AE" w:rsidP="00556F1B">
      <w:pPr>
        <w:pStyle w:val="NoSpacing"/>
        <w:jc w:val="both"/>
        <w:rPr>
          <w:rFonts w:ascii="Times New Roman" w:hAnsi="Times New Roman" w:cs="Times New Roman"/>
          <w:sz w:val="20"/>
          <w:szCs w:val="20"/>
        </w:rPr>
      </w:pPr>
    </w:p>
    <w:p w:rsidR="009308AE" w:rsidRPr="00F7263B" w:rsidRDefault="009308AE" w:rsidP="00556F1B">
      <w:pPr>
        <w:pStyle w:val="NoSpacing"/>
        <w:jc w:val="both"/>
        <w:rPr>
          <w:rFonts w:ascii="Times New Roman" w:hAnsi="Times New Roman" w:cs="Times New Roman"/>
          <w:sz w:val="20"/>
          <w:szCs w:val="20"/>
        </w:rPr>
      </w:pPr>
    </w:p>
    <w:p w:rsidR="009308AE" w:rsidRPr="00F7263B" w:rsidRDefault="009308AE" w:rsidP="00556F1B">
      <w:pPr>
        <w:pStyle w:val="NoSpacing"/>
        <w:jc w:val="both"/>
        <w:rPr>
          <w:rFonts w:ascii="Times New Roman" w:hAnsi="Times New Roman" w:cs="Times New Roman"/>
          <w:sz w:val="20"/>
          <w:szCs w:val="20"/>
        </w:rPr>
      </w:pPr>
    </w:p>
    <w:p w:rsidR="00A7596D" w:rsidRPr="004D2289" w:rsidRDefault="00A7596D" w:rsidP="004D2289">
      <w:pPr>
        <w:jc w:val="both"/>
        <w:rPr>
          <w:rFonts w:cs="Times New Roman"/>
          <w:sz w:val="20"/>
          <w:szCs w:val="20"/>
        </w:rPr>
      </w:pPr>
    </w:p>
    <w:tbl>
      <w:tblPr>
        <w:tblW w:w="9672"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0" w:type="dxa"/>
          <w:right w:w="50" w:type="dxa"/>
        </w:tblCellMar>
        <w:tblLook w:val="0000" w:firstRow="0" w:lastRow="0" w:firstColumn="0" w:lastColumn="0" w:noHBand="0" w:noVBand="0"/>
      </w:tblPr>
      <w:tblGrid>
        <w:gridCol w:w="79"/>
        <w:gridCol w:w="425"/>
        <w:gridCol w:w="518"/>
        <w:gridCol w:w="296"/>
        <w:gridCol w:w="86"/>
        <w:gridCol w:w="15"/>
        <w:gridCol w:w="409"/>
        <w:gridCol w:w="139"/>
        <w:gridCol w:w="65"/>
        <w:gridCol w:w="286"/>
        <w:gridCol w:w="122"/>
        <w:gridCol w:w="339"/>
        <w:gridCol w:w="134"/>
        <w:gridCol w:w="139"/>
        <w:gridCol w:w="510"/>
        <w:gridCol w:w="27"/>
        <w:gridCol w:w="270"/>
        <w:gridCol w:w="518"/>
        <w:gridCol w:w="203"/>
        <w:gridCol w:w="225"/>
        <w:gridCol w:w="285"/>
        <w:gridCol w:w="119"/>
        <w:gridCol w:w="187"/>
        <w:gridCol w:w="355"/>
        <w:gridCol w:w="155"/>
        <w:gridCol w:w="305"/>
        <w:gridCol w:w="78"/>
        <w:gridCol w:w="844"/>
        <w:gridCol w:w="37"/>
        <w:gridCol w:w="61"/>
        <w:gridCol w:w="412"/>
        <w:gridCol w:w="189"/>
        <w:gridCol w:w="548"/>
        <w:gridCol w:w="19"/>
        <w:gridCol w:w="190"/>
        <w:gridCol w:w="378"/>
        <w:gridCol w:w="656"/>
        <w:gridCol w:w="49"/>
      </w:tblGrid>
      <w:tr w:rsidR="00FF7EE4" w:rsidRPr="00F7263B">
        <w:trPr>
          <w:gridAfter w:val="1"/>
          <w:wAfter w:w="49" w:type="dxa"/>
          <w:trHeight w:val="401"/>
        </w:trPr>
        <w:tc>
          <w:tcPr>
            <w:tcW w:w="9623" w:type="dxa"/>
            <w:gridSpan w:val="3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1D2940" w:rsidP="00740850">
            <w:pPr>
              <w:pStyle w:val="Tableheading"/>
            </w:pPr>
            <w:r w:rsidRPr="00F7263B">
              <w:t>PAD DATA SHEET</w:t>
            </w:r>
          </w:p>
        </w:tc>
      </w:tr>
      <w:tr w:rsidR="00FF7EE4" w:rsidRPr="00F7263B">
        <w:trPr>
          <w:gridAfter w:val="1"/>
          <w:wAfter w:w="49" w:type="dxa"/>
          <w:trHeight w:val="145"/>
        </w:trPr>
        <w:tc>
          <w:tcPr>
            <w:tcW w:w="9623" w:type="dxa"/>
            <w:gridSpan w:val="3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1D2940" w:rsidP="00740850">
            <w:pPr>
              <w:pStyle w:val="Tableheading"/>
              <w:rPr>
                <w:color w:val="FFFFFF"/>
              </w:rPr>
            </w:pPr>
            <w:r w:rsidRPr="00F7263B">
              <w:rPr>
                <w:color w:val="FFFFFF"/>
              </w:rPr>
              <w:t>.</w:t>
            </w:r>
          </w:p>
        </w:tc>
      </w:tr>
      <w:tr w:rsidR="00FF7EE4" w:rsidRPr="00F7263B">
        <w:trPr>
          <w:gridAfter w:val="1"/>
          <w:wAfter w:w="49" w:type="dxa"/>
          <w:trHeight w:val="145"/>
        </w:trPr>
        <w:tc>
          <w:tcPr>
            <w:tcW w:w="9623" w:type="dxa"/>
            <w:gridSpan w:val="3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D757F1" w:rsidP="00740850">
            <w:pPr>
              <w:pStyle w:val="Tableheading"/>
              <w:rPr>
                <w:i w:val="0"/>
              </w:rPr>
            </w:pPr>
            <w:r w:rsidRPr="00F7263B">
              <w:rPr>
                <w:i w:val="0"/>
                <w:caps/>
                <w:color w:val="000000"/>
              </w:rPr>
              <w:t>FEDERAL DEMOCRATIC REPUBLIC OF ETHIOPIA</w:t>
            </w:r>
          </w:p>
        </w:tc>
      </w:tr>
      <w:tr w:rsidR="00FF7EE4" w:rsidRPr="00F7263B">
        <w:trPr>
          <w:gridAfter w:val="1"/>
          <w:wAfter w:w="49" w:type="dxa"/>
          <w:trHeight w:val="145"/>
        </w:trPr>
        <w:tc>
          <w:tcPr>
            <w:tcW w:w="9623" w:type="dxa"/>
            <w:gridSpan w:val="3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D44746" w:rsidP="00740850">
            <w:pPr>
              <w:jc w:val="center"/>
              <w:rPr>
                <w:rFonts w:cs="Times New Roman"/>
                <w:b/>
                <w:sz w:val="20"/>
                <w:szCs w:val="20"/>
              </w:rPr>
            </w:pPr>
            <w:r w:rsidRPr="00F7263B">
              <w:rPr>
                <w:rFonts w:cs="Times New Roman"/>
                <w:b/>
                <w:color w:val="000000"/>
                <w:sz w:val="20"/>
                <w:szCs w:val="20"/>
              </w:rPr>
              <w:t>SECOND URBAN LOCAL GOVERNMENT DEVELOPMENT PR</w:t>
            </w:r>
            <w:r w:rsidR="005B74EC" w:rsidRPr="00F7263B">
              <w:rPr>
                <w:rFonts w:cs="Times New Roman"/>
                <w:b/>
                <w:color w:val="000000"/>
                <w:sz w:val="20"/>
                <w:szCs w:val="20"/>
              </w:rPr>
              <w:t>OGRAM</w:t>
            </w:r>
          </w:p>
        </w:tc>
      </w:tr>
      <w:tr w:rsidR="00FF7EE4" w:rsidRPr="00F7263B">
        <w:trPr>
          <w:gridAfter w:val="1"/>
          <w:wAfter w:w="49" w:type="dxa"/>
          <w:trHeight w:val="145"/>
        </w:trPr>
        <w:tc>
          <w:tcPr>
            <w:tcW w:w="9623" w:type="dxa"/>
            <w:gridSpan w:val="3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1D2940" w:rsidP="00740850">
            <w:pPr>
              <w:jc w:val="center"/>
              <w:rPr>
                <w:rFonts w:cs="Times New Roman"/>
                <w:color w:val="FFFFFF"/>
                <w:sz w:val="20"/>
                <w:szCs w:val="20"/>
              </w:rPr>
            </w:pPr>
            <w:r w:rsidRPr="00F7263B">
              <w:rPr>
                <w:rFonts w:cs="Times New Roman"/>
                <w:color w:val="FFFFFF"/>
                <w:sz w:val="20"/>
                <w:szCs w:val="20"/>
              </w:rPr>
              <w:t>.</w:t>
            </w:r>
          </w:p>
        </w:tc>
      </w:tr>
      <w:tr w:rsidR="00FF7EE4" w:rsidRPr="00F7263B">
        <w:trPr>
          <w:gridAfter w:val="1"/>
          <w:wAfter w:w="49" w:type="dxa"/>
          <w:trHeight w:val="239"/>
        </w:trPr>
        <w:tc>
          <w:tcPr>
            <w:tcW w:w="9623" w:type="dxa"/>
            <w:gridSpan w:val="3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1D2940" w:rsidP="00740850">
            <w:pPr>
              <w:jc w:val="center"/>
              <w:rPr>
                <w:rFonts w:cs="Times New Roman"/>
                <w:sz w:val="20"/>
                <w:szCs w:val="20"/>
              </w:rPr>
            </w:pPr>
            <w:r w:rsidRPr="00F7263B">
              <w:rPr>
                <w:rFonts w:cs="Times New Roman"/>
                <w:b/>
                <w:bCs/>
                <w:sz w:val="20"/>
                <w:szCs w:val="20"/>
              </w:rPr>
              <w:t>PROGRAM APPRAISAL DOCUMENT</w:t>
            </w:r>
          </w:p>
        </w:tc>
      </w:tr>
      <w:tr w:rsidR="00FF7EE4" w:rsidRPr="00F7263B">
        <w:trPr>
          <w:gridAfter w:val="1"/>
          <w:wAfter w:w="49" w:type="dxa"/>
          <w:trHeight w:val="145"/>
        </w:trPr>
        <w:tc>
          <w:tcPr>
            <w:tcW w:w="9623" w:type="dxa"/>
            <w:gridSpan w:val="3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1D2940" w:rsidP="00740850">
            <w:pPr>
              <w:jc w:val="center"/>
              <w:rPr>
                <w:rFonts w:cs="Times New Roman"/>
                <w:color w:val="FFFFFF"/>
                <w:sz w:val="20"/>
                <w:szCs w:val="20"/>
              </w:rPr>
            </w:pPr>
            <w:r w:rsidRPr="00F7263B">
              <w:rPr>
                <w:rFonts w:cs="Times New Roman"/>
                <w:color w:val="FFFFFF"/>
                <w:sz w:val="20"/>
                <w:szCs w:val="20"/>
              </w:rPr>
              <w:t>.</w:t>
            </w:r>
          </w:p>
        </w:tc>
      </w:tr>
      <w:tr w:rsidR="00FF7EE4" w:rsidRPr="00F7263B">
        <w:trPr>
          <w:gridAfter w:val="1"/>
          <w:wAfter w:w="49" w:type="dxa"/>
          <w:trHeight w:val="511"/>
        </w:trPr>
        <w:tc>
          <w:tcPr>
            <w:tcW w:w="9623" w:type="dxa"/>
            <w:gridSpan w:val="37"/>
            <w:vMerge w:val="restart"/>
            <w:tcBorders>
              <w:top w:val="nil"/>
              <w:left w:val="nil"/>
              <w:bottom w:val="nil"/>
              <w:right w:val="nil"/>
            </w:tcBorders>
            <w:shd w:val="clear" w:color="auto" w:fill="FFFFFF"/>
            <w:tcMar>
              <w:top w:w="50" w:type="dxa"/>
              <w:left w:w="50" w:type="dxa"/>
              <w:bottom w:w="50" w:type="dxa"/>
              <w:right w:w="50" w:type="dxa"/>
            </w:tcMar>
          </w:tcPr>
          <w:p w:rsidR="00196A60" w:rsidRPr="00F7263B" w:rsidRDefault="00D757F1" w:rsidP="00B026F6">
            <w:pPr>
              <w:pStyle w:val="NoSpacing"/>
              <w:jc w:val="center"/>
              <w:rPr>
                <w:rFonts w:ascii="Times New Roman" w:hAnsi="Times New Roman" w:cs="Times New Roman"/>
                <w:i/>
                <w:sz w:val="20"/>
                <w:szCs w:val="20"/>
              </w:rPr>
            </w:pPr>
            <w:r w:rsidRPr="00F7263B">
              <w:rPr>
                <w:rFonts w:ascii="Times New Roman" w:hAnsi="Times New Roman" w:cs="Times New Roman"/>
                <w:i/>
                <w:sz w:val="20"/>
                <w:szCs w:val="20"/>
              </w:rPr>
              <w:t>AFRICA</w:t>
            </w:r>
          </w:p>
          <w:p w:rsidR="004B3337" w:rsidRPr="00F7263B" w:rsidRDefault="00D757F1" w:rsidP="00472184">
            <w:pPr>
              <w:pStyle w:val="NoSpacing"/>
              <w:jc w:val="center"/>
              <w:rPr>
                <w:rFonts w:ascii="Times New Roman" w:hAnsi="Times New Roman" w:cs="Times New Roman"/>
                <w:sz w:val="20"/>
                <w:szCs w:val="20"/>
              </w:rPr>
            </w:pPr>
            <w:r w:rsidRPr="00F7263B">
              <w:rPr>
                <w:rFonts w:ascii="Times New Roman" w:hAnsi="Times New Roman" w:cs="Times New Roman"/>
                <w:i/>
                <w:sz w:val="20"/>
                <w:szCs w:val="20"/>
              </w:rPr>
              <w:t>AFTU1</w:t>
            </w:r>
          </w:p>
        </w:tc>
      </w:tr>
      <w:tr w:rsidR="00FF7EE4" w:rsidRPr="00F7263B" w:rsidTr="00254260">
        <w:trPr>
          <w:gridAfter w:val="1"/>
          <w:wAfter w:w="49" w:type="dxa"/>
          <w:trHeight w:val="276"/>
        </w:trPr>
        <w:tc>
          <w:tcPr>
            <w:tcW w:w="9623" w:type="dxa"/>
            <w:gridSpan w:val="37"/>
            <w:vMerge/>
            <w:tcBorders>
              <w:top w:val="nil"/>
              <w:left w:val="nil"/>
              <w:bottom w:val="nil"/>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r>
      <w:tr w:rsidR="00FF7EE4" w:rsidRPr="00F7263B">
        <w:trPr>
          <w:gridAfter w:val="1"/>
          <w:wAfter w:w="49" w:type="dxa"/>
          <w:trHeight w:val="20"/>
        </w:trPr>
        <w:tc>
          <w:tcPr>
            <w:tcW w:w="9623"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rsidR="00FF7EE4" w:rsidRPr="00F7263B" w:rsidRDefault="001D2940" w:rsidP="00556F1B">
            <w:pPr>
              <w:jc w:val="both"/>
              <w:rPr>
                <w:rFonts w:cs="Times New Roman"/>
                <w:sz w:val="20"/>
                <w:szCs w:val="20"/>
              </w:rPr>
            </w:pPr>
            <w:r w:rsidRPr="00F7263B">
              <w:rPr>
                <w:rFonts w:cs="Times New Roman"/>
                <w:sz w:val="20"/>
                <w:szCs w:val="20"/>
              </w:rPr>
              <w:t>.</w:t>
            </w:r>
          </w:p>
        </w:tc>
      </w:tr>
      <w:tr w:rsidR="00FF7EE4" w:rsidRPr="00F7263B">
        <w:trPr>
          <w:gridAfter w:val="1"/>
          <w:wAfter w:w="49" w:type="dxa"/>
          <w:trHeight w:val="145"/>
        </w:trPr>
        <w:tc>
          <w:tcPr>
            <w:tcW w:w="9623" w:type="dxa"/>
            <w:gridSpan w:val="37"/>
            <w:tcBorders>
              <w:top w:val="single" w:sz="4" w:space="0" w:color="000000"/>
              <w:left w:val="nil"/>
              <w:bottom w:val="single" w:sz="4" w:space="0" w:color="000000"/>
              <w:right w:val="nil"/>
            </w:tcBorders>
            <w:shd w:val="clear" w:color="auto" w:fill="DCDCDC"/>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b/>
                <w:bCs/>
                <w:sz w:val="20"/>
                <w:szCs w:val="20"/>
              </w:rPr>
              <w:t>Basic Information</w:t>
            </w:r>
          </w:p>
        </w:tc>
      </w:tr>
      <w:tr w:rsidR="00FF7EE4" w:rsidRPr="00F7263B">
        <w:trPr>
          <w:gridAfter w:val="1"/>
          <w:wAfter w:w="49" w:type="dxa"/>
          <w:trHeight w:val="141"/>
        </w:trPr>
        <w:tc>
          <w:tcPr>
            <w:tcW w:w="2032" w:type="dxa"/>
            <w:gridSpan w:val="9"/>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Date:</w:t>
            </w:r>
          </w:p>
        </w:tc>
        <w:tc>
          <w:tcPr>
            <w:tcW w:w="2345" w:type="dxa"/>
            <w:gridSpan w:val="9"/>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FF7EE4" w:rsidRPr="00F7263B" w:rsidRDefault="0092484F" w:rsidP="00254260">
            <w:pPr>
              <w:rPr>
                <w:rFonts w:cs="Times New Roman"/>
                <w:sz w:val="20"/>
                <w:szCs w:val="20"/>
              </w:rPr>
            </w:pPr>
            <w:r w:rsidRPr="00F7263B">
              <w:rPr>
                <w:rFonts w:cs="Times New Roman"/>
                <w:sz w:val="20"/>
                <w:szCs w:val="20"/>
              </w:rPr>
              <w:t>February14</w:t>
            </w:r>
            <w:r w:rsidR="00A90AF8" w:rsidRPr="00F7263B">
              <w:rPr>
                <w:rFonts w:cs="Times New Roman"/>
                <w:sz w:val="20"/>
                <w:szCs w:val="20"/>
              </w:rPr>
              <w:t>, 201</w:t>
            </w:r>
            <w:r w:rsidRPr="00F7263B">
              <w:rPr>
                <w:rFonts w:cs="Times New Roman"/>
                <w:sz w:val="20"/>
                <w:szCs w:val="20"/>
              </w:rPr>
              <w:t>4</w:t>
            </w:r>
          </w:p>
        </w:tc>
        <w:tc>
          <w:tcPr>
            <w:tcW w:w="1019" w:type="dxa"/>
            <w:gridSpan w:val="5"/>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FF7EE4" w:rsidRPr="00F7263B" w:rsidRDefault="001D2940" w:rsidP="00254260">
            <w:pPr>
              <w:ind w:right="-1039"/>
              <w:rPr>
                <w:rFonts w:cs="Times New Roman"/>
                <w:sz w:val="20"/>
                <w:szCs w:val="20"/>
              </w:rPr>
            </w:pPr>
            <w:r w:rsidRPr="00F7263B">
              <w:rPr>
                <w:rFonts w:cs="Times New Roman"/>
                <w:sz w:val="20"/>
                <w:szCs w:val="20"/>
              </w:rPr>
              <w:t>Sectors:</w:t>
            </w:r>
          </w:p>
        </w:tc>
        <w:tc>
          <w:tcPr>
            <w:tcW w:w="4227" w:type="dxa"/>
            <w:gridSpan w:val="14"/>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7120B" w:rsidP="00254260">
            <w:pPr>
              <w:ind w:right="-1039"/>
              <w:rPr>
                <w:rFonts w:cs="Times New Roman"/>
                <w:sz w:val="20"/>
                <w:szCs w:val="20"/>
              </w:rPr>
            </w:pPr>
            <w:r w:rsidRPr="00F7263B">
              <w:rPr>
                <w:sz w:val="20"/>
                <w:szCs w:val="20"/>
              </w:rPr>
              <w:t>Sub-national government administration (100%)</w:t>
            </w:r>
          </w:p>
        </w:tc>
      </w:tr>
      <w:tr w:rsidR="00FF7EE4" w:rsidRPr="00F7263B">
        <w:trPr>
          <w:gridAfter w:val="1"/>
          <w:wAfter w:w="49" w:type="dxa"/>
          <w:trHeight w:val="248"/>
        </w:trPr>
        <w:tc>
          <w:tcPr>
            <w:tcW w:w="2032" w:type="dxa"/>
            <w:gridSpan w:val="9"/>
            <w:tcBorders>
              <w:top w:val="nil"/>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Country Director:</w:t>
            </w:r>
          </w:p>
        </w:tc>
        <w:tc>
          <w:tcPr>
            <w:tcW w:w="2345" w:type="dxa"/>
            <w:gridSpan w:val="9"/>
            <w:tcBorders>
              <w:top w:val="nil"/>
              <w:left w:val="nil"/>
              <w:bottom w:val="nil"/>
              <w:right w:val="single" w:sz="4" w:space="0" w:color="000000"/>
            </w:tcBorders>
            <w:shd w:val="clear" w:color="auto" w:fill="FFFFFF"/>
            <w:tcMar>
              <w:top w:w="50" w:type="dxa"/>
              <w:left w:w="50" w:type="dxa"/>
              <w:bottom w:w="50" w:type="dxa"/>
              <w:right w:w="50" w:type="dxa"/>
            </w:tcMar>
          </w:tcPr>
          <w:p w:rsidR="00FF7EE4" w:rsidRPr="00F7263B" w:rsidRDefault="00A90AF8" w:rsidP="00254260">
            <w:pPr>
              <w:rPr>
                <w:rFonts w:cs="Times New Roman"/>
                <w:sz w:val="20"/>
                <w:szCs w:val="20"/>
              </w:rPr>
            </w:pPr>
            <w:r w:rsidRPr="00F7263B">
              <w:rPr>
                <w:rFonts w:cs="Times New Roman"/>
                <w:sz w:val="20"/>
                <w:szCs w:val="20"/>
              </w:rPr>
              <w:t>Guang</w:t>
            </w:r>
            <w:r w:rsidR="004D2289">
              <w:rPr>
                <w:rFonts w:cs="Times New Roman"/>
                <w:sz w:val="20"/>
                <w:szCs w:val="20"/>
              </w:rPr>
              <w:t xml:space="preserve"> </w:t>
            </w:r>
            <w:r w:rsidRPr="00F7263B">
              <w:rPr>
                <w:rFonts w:cs="Times New Roman"/>
                <w:sz w:val="20"/>
                <w:szCs w:val="20"/>
              </w:rPr>
              <w:t>Zhe Chen</w:t>
            </w:r>
          </w:p>
        </w:tc>
        <w:tc>
          <w:tcPr>
            <w:tcW w:w="1019"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FF7EE4" w:rsidRPr="00F7263B" w:rsidRDefault="001D2940" w:rsidP="00254260">
            <w:pPr>
              <w:ind w:right="-1039"/>
              <w:rPr>
                <w:rFonts w:cs="Times New Roman"/>
                <w:sz w:val="20"/>
                <w:szCs w:val="20"/>
              </w:rPr>
            </w:pPr>
            <w:r w:rsidRPr="00F7263B">
              <w:rPr>
                <w:rFonts w:cs="Times New Roman"/>
                <w:sz w:val="20"/>
                <w:szCs w:val="20"/>
              </w:rPr>
              <w:t>Themes:</w:t>
            </w:r>
          </w:p>
        </w:tc>
        <w:tc>
          <w:tcPr>
            <w:tcW w:w="4227" w:type="dxa"/>
            <w:gridSpan w:val="14"/>
            <w:tcBorders>
              <w:top w:val="nil"/>
              <w:left w:val="nil"/>
              <w:bottom w:val="nil"/>
              <w:right w:val="nil"/>
            </w:tcBorders>
            <w:shd w:val="clear" w:color="auto" w:fill="FFFFFF"/>
            <w:tcMar>
              <w:top w:w="50" w:type="dxa"/>
              <w:left w:w="50" w:type="dxa"/>
              <w:bottom w:w="50" w:type="dxa"/>
              <w:right w:w="50" w:type="dxa"/>
            </w:tcMar>
          </w:tcPr>
          <w:p w:rsidR="0039265F" w:rsidRPr="00F7263B" w:rsidRDefault="0039265F" w:rsidP="00254260">
            <w:pPr>
              <w:ind w:right="-1039"/>
              <w:rPr>
                <w:sz w:val="20"/>
                <w:szCs w:val="20"/>
              </w:rPr>
            </w:pPr>
            <w:r w:rsidRPr="00F7263B">
              <w:rPr>
                <w:sz w:val="20"/>
                <w:szCs w:val="20"/>
              </w:rPr>
              <w:t xml:space="preserve">Access to urban services and housing (p); </w:t>
            </w:r>
          </w:p>
          <w:p w:rsidR="00FF7EE4" w:rsidRPr="00F7263B" w:rsidRDefault="0039265F" w:rsidP="00254260">
            <w:pPr>
              <w:ind w:right="-1039"/>
              <w:rPr>
                <w:rFonts w:cs="Times New Roman"/>
                <w:sz w:val="20"/>
                <w:szCs w:val="20"/>
              </w:rPr>
            </w:pPr>
            <w:r w:rsidRPr="00F7263B">
              <w:rPr>
                <w:sz w:val="20"/>
                <w:szCs w:val="20"/>
              </w:rPr>
              <w:t>Municipal finance (p)</w:t>
            </w:r>
          </w:p>
        </w:tc>
      </w:tr>
      <w:tr w:rsidR="00FF7EE4" w:rsidRPr="00F7263B">
        <w:trPr>
          <w:gridAfter w:val="1"/>
          <w:wAfter w:w="49" w:type="dxa"/>
          <w:trHeight w:val="145"/>
        </w:trPr>
        <w:tc>
          <w:tcPr>
            <w:tcW w:w="2032" w:type="dxa"/>
            <w:gridSpan w:val="9"/>
            <w:tcBorders>
              <w:top w:val="nil"/>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Sector Manager/Director:</w:t>
            </w:r>
          </w:p>
        </w:tc>
        <w:tc>
          <w:tcPr>
            <w:tcW w:w="2345" w:type="dxa"/>
            <w:gridSpan w:val="9"/>
            <w:tcBorders>
              <w:top w:val="nil"/>
              <w:left w:val="nil"/>
              <w:bottom w:val="nil"/>
              <w:right w:val="single" w:sz="4" w:space="0" w:color="000000"/>
            </w:tcBorders>
            <w:shd w:val="clear" w:color="auto" w:fill="FFFFFF"/>
            <w:tcMar>
              <w:top w:w="50" w:type="dxa"/>
              <w:left w:w="50" w:type="dxa"/>
              <w:bottom w:w="50" w:type="dxa"/>
              <w:right w:w="50" w:type="dxa"/>
            </w:tcMar>
          </w:tcPr>
          <w:p w:rsidR="00FF7EE4" w:rsidRPr="00F7263B" w:rsidRDefault="00351020" w:rsidP="00254260">
            <w:pPr>
              <w:rPr>
                <w:rFonts w:cs="Times New Roman"/>
                <w:sz w:val="20"/>
                <w:szCs w:val="20"/>
              </w:rPr>
            </w:pPr>
            <w:r w:rsidRPr="00F7263B">
              <w:rPr>
                <w:rFonts w:cs="Times New Roman"/>
                <w:color w:val="000000"/>
                <w:sz w:val="20"/>
                <w:szCs w:val="20"/>
              </w:rPr>
              <w:t>R. Mukami</w:t>
            </w:r>
            <w:r w:rsidR="004D2289">
              <w:rPr>
                <w:rFonts w:cs="Times New Roman"/>
                <w:color w:val="000000"/>
                <w:sz w:val="20"/>
                <w:szCs w:val="20"/>
              </w:rPr>
              <w:t xml:space="preserve"> </w:t>
            </w:r>
            <w:r w:rsidRPr="00F7263B">
              <w:rPr>
                <w:rFonts w:cs="Times New Roman"/>
                <w:color w:val="000000"/>
                <w:sz w:val="20"/>
                <w:szCs w:val="20"/>
              </w:rPr>
              <w:t>Kariuki</w:t>
            </w:r>
            <w:r w:rsidRPr="00F7263B">
              <w:rPr>
                <w:rFonts w:ascii="Helv" w:hAnsi="Helv" w:cs="Helv"/>
                <w:color w:val="000000"/>
                <w:sz w:val="20"/>
                <w:szCs w:val="20"/>
              </w:rPr>
              <w:t xml:space="preserve">, </w:t>
            </w:r>
            <w:r w:rsidR="00A90AF8" w:rsidRPr="00F7263B">
              <w:rPr>
                <w:rFonts w:cs="Times New Roman"/>
                <w:sz w:val="20"/>
                <w:szCs w:val="20"/>
              </w:rPr>
              <w:t>/</w:t>
            </w:r>
            <w:r w:rsidR="00A90AF8" w:rsidRPr="00F7263B">
              <w:rPr>
                <w:rFonts w:cs="Times New Roman"/>
                <w:color w:val="000000"/>
                <w:sz w:val="20"/>
                <w:szCs w:val="20"/>
              </w:rPr>
              <w:t>Jamal Saghir</w:t>
            </w:r>
          </w:p>
        </w:tc>
        <w:tc>
          <w:tcPr>
            <w:tcW w:w="1019"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FF7EE4" w:rsidRPr="00F7263B" w:rsidRDefault="00FF7EE4" w:rsidP="00556F1B">
            <w:pPr>
              <w:ind w:right="-1039"/>
              <w:jc w:val="both"/>
              <w:rPr>
                <w:rFonts w:cs="Times New Roman"/>
                <w:sz w:val="20"/>
                <w:szCs w:val="20"/>
              </w:rPr>
            </w:pPr>
          </w:p>
        </w:tc>
        <w:tc>
          <w:tcPr>
            <w:tcW w:w="4227" w:type="dxa"/>
            <w:gridSpan w:val="14"/>
            <w:tcBorders>
              <w:top w:val="nil"/>
              <w:left w:val="nil"/>
              <w:bottom w:val="nil"/>
              <w:right w:val="nil"/>
            </w:tcBorders>
            <w:shd w:val="clear" w:color="auto" w:fill="FFFFFF"/>
            <w:tcMar>
              <w:top w:w="50" w:type="dxa"/>
              <w:left w:w="50" w:type="dxa"/>
              <w:bottom w:w="50" w:type="dxa"/>
              <w:right w:w="50" w:type="dxa"/>
            </w:tcMar>
          </w:tcPr>
          <w:p w:rsidR="00FF7EE4" w:rsidRPr="00F7263B" w:rsidRDefault="00FF7EE4" w:rsidP="00556F1B">
            <w:pPr>
              <w:ind w:right="-1039"/>
              <w:jc w:val="both"/>
              <w:rPr>
                <w:rFonts w:cs="Times New Roman"/>
                <w:sz w:val="20"/>
                <w:szCs w:val="20"/>
              </w:rPr>
            </w:pPr>
          </w:p>
        </w:tc>
      </w:tr>
      <w:tr w:rsidR="00FF7EE4" w:rsidRPr="00F7263B">
        <w:trPr>
          <w:gridAfter w:val="1"/>
          <w:wAfter w:w="49" w:type="dxa"/>
          <w:trHeight w:val="145"/>
        </w:trPr>
        <w:tc>
          <w:tcPr>
            <w:tcW w:w="2032" w:type="dxa"/>
            <w:gridSpan w:val="9"/>
            <w:tcBorders>
              <w:top w:val="nil"/>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Program ID:</w:t>
            </w:r>
          </w:p>
          <w:p w:rsidR="00111DA6" w:rsidRPr="00F7263B" w:rsidRDefault="00111DA6" w:rsidP="00556F1B">
            <w:pPr>
              <w:jc w:val="both"/>
              <w:rPr>
                <w:rFonts w:cs="Times New Roman"/>
                <w:sz w:val="20"/>
                <w:szCs w:val="20"/>
              </w:rPr>
            </w:pPr>
          </w:p>
        </w:tc>
        <w:tc>
          <w:tcPr>
            <w:tcW w:w="2345" w:type="dxa"/>
            <w:gridSpan w:val="9"/>
            <w:tcBorders>
              <w:top w:val="nil"/>
              <w:left w:val="nil"/>
              <w:bottom w:val="nil"/>
              <w:right w:val="single" w:sz="4" w:space="0" w:color="000000"/>
            </w:tcBorders>
            <w:shd w:val="clear" w:color="auto" w:fill="FFFFFF"/>
            <w:tcMar>
              <w:top w:w="50" w:type="dxa"/>
              <w:left w:w="50" w:type="dxa"/>
              <w:bottom w:w="50" w:type="dxa"/>
              <w:right w:w="50" w:type="dxa"/>
            </w:tcMar>
          </w:tcPr>
          <w:p w:rsidR="00FF7EE4" w:rsidRPr="00F7263B" w:rsidRDefault="007C1D20" w:rsidP="00254260">
            <w:pPr>
              <w:rPr>
                <w:rFonts w:cs="Times New Roman"/>
                <w:sz w:val="20"/>
                <w:szCs w:val="20"/>
              </w:rPr>
            </w:pPr>
            <w:r w:rsidRPr="00F7263B">
              <w:rPr>
                <w:sz w:val="20"/>
                <w:szCs w:val="20"/>
              </w:rPr>
              <w:t>P133592</w:t>
            </w:r>
          </w:p>
        </w:tc>
        <w:tc>
          <w:tcPr>
            <w:tcW w:w="1019" w:type="dxa"/>
            <w:gridSpan w:val="5"/>
            <w:tcBorders>
              <w:top w:val="nil"/>
              <w:left w:val="single" w:sz="4" w:space="0" w:color="000000"/>
              <w:bottom w:val="nil"/>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c>
          <w:tcPr>
            <w:tcW w:w="4227" w:type="dxa"/>
            <w:gridSpan w:val="14"/>
            <w:tcBorders>
              <w:top w:val="nil"/>
              <w:left w:val="nil"/>
              <w:bottom w:val="nil"/>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r>
      <w:tr w:rsidR="00FF7EE4" w:rsidRPr="00F7263B">
        <w:trPr>
          <w:gridAfter w:val="1"/>
          <w:wAfter w:w="49" w:type="dxa"/>
          <w:trHeight w:val="213"/>
        </w:trPr>
        <w:tc>
          <w:tcPr>
            <w:tcW w:w="2032" w:type="dxa"/>
            <w:gridSpan w:val="9"/>
            <w:tcBorders>
              <w:top w:val="nil"/>
              <w:left w:val="nil"/>
              <w:bottom w:val="single" w:sz="4" w:space="0" w:color="000000"/>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Team Leader(s):</w:t>
            </w:r>
          </w:p>
        </w:tc>
        <w:tc>
          <w:tcPr>
            <w:tcW w:w="2345" w:type="dxa"/>
            <w:gridSpan w:val="9"/>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FF7EE4" w:rsidRPr="00F7263B" w:rsidRDefault="007C1D20" w:rsidP="00254260">
            <w:pPr>
              <w:rPr>
                <w:rFonts w:cs="Times New Roman"/>
                <w:sz w:val="20"/>
                <w:szCs w:val="20"/>
              </w:rPr>
            </w:pPr>
            <w:r w:rsidRPr="00F7263B">
              <w:rPr>
                <w:color w:val="000000"/>
                <w:sz w:val="20"/>
                <w:szCs w:val="20"/>
              </w:rPr>
              <w:t>AbebawAlemayehu</w:t>
            </w:r>
          </w:p>
        </w:tc>
        <w:tc>
          <w:tcPr>
            <w:tcW w:w="1019" w:type="dxa"/>
            <w:gridSpan w:val="5"/>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c>
          <w:tcPr>
            <w:tcW w:w="4227" w:type="dxa"/>
            <w:gridSpan w:val="14"/>
            <w:tcBorders>
              <w:top w:val="nil"/>
              <w:left w:val="nil"/>
              <w:bottom w:val="single" w:sz="4" w:space="0" w:color="000000"/>
              <w:right w:val="nil"/>
            </w:tcBorders>
            <w:shd w:val="clear" w:color="auto" w:fill="FFFFFF"/>
          </w:tcPr>
          <w:p w:rsidR="00FF7EE4" w:rsidRPr="00F7263B" w:rsidRDefault="00FF7EE4" w:rsidP="00556F1B">
            <w:pPr>
              <w:jc w:val="both"/>
              <w:rPr>
                <w:rFonts w:cs="Times New Roman"/>
                <w:sz w:val="20"/>
                <w:szCs w:val="20"/>
              </w:rPr>
            </w:pPr>
          </w:p>
        </w:tc>
      </w:tr>
      <w:tr w:rsidR="00FF7EE4" w:rsidRPr="00F7263B">
        <w:trPr>
          <w:gridAfter w:val="1"/>
          <w:wAfter w:w="49" w:type="dxa"/>
          <w:trHeight w:val="145"/>
        </w:trPr>
        <w:tc>
          <w:tcPr>
            <w:tcW w:w="2779" w:type="dxa"/>
            <w:gridSpan w:val="12"/>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Program Implementation Period:</w:t>
            </w:r>
          </w:p>
          <w:p w:rsidR="00D44A57" w:rsidRPr="00F7263B" w:rsidRDefault="00D44A57" w:rsidP="00556F1B">
            <w:pPr>
              <w:jc w:val="both"/>
              <w:rPr>
                <w:rFonts w:cs="Times New Roman"/>
                <w:sz w:val="20"/>
                <w:szCs w:val="20"/>
              </w:rPr>
            </w:pPr>
          </w:p>
        </w:tc>
        <w:tc>
          <w:tcPr>
            <w:tcW w:w="1080" w:type="dxa"/>
            <w:gridSpan w:val="5"/>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Start Date:</w:t>
            </w:r>
          </w:p>
        </w:tc>
        <w:tc>
          <w:tcPr>
            <w:tcW w:w="1350" w:type="dxa"/>
            <w:gridSpan w:val="5"/>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495428" w:rsidP="00495428">
            <w:pPr>
              <w:jc w:val="both"/>
              <w:rPr>
                <w:rFonts w:cs="Times New Roman"/>
                <w:sz w:val="20"/>
                <w:szCs w:val="20"/>
                <w:vertAlign w:val="superscript"/>
              </w:rPr>
            </w:pPr>
            <w:r w:rsidRPr="00F7263B">
              <w:rPr>
                <w:sz w:val="20"/>
                <w:szCs w:val="20"/>
              </w:rPr>
              <w:t>May</w:t>
            </w:r>
            <w:r w:rsidR="00C518AF" w:rsidRPr="00F7263B">
              <w:rPr>
                <w:sz w:val="20"/>
                <w:szCs w:val="20"/>
              </w:rPr>
              <w:t>15</w:t>
            </w:r>
            <w:r w:rsidR="00A37A02" w:rsidRPr="00F7263B">
              <w:rPr>
                <w:sz w:val="20"/>
                <w:szCs w:val="20"/>
              </w:rPr>
              <w:t>,</w:t>
            </w:r>
            <w:r w:rsidR="00373FBA" w:rsidRPr="00F7263B">
              <w:rPr>
                <w:sz w:val="20"/>
                <w:szCs w:val="20"/>
              </w:rPr>
              <w:t>2014</w:t>
            </w:r>
          </w:p>
        </w:tc>
        <w:tc>
          <w:tcPr>
            <w:tcW w:w="1080" w:type="dxa"/>
            <w:gridSpan w:val="5"/>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End Date:</w:t>
            </w:r>
          </w:p>
        </w:tc>
        <w:tc>
          <w:tcPr>
            <w:tcW w:w="3334" w:type="dxa"/>
            <w:gridSpan w:val="10"/>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5C6290" w:rsidP="00556F1B">
            <w:pPr>
              <w:jc w:val="both"/>
              <w:rPr>
                <w:rFonts w:cs="Times New Roman"/>
                <w:sz w:val="20"/>
                <w:szCs w:val="20"/>
              </w:rPr>
            </w:pPr>
            <w:r w:rsidRPr="00F7263B">
              <w:rPr>
                <w:sz w:val="20"/>
                <w:szCs w:val="20"/>
              </w:rPr>
              <w:t xml:space="preserve">December </w:t>
            </w:r>
            <w:r w:rsidR="00A57F28" w:rsidRPr="00F7263B">
              <w:rPr>
                <w:sz w:val="20"/>
                <w:szCs w:val="20"/>
              </w:rPr>
              <w:t xml:space="preserve">31, </w:t>
            </w:r>
            <w:r w:rsidRPr="00F7263B">
              <w:rPr>
                <w:sz w:val="20"/>
                <w:szCs w:val="20"/>
              </w:rPr>
              <w:t>2019</w:t>
            </w:r>
          </w:p>
        </w:tc>
      </w:tr>
      <w:tr w:rsidR="003912CF" w:rsidRPr="00F7263B">
        <w:trPr>
          <w:gridAfter w:val="1"/>
          <w:wAfter w:w="49" w:type="dxa"/>
          <w:trHeight w:val="145"/>
        </w:trPr>
        <w:tc>
          <w:tcPr>
            <w:tcW w:w="3589" w:type="dxa"/>
            <w:gridSpan w:val="16"/>
            <w:tcBorders>
              <w:top w:val="nil"/>
              <w:left w:val="nil"/>
              <w:bottom w:val="nil"/>
              <w:right w:val="nil"/>
            </w:tcBorders>
            <w:shd w:val="clear" w:color="auto" w:fill="FFFFFF"/>
            <w:tcMar>
              <w:top w:w="50" w:type="dxa"/>
              <w:left w:w="50" w:type="dxa"/>
              <w:bottom w:w="50" w:type="dxa"/>
              <w:right w:w="50" w:type="dxa"/>
            </w:tcMar>
          </w:tcPr>
          <w:p w:rsidR="003912CF" w:rsidRPr="00F7263B" w:rsidRDefault="003912CF" w:rsidP="00556F1B">
            <w:pPr>
              <w:jc w:val="both"/>
              <w:rPr>
                <w:rFonts w:cs="Times New Roman"/>
                <w:sz w:val="20"/>
                <w:szCs w:val="20"/>
              </w:rPr>
            </w:pPr>
            <w:r w:rsidRPr="00F7263B">
              <w:rPr>
                <w:rFonts w:cs="Times New Roman"/>
                <w:sz w:val="20"/>
                <w:szCs w:val="20"/>
              </w:rPr>
              <w:t>Expected Financing Effectiveness Date:</w:t>
            </w:r>
          </w:p>
        </w:tc>
        <w:tc>
          <w:tcPr>
            <w:tcW w:w="6034" w:type="dxa"/>
            <w:gridSpan w:val="21"/>
            <w:tcBorders>
              <w:top w:val="nil"/>
              <w:left w:val="nil"/>
              <w:bottom w:val="nil"/>
              <w:right w:val="nil"/>
            </w:tcBorders>
            <w:shd w:val="clear" w:color="auto" w:fill="FFFFFF"/>
            <w:tcMar>
              <w:top w:w="50" w:type="dxa"/>
              <w:left w:w="50" w:type="dxa"/>
              <w:bottom w:w="50" w:type="dxa"/>
              <w:right w:w="50" w:type="dxa"/>
            </w:tcMar>
          </w:tcPr>
          <w:p w:rsidR="003912CF" w:rsidRPr="00F7263B" w:rsidRDefault="003912CF" w:rsidP="00556F1B">
            <w:pPr>
              <w:jc w:val="both"/>
              <w:rPr>
                <w:rFonts w:cs="Times New Roman"/>
                <w:sz w:val="20"/>
                <w:szCs w:val="20"/>
              </w:rPr>
            </w:pPr>
            <w:r w:rsidRPr="00F7263B">
              <w:rPr>
                <w:rFonts w:cs="Times New Roman"/>
                <w:sz w:val="20"/>
                <w:szCs w:val="20"/>
              </w:rPr>
              <w:t xml:space="preserve">July </w:t>
            </w:r>
            <w:r w:rsidR="0092484F" w:rsidRPr="00F7263B">
              <w:rPr>
                <w:rFonts w:cs="Times New Roman"/>
                <w:sz w:val="20"/>
                <w:szCs w:val="20"/>
              </w:rPr>
              <w:t>7</w:t>
            </w:r>
            <w:r w:rsidRPr="00F7263B">
              <w:rPr>
                <w:rFonts w:cs="Times New Roman"/>
                <w:sz w:val="20"/>
                <w:szCs w:val="20"/>
              </w:rPr>
              <w:t>, 201</w:t>
            </w:r>
            <w:r w:rsidR="005B74EC" w:rsidRPr="00F7263B">
              <w:rPr>
                <w:rFonts w:cs="Times New Roman"/>
                <w:sz w:val="20"/>
                <w:szCs w:val="20"/>
              </w:rPr>
              <w:t>4</w:t>
            </w:r>
          </w:p>
        </w:tc>
      </w:tr>
      <w:tr w:rsidR="003912CF" w:rsidRPr="00F7263B">
        <w:trPr>
          <w:gridAfter w:val="1"/>
          <w:wAfter w:w="49" w:type="dxa"/>
          <w:trHeight w:val="145"/>
        </w:trPr>
        <w:tc>
          <w:tcPr>
            <w:tcW w:w="3589" w:type="dxa"/>
            <w:gridSpan w:val="16"/>
            <w:tcBorders>
              <w:top w:val="nil"/>
              <w:left w:val="nil"/>
              <w:bottom w:val="nil"/>
              <w:right w:val="nil"/>
            </w:tcBorders>
            <w:shd w:val="clear" w:color="auto" w:fill="FFFFFF"/>
            <w:tcMar>
              <w:top w:w="50" w:type="dxa"/>
              <w:left w:w="50" w:type="dxa"/>
              <w:bottom w:w="50" w:type="dxa"/>
              <w:right w:w="50" w:type="dxa"/>
            </w:tcMar>
          </w:tcPr>
          <w:p w:rsidR="003912CF" w:rsidRPr="00F7263B" w:rsidRDefault="003912CF" w:rsidP="00556F1B">
            <w:pPr>
              <w:jc w:val="both"/>
              <w:rPr>
                <w:rFonts w:cs="Times New Roman"/>
                <w:sz w:val="20"/>
                <w:szCs w:val="20"/>
              </w:rPr>
            </w:pPr>
            <w:r w:rsidRPr="00F7263B">
              <w:rPr>
                <w:rFonts w:cs="Times New Roman"/>
                <w:sz w:val="20"/>
                <w:szCs w:val="20"/>
              </w:rPr>
              <w:t>Expected Financing Closing Date:</w:t>
            </w:r>
          </w:p>
        </w:tc>
        <w:tc>
          <w:tcPr>
            <w:tcW w:w="6034" w:type="dxa"/>
            <w:gridSpan w:val="21"/>
            <w:tcBorders>
              <w:top w:val="nil"/>
              <w:left w:val="nil"/>
              <w:bottom w:val="nil"/>
              <w:right w:val="nil"/>
            </w:tcBorders>
            <w:shd w:val="clear" w:color="auto" w:fill="FFFFFF"/>
            <w:tcMar>
              <w:top w:w="50" w:type="dxa"/>
              <w:left w:w="50" w:type="dxa"/>
              <w:bottom w:w="50" w:type="dxa"/>
              <w:right w:w="50" w:type="dxa"/>
            </w:tcMar>
          </w:tcPr>
          <w:p w:rsidR="003912CF" w:rsidRPr="00F7263B" w:rsidRDefault="00697198" w:rsidP="00A57F28">
            <w:pPr>
              <w:jc w:val="both"/>
              <w:rPr>
                <w:rFonts w:cs="Times New Roman"/>
                <w:sz w:val="20"/>
                <w:szCs w:val="20"/>
              </w:rPr>
            </w:pPr>
            <w:r w:rsidRPr="00F7263B">
              <w:rPr>
                <w:sz w:val="20"/>
                <w:szCs w:val="20"/>
              </w:rPr>
              <w:t>December 31, 2019</w:t>
            </w:r>
          </w:p>
        </w:tc>
      </w:tr>
      <w:tr w:rsidR="00FF7EE4" w:rsidRPr="00F7263B">
        <w:trPr>
          <w:gridAfter w:val="1"/>
          <w:wAfter w:w="49" w:type="dxa"/>
          <w:trHeight w:val="145"/>
        </w:trPr>
        <w:tc>
          <w:tcPr>
            <w:tcW w:w="9623"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rsidR="00FF7EE4" w:rsidRPr="00F7263B" w:rsidRDefault="001D2940" w:rsidP="00556F1B">
            <w:pPr>
              <w:jc w:val="both"/>
              <w:rPr>
                <w:rFonts w:cs="Times New Roman"/>
                <w:sz w:val="20"/>
                <w:szCs w:val="20"/>
              </w:rPr>
            </w:pPr>
            <w:r w:rsidRPr="00F7263B">
              <w:rPr>
                <w:rFonts w:cs="Times New Roman"/>
                <w:sz w:val="20"/>
                <w:szCs w:val="20"/>
              </w:rPr>
              <w:t>.</w:t>
            </w:r>
          </w:p>
        </w:tc>
      </w:tr>
      <w:tr w:rsidR="00FF7EE4" w:rsidRPr="00F7263B">
        <w:trPr>
          <w:gridAfter w:val="1"/>
          <w:wAfter w:w="49" w:type="dxa"/>
          <w:trHeight w:val="145"/>
        </w:trPr>
        <w:tc>
          <w:tcPr>
            <w:tcW w:w="9623" w:type="dxa"/>
            <w:gridSpan w:val="37"/>
            <w:tcBorders>
              <w:top w:val="single" w:sz="4" w:space="0" w:color="000000"/>
              <w:left w:val="nil"/>
              <w:bottom w:val="single" w:sz="4" w:space="0" w:color="000000"/>
              <w:right w:val="nil"/>
            </w:tcBorders>
            <w:shd w:val="clear" w:color="auto" w:fill="DCDCDC"/>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b/>
                <w:bCs/>
                <w:sz w:val="20"/>
                <w:szCs w:val="20"/>
              </w:rPr>
              <w:t>Program Financing Data</w:t>
            </w:r>
          </w:p>
        </w:tc>
      </w:tr>
      <w:tr w:rsidR="00FF7EE4" w:rsidRPr="00F7263B">
        <w:trPr>
          <w:gridAfter w:val="1"/>
          <w:wAfter w:w="49" w:type="dxa"/>
          <w:trHeight w:val="145"/>
        </w:trPr>
        <w:tc>
          <w:tcPr>
            <w:tcW w:w="504" w:type="dxa"/>
            <w:gridSpan w:val="2"/>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   ]</w:t>
            </w:r>
          </w:p>
        </w:tc>
        <w:tc>
          <w:tcPr>
            <w:tcW w:w="814" w:type="dxa"/>
            <w:gridSpan w:val="2"/>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Loan</w:t>
            </w:r>
          </w:p>
        </w:tc>
        <w:tc>
          <w:tcPr>
            <w:tcW w:w="510" w:type="dxa"/>
            <w:gridSpan w:val="3"/>
            <w:tcBorders>
              <w:top w:val="single" w:sz="4" w:space="0" w:color="000000"/>
              <w:left w:val="single" w:sz="4" w:space="0" w:color="000000"/>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   ]</w:t>
            </w:r>
          </w:p>
        </w:tc>
        <w:tc>
          <w:tcPr>
            <w:tcW w:w="1224" w:type="dxa"/>
            <w:gridSpan w:val="7"/>
            <w:tcBorders>
              <w:top w:val="single" w:sz="4" w:space="0" w:color="000000"/>
              <w:left w:val="nil"/>
              <w:bottom w:val="nil"/>
              <w:right w:val="single" w:sz="4" w:space="0" w:color="000000"/>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Grant</w:t>
            </w:r>
          </w:p>
        </w:tc>
        <w:tc>
          <w:tcPr>
            <w:tcW w:w="510" w:type="dxa"/>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   ]</w:t>
            </w:r>
          </w:p>
        </w:tc>
        <w:tc>
          <w:tcPr>
            <w:tcW w:w="6061" w:type="dxa"/>
            <w:gridSpan w:val="22"/>
            <w:vMerge w:val="restart"/>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Other</w:t>
            </w:r>
          </w:p>
        </w:tc>
      </w:tr>
      <w:tr w:rsidR="00FF7EE4" w:rsidRPr="00F7263B">
        <w:trPr>
          <w:gridAfter w:val="1"/>
          <w:wAfter w:w="49" w:type="dxa"/>
          <w:trHeight w:val="145"/>
        </w:trPr>
        <w:tc>
          <w:tcPr>
            <w:tcW w:w="504" w:type="dxa"/>
            <w:gridSpan w:val="2"/>
            <w:tcBorders>
              <w:top w:val="nil"/>
              <w:left w:val="nil"/>
              <w:bottom w:val="single" w:sz="4" w:space="0" w:color="000000"/>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w:t>
            </w:r>
            <w:r w:rsidR="002F4AA3" w:rsidRPr="00F7263B">
              <w:rPr>
                <w:rFonts w:cs="Times New Roman"/>
                <w:sz w:val="20"/>
                <w:szCs w:val="20"/>
              </w:rPr>
              <w:t>X</w:t>
            </w:r>
            <w:r w:rsidRPr="00F7263B">
              <w:rPr>
                <w:rFonts w:cs="Times New Roman"/>
                <w:sz w:val="20"/>
                <w:szCs w:val="20"/>
              </w:rPr>
              <w:t>]</w:t>
            </w:r>
          </w:p>
        </w:tc>
        <w:tc>
          <w:tcPr>
            <w:tcW w:w="814" w:type="dxa"/>
            <w:gridSpan w:val="2"/>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Credit</w:t>
            </w:r>
          </w:p>
        </w:tc>
        <w:tc>
          <w:tcPr>
            <w:tcW w:w="510" w:type="dxa"/>
            <w:gridSpan w:val="3"/>
            <w:tcBorders>
              <w:top w:val="nil"/>
              <w:left w:val="single" w:sz="4" w:space="0" w:color="000000"/>
              <w:bottom w:val="single" w:sz="4" w:space="0" w:color="000000"/>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c>
          <w:tcPr>
            <w:tcW w:w="1224" w:type="dxa"/>
            <w:gridSpan w:val="7"/>
            <w:tcBorders>
              <w:top w:val="nil"/>
              <w:left w:val="nil"/>
              <w:bottom w:val="single" w:sz="4" w:space="0" w:color="000000"/>
              <w:right w:val="single" w:sz="4" w:space="0" w:color="000000"/>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c>
          <w:tcPr>
            <w:tcW w:w="510" w:type="dxa"/>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c>
          <w:tcPr>
            <w:tcW w:w="6061" w:type="dxa"/>
            <w:gridSpan w:val="22"/>
            <w:vMerge/>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r>
      <w:tr w:rsidR="00FF7EE4" w:rsidRPr="00F7263B">
        <w:trPr>
          <w:gridAfter w:val="1"/>
          <w:wAfter w:w="49" w:type="dxa"/>
          <w:trHeight w:val="145"/>
        </w:trPr>
        <w:tc>
          <w:tcPr>
            <w:tcW w:w="9623" w:type="dxa"/>
            <w:gridSpan w:val="37"/>
            <w:tcBorders>
              <w:top w:val="nil"/>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b/>
                <w:bCs/>
                <w:sz w:val="20"/>
                <w:szCs w:val="20"/>
              </w:rPr>
              <w:t>For Loans/Credits/Others (US$M):</w:t>
            </w:r>
          </w:p>
        </w:tc>
      </w:tr>
      <w:tr w:rsidR="00FF7EE4" w:rsidRPr="00F7263B">
        <w:trPr>
          <w:gridAfter w:val="1"/>
          <w:wAfter w:w="49" w:type="dxa"/>
          <w:trHeight w:val="145"/>
        </w:trPr>
        <w:tc>
          <w:tcPr>
            <w:tcW w:w="1404" w:type="dxa"/>
            <w:gridSpan w:val="5"/>
            <w:tcBorders>
              <w:top w:val="nil"/>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Total Program Cost :</w:t>
            </w:r>
          </w:p>
        </w:tc>
        <w:tc>
          <w:tcPr>
            <w:tcW w:w="914" w:type="dxa"/>
            <w:gridSpan w:val="5"/>
            <w:tcBorders>
              <w:top w:val="nil"/>
              <w:left w:val="nil"/>
              <w:bottom w:val="nil"/>
              <w:right w:val="nil"/>
            </w:tcBorders>
            <w:shd w:val="clear" w:color="auto" w:fill="FFFFFF"/>
            <w:tcMar>
              <w:top w:w="50" w:type="dxa"/>
              <w:left w:w="50" w:type="dxa"/>
              <w:bottom w:w="50" w:type="dxa"/>
              <w:right w:w="50" w:type="dxa"/>
            </w:tcMar>
          </w:tcPr>
          <w:p w:rsidR="00FF7EE4" w:rsidRPr="00F7263B" w:rsidRDefault="000F6BF2" w:rsidP="000F6BF2">
            <w:pPr>
              <w:jc w:val="both"/>
              <w:rPr>
                <w:rFonts w:cs="Times New Roman"/>
                <w:sz w:val="20"/>
                <w:szCs w:val="20"/>
              </w:rPr>
            </w:pPr>
            <w:r w:rsidRPr="00F7263B">
              <w:rPr>
                <w:rFonts w:cs="Times New Roman"/>
                <w:sz w:val="20"/>
                <w:szCs w:val="20"/>
              </w:rPr>
              <w:t>5</w:t>
            </w:r>
            <w:r w:rsidR="00294C1D" w:rsidRPr="00F7263B">
              <w:rPr>
                <w:rFonts w:cs="Times New Roman"/>
                <w:sz w:val="20"/>
                <w:szCs w:val="20"/>
              </w:rPr>
              <w:t>56.5</w:t>
            </w:r>
            <w:r w:rsidR="0092484F" w:rsidRPr="00F7263B">
              <w:rPr>
                <w:rFonts w:cs="Times New Roman"/>
                <w:sz w:val="20"/>
                <w:szCs w:val="20"/>
              </w:rPr>
              <w:t>3</w:t>
            </w:r>
          </w:p>
        </w:tc>
        <w:tc>
          <w:tcPr>
            <w:tcW w:w="2262" w:type="dxa"/>
            <w:gridSpan w:val="9"/>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FF7EE4" w:rsidP="00556F1B">
            <w:pPr>
              <w:jc w:val="both"/>
              <w:rPr>
                <w:rFonts w:cs="Times New Roman"/>
                <w:sz w:val="20"/>
                <w:szCs w:val="20"/>
              </w:rPr>
            </w:pPr>
          </w:p>
        </w:tc>
        <w:tc>
          <w:tcPr>
            <w:tcW w:w="1631" w:type="dxa"/>
            <w:gridSpan w:val="7"/>
            <w:tcBorders>
              <w:top w:val="nil"/>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Total Bank Financing :</w:t>
            </w:r>
          </w:p>
        </w:tc>
        <w:tc>
          <w:tcPr>
            <w:tcW w:w="1020" w:type="dxa"/>
            <w:gridSpan w:val="4"/>
            <w:tcBorders>
              <w:top w:val="nil"/>
              <w:left w:val="nil"/>
              <w:bottom w:val="nil"/>
              <w:right w:val="nil"/>
            </w:tcBorders>
            <w:shd w:val="clear" w:color="auto" w:fill="FFFFFF"/>
            <w:tcMar>
              <w:top w:w="50" w:type="dxa"/>
              <w:left w:w="50" w:type="dxa"/>
              <w:bottom w:w="50" w:type="dxa"/>
              <w:right w:w="50" w:type="dxa"/>
            </w:tcMar>
          </w:tcPr>
          <w:p w:rsidR="00FF7EE4" w:rsidRPr="00F7263B" w:rsidRDefault="005B3FCF" w:rsidP="00556F1B">
            <w:pPr>
              <w:jc w:val="both"/>
              <w:rPr>
                <w:rFonts w:cs="Times New Roman"/>
                <w:sz w:val="20"/>
                <w:szCs w:val="20"/>
              </w:rPr>
            </w:pPr>
            <w:r w:rsidRPr="00F7263B">
              <w:rPr>
                <w:rFonts w:cs="Times New Roman"/>
                <w:sz w:val="20"/>
                <w:szCs w:val="20"/>
              </w:rPr>
              <w:t>3</w:t>
            </w:r>
            <w:r w:rsidR="0092484F" w:rsidRPr="00F7263B">
              <w:rPr>
                <w:rFonts w:cs="Times New Roman"/>
                <w:sz w:val="20"/>
                <w:szCs w:val="20"/>
              </w:rPr>
              <w:t>80.00</w:t>
            </w:r>
          </w:p>
        </w:tc>
        <w:tc>
          <w:tcPr>
            <w:tcW w:w="2392" w:type="dxa"/>
            <w:gridSpan w:val="7"/>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FF7EE4" w:rsidP="00556F1B">
            <w:pPr>
              <w:jc w:val="both"/>
              <w:rPr>
                <w:rFonts w:cs="Times New Roman"/>
                <w:sz w:val="20"/>
                <w:szCs w:val="20"/>
              </w:rPr>
            </w:pPr>
          </w:p>
        </w:tc>
      </w:tr>
      <w:tr w:rsidR="00FF7EE4" w:rsidRPr="00F7263B">
        <w:trPr>
          <w:gridAfter w:val="1"/>
          <w:wAfter w:w="49" w:type="dxa"/>
          <w:trHeight w:val="157"/>
        </w:trPr>
        <w:tc>
          <w:tcPr>
            <w:tcW w:w="1404" w:type="dxa"/>
            <w:gridSpan w:val="5"/>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0F6BF2">
            <w:pPr>
              <w:jc w:val="both"/>
              <w:rPr>
                <w:rFonts w:cs="Times New Roman"/>
                <w:sz w:val="20"/>
                <w:szCs w:val="20"/>
              </w:rPr>
            </w:pPr>
            <w:r w:rsidRPr="00F7263B">
              <w:rPr>
                <w:rFonts w:cs="Times New Roman"/>
                <w:sz w:val="20"/>
                <w:szCs w:val="20"/>
              </w:rPr>
              <w:t xml:space="preserve">Total </w:t>
            </w:r>
            <w:r w:rsidR="00830508" w:rsidRPr="00F7263B">
              <w:rPr>
                <w:rFonts w:cs="Times New Roman"/>
                <w:sz w:val="20"/>
                <w:szCs w:val="20"/>
              </w:rPr>
              <w:t>government</w:t>
            </w:r>
            <w:r w:rsidRPr="00F7263B">
              <w:rPr>
                <w:rFonts w:cs="Times New Roman"/>
                <w:sz w:val="20"/>
                <w:szCs w:val="20"/>
              </w:rPr>
              <w:t>financing :</w:t>
            </w:r>
          </w:p>
        </w:tc>
        <w:tc>
          <w:tcPr>
            <w:tcW w:w="914" w:type="dxa"/>
            <w:gridSpan w:val="5"/>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5B3FCF" w:rsidP="000F6BF2">
            <w:pPr>
              <w:jc w:val="both"/>
              <w:rPr>
                <w:rFonts w:cs="Times New Roman"/>
                <w:sz w:val="20"/>
                <w:szCs w:val="20"/>
              </w:rPr>
            </w:pPr>
            <w:r w:rsidRPr="00F7263B">
              <w:rPr>
                <w:rFonts w:cs="Times New Roman"/>
                <w:sz w:val="20"/>
                <w:szCs w:val="20"/>
              </w:rPr>
              <w:t>1</w:t>
            </w:r>
            <w:r w:rsidR="00294C1D" w:rsidRPr="00F7263B">
              <w:rPr>
                <w:rFonts w:cs="Times New Roman"/>
                <w:sz w:val="20"/>
                <w:szCs w:val="20"/>
              </w:rPr>
              <w:t>76.5</w:t>
            </w:r>
            <w:r w:rsidR="0092484F" w:rsidRPr="00F7263B">
              <w:rPr>
                <w:rFonts w:cs="Times New Roman"/>
                <w:sz w:val="20"/>
                <w:szCs w:val="20"/>
              </w:rPr>
              <w:t>3</w:t>
            </w:r>
          </w:p>
        </w:tc>
        <w:tc>
          <w:tcPr>
            <w:tcW w:w="2262" w:type="dxa"/>
            <w:gridSpan w:val="9"/>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FF7EE4" w:rsidRPr="00F7263B" w:rsidRDefault="00FF7EE4" w:rsidP="00556F1B">
            <w:pPr>
              <w:jc w:val="both"/>
              <w:rPr>
                <w:rFonts w:cs="Times New Roman"/>
                <w:sz w:val="20"/>
                <w:szCs w:val="20"/>
              </w:rPr>
            </w:pPr>
          </w:p>
        </w:tc>
        <w:tc>
          <w:tcPr>
            <w:tcW w:w="1631" w:type="dxa"/>
            <w:gridSpan w:val="7"/>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Financing Gap :</w:t>
            </w:r>
          </w:p>
        </w:tc>
        <w:tc>
          <w:tcPr>
            <w:tcW w:w="1020" w:type="dxa"/>
            <w:gridSpan w:val="4"/>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5B3FCF" w:rsidP="00556F1B">
            <w:pPr>
              <w:jc w:val="both"/>
              <w:rPr>
                <w:rFonts w:cs="Times New Roman"/>
                <w:sz w:val="20"/>
                <w:szCs w:val="20"/>
              </w:rPr>
            </w:pPr>
            <w:r w:rsidRPr="00F7263B">
              <w:rPr>
                <w:rFonts w:cs="Times New Roman"/>
                <w:sz w:val="20"/>
                <w:szCs w:val="20"/>
              </w:rPr>
              <w:t>0</w:t>
            </w:r>
          </w:p>
        </w:tc>
        <w:tc>
          <w:tcPr>
            <w:tcW w:w="2392" w:type="dxa"/>
            <w:gridSpan w:val="7"/>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FF7EE4" w:rsidRPr="00F7263B" w:rsidRDefault="00FF7EE4" w:rsidP="00556F1B">
            <w:pPr>
              <w:jc w:val="both"/>
              <w:rPr>
                <w:rFonts w:cs="Times New Roman"/>
                <w:sz w:val="20"/>
                <w:szCs w:val="20"/>
              </w:rPr>
            </w:pPr>
          </w:p>
        </w:tc>
      </w:tr>
      <w:tr w:rsidR="00FF7EE4" w:rsidRPr="00F7263B">
        <w:trPr>
          <w:gridAfter w:val="1"/>
          <w:wAfter w:w="49" w:type="dxa"/>
          <w:trHeight w:val="145"/>
        </w:trPr>
        <w:tc>
          <w:tcPr>
            <w:tcW w:w="9623"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rsidR="00FF7EE4" w:rsidRPr="00F7263B" w:rsidRDefault="001D2940" w:rsidP="00556F1B">
            <w:pPr>
              <w:jc w:val="both"/>
              <w:rPr>
                <w:rFonts w:cs="Times New Roman"/>
                <w:sz w:val="20"/>
                <w:szCs w:val="20"/>
              </w:rPr>
            </w:pPr>
            <w:r w:rsidRPr="00F7263B">
              <w:rPr>
                <w:rFonts w:cs="Times New Roman"/>
                <w:sz w:val="20"/>
                <w:szCs w:val="20"/>
              </w:rPr>
              <w:t>.</w:t>
            </w:r>
          </w:p>
        </w:tc>
      </w:tr>
      <w:tr w:rsidR="00FF7EE4" w:rsidRPr="00F7263B">
        <w:trPr>
          <w:gridAfter w:val="1"/>
          <w:wAfter w:w="49" w:type="dxa"/>
          <w:trHeight w:val="145"/>
        </w:trPr>
        <w:tc>
          <w:tcPr>
            <w:tcW w:w="4580" w:type="dxa"/>
            <w:gridSpan w:val="19"/>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b/>
                <w:bCs/>
                <w:sz w:val="20"/>
                <w:szCs w:val="20"/>
              </w:rPr>
              <w:t>Financing Source</w:t>
            </w:r>
          </w:p>
        </w:tc>
        <w:tc>
          <w:tcPr>
            <w:tcW w:w="3063" w:type="dxa"/>
            <w:gridSpan w:val="12"/>
            <w:tcBorders>
              <w:top w:val="single" w:sz="4" w:space="0" w:color="000000"/>
              <w:left w:val="nil"/>
              <w:bottom w:val="single" w:sz="4" w:space="0" w:color="auto"/>
              <w:right w:val="nil"/>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b/>
                <w:bCs/>
                <w:sz w:val="20"/>
                <w:szCs w:val="20"/>
              </w:rPr>
              <w:t>Amount</w:t>
            </w:r>
          </w:p>
        </w:tc>
        <w:tc>
          <w:tcPr>
            <w:tcW w:w="1980" w:type="dxa"/>
            <w:gridSpan w:val="6"/>
            <w:tcBorders>
              <w:top w:val="single" w:sz="4" w:space="0" w:color="000000"/>
              <w:left w:val="nil"/>
              <w:bottom w:val="single" w:sz="4" w:space="0" w:color="auto"/>
              <w:right w:val="nil"/>
            </w:tcBorders>
            <w:shd w:val="clear" w:color="auto" w:fill="FFFFFF"/>
            <w:tcMar>
              <w:top w:w="50" w:type="dxa"/>
              <w:left w:w="50" w:type="dxa"/>
              <w:bottom w:w="50" w:type="dxa"/>
              <w:right w:w="50" w:type="dxa"/>
            </w:tcMar>
            <w:vAlign w:val="center"/>
          </w:tcPr>
          <w:p w:rsidR="00FF7EE4" w:rsidRPr="00F7263B" w:rsidRDefault="00FF7EE4" w:rsidP="00556F1B">
            <w:pPr>
              <w:jc w:val="both"/>
              <w:rPr>
                <w:rFonts w:cs="Times New Roman"/>
                <w:sz w:val="20"/>
                <w:szCs w:val="20"/>
              </w:rPr>
            </w:pPr>
          </w:p>
        </w:tc>
      </w:tr>
      <w:tr w:rsidR="005B3FCF" w:rsidRPr="00F7263B">
        <w:trPr>
          <w:gridAfter w:val="1"/>
          <w:wAfter w:w="49" w:type="dxa"/>
          <w:trHeight w:val="145"/>
        </w:trPr>
        <w:tc>
          <w:tcPr>
            <w:tcW w:w="4580" w:type="dxa"/>
            <w:gridSpan w:val="19"/>
            <w:tcBorders>
              <w:top w:val="nil"/>
              <w:left w:val="nil"/>
              <w:bottom w:val="nil"/>
              <w:right w:val="single" w:sz="4" w:space="0" w:color="000000"/>
            </w:tcBorders>
            <w:shd w:val="clear" w:color="auto" w:fill="FFFFFF"/>
            <w:tcMar>
              <w:top w:w="50" w:type="dxa"/>
              <w:left w:w="50" w:type="dxa"/>
              <w:bottom w:w="50" w:type="dxa"/>
              <w:right w:w="50" w:type="dxa"/>
            </w:tcMar>
          </w:tcPr>
          <w:p w:rsidR="005B3FCF" w:rsidRPr="00F7263B" w:rsidRDefault="005B3FCF" w:rsidP="00556F1B">
            <w:pPr>
              <w:jc w:val="both"/>
              <w:rPr>
                <w:rFonts w:cs="Times New Roman"/>
                <w:sz w:val="20"/>
                <w:szCs w:val="20"/>
              </w:rPr>
            </w:pPr>
            <w:r w:rsidRPr="00F7263B">
              <w:rPr>
                <w:rFonts w:cs="Times New Roman"/>
                <w:sz w:val="20"/>
                <w:szCs w:val="20"/>
              </w:rPr>
              <w:t>BORROWER/RECIPIENT</w:t>
            </w:r>
          </w:p>
        </w:tc>
        <w:tc>
          <w:tcPr>
            <w:tcW w:w="3063" w:type="dxa"/>
            <w:gridSpan w:val="12"/>
            <w:tcBorders>
              <w:top w:val="nil"/>
              <w:left w:val="single" w:sz="4" w:space="0" w:color="000000"/>
              <w:bottom w:val="nil"/>
              <w:right w:val="nil"/>
            </w:tcBorders>
            <w:shd w:val="clear" w:color="auto" w:fill="FFFFFF"/>
            <w:tcMar>
              <w:top w:w="50" w:type="dxa"/>
              <w:left w:w="50" w:type="dxa"/>
              <w:bottom w:w="50" w:type="dxa"/>
              <w:right w:w="50" w:type="dxa"/>
            </w:tcMar>
          </w:tcPr>
          <w:p w:rsidR="005B3FCF" w:rsidRPr="00F7263B" w:rsidRDefault="00C6556B" w:rsidP="00254260">
            <w:pPr>
              <w:ind w:right="1120"/>
              <w:jc w:val="right"/>
              <w:rPr>
                <w:rFonts w:cs="Times New Roman"/>
                <w:sz w:val="20"/>
                <w:szCs w:val="20"/>
              </w:rPr>
            </w:pPr>
            <w:r w:rsidRPr="00F7263B">
              <w:rPr>
                <w:rFonts w:cs="Times New Roman"/>
                <w:sz w:val="20"/>
                <w:szCs w:val="20"/>
              </w:rPr>
              <w:t>1</w:t>
            </w:r>
            <w:r w:rsidR="00294C1D" w:rsidRPr="00F7263B">
              <w:rPr>
                <w:rFonts w:cs="Times New Roman"/>
                <w:sz w:val="20"/>
                <w:szCs w:val="20"/>
              </w:rPr>
              <w:t>76</w:t>
            </w:r>
            <w:r w:rsidR="0092484F" w:rsidRPr="00F7263B">
              <w:rPr>
                <w:rFonts w:cs="Times New Roman"/>
                <w:sz w:val="20"/>
                <w:szCs w:val="20"/>
              </w:rPr>
              <w:t>.</w:t>
            </w:r>
            <w:r w:rsidR="00294C1D" w:rsidRPr="00F7263B">
              <w:rPr>
                <w:rFonts w:cs="Times New Roman"/>
                <w:sz w:val="20"/>
                <w:szCs w:val="20"/>
              </w:rPr>
              <w:t>5</w:t>
            </w:r>
            <w:r w:rsidR="0092484F" w:rsidRPr="00F7263B">
              <w:rPr>
                <w:rFonts w:cs="Times New Roman"/>
                <w:sz w:val="20"/>
                <w:szCs w:val="20"/>
              </w:rPr>
              <w:t>3</w:t>
            </w:r>
          </w:p>
        </w:tc>
        <w:tc>
          <w:tcPr>
            <w:tcW w:w="1980" w:type="dxa"/>
            <w:gridSpan w:val="6"/>
            <w:tcBorders>
              <w:top w:val="nil"/>
              <w:left w:val="nil"/>
              <w:bottom w:val="nil"/>
              <w:right w:val="nil"/>
            </w:tcBorders>
            <w:shd w:val="clear" w:color="auto" w:fill="FFFFFF"/>
          </w:tcPr>
          <w:p w:rsidR="005B3FCF" w:rsidRPr="00F7263B" w:rsidRDefault="005B3FCF" w:rsidP="00556F1B">
            <w:pPr>
              <w:jc w:val="both"/>
              <w:rPr>
                <w:rFonts w:cs="Times New Roman"/>
                <w:sz w:val="20"/>
                <w:szCs w:val="20"/>
              </w:rPr>
            </w:pPr>
          </w:p>
        </w:tc>
      </w:tr>
      <w:tr w:rsidR="00FF7EE4" w:rsidRPr="00F7263B">
        <w:trPr>
          <w:gridAfter w:val="1"/>
          <w:wAfter w:w="49" w:type="dxa"/>
          <w:trHeight w:val="221"/>
        </w:trPr>
        <w:tc>
          <w:tcPr>
            <w:tcW w:w="4580" w:type="dxa"/>
            <w:gridSpan w:val="19"/>
            <w:tcBorders>
              <w:top w:val="nil"/>
              <w:left w:val="nil"/>
              <w:bottom w:val="nil"/>
              <w:right w:val="single" w:sz="4" w:space="0" w:color="000000"/>
            </w:tcBorders>
            <w:shd w:val="clear" w:color="auto" w:fill="FFFFFF"/>
            <w:tcMar>
              <w:top w:w="50" w:type="dxa"/>
              <w:left w:w="50" w:type="dxa"/>
              <w:bottom w:w="50" w:type="dxa"/>
              <w:right w:w="50" w:type="dxa"/>
            </w:tcMar>
          </w:tcPr>
          <w:p w:rsidR="00FF7EE4" w:rsidRPr="00F7263B" w:rsidRDefault="001D2940" w:rsidP="00556F1B">
            <w:pPr>
              <w:jc w:val="both"/>
              <w:rPr>
                <w:rFonts w:cs="Times New Roman"/>
                <w:sz w:val="20"/>
                <w:szCs w:val="20"/>
              </w:rPr>
            </w:pPr>
            <w:r w:rsidRPr="00F7263B">
              <w:rPr>
                <w:rFonts w:cs="Times New Roman"/>
                <w:sz w:val="20"/>
                <w:szCs w:val="20"/>
              </w:rPr>
              <w:t>IBRD</w:t>
            </w:r>
            <w:r w:rsidR="004B3337" w:rsidRPr="00F7263B">
              <w:rPr>
                <w:rFonts w:cs="Times New Roman"/>
                <w:sz w:val="20"/>
                <w:szCs w:val="20"/>
              </w:rPr>
              <w:t>/IDA</w:t>
            </w:r>
          </w:p>
        </w:tc>
        <w:tc>
          <w:tcPr>
            <w:tcW w:w="3063" w:type="dxa"/>
            <w:gridSpan w:val="12"/>
            <w:tcBorders>
              <w:top w:val="nil"/>
              <w:left w:val="single" w:sz="4" w:space="0" w:color="000000"/>
              <w:bottom w:val="nil"/>
              <w:right w:val="nil"/>
            </w:tcBorders>
            <w:shd w:val="clear" w:color="auto" w:fill="FFFFFF"/>
            <w:tcMar>
              <w:top w:w="50" w:type="dxa"/>
              <w:left w:w="50" w:type="dxa"/>
              <w:bottom w:w="50" w:type="dxa"/>
              <w:right w:w="50" w:type="dxa"/>
            </w:tcMar>
          </w:tcPr>
          <w:p w:rsidR="00FF7EE4" w:rsidRPr="00F7263B" w:rsidRDefault="00C6556B" w:rsidP="00254260">
            <w:pPr>
              <w:ind w:right="1120"/>
              <w:jc w:val="right"/>
              <w:rPr>
                <w:rFonts w:cs="Times New Roman"/>
                <w:sz w:val="20"/>
                <w:szCs w:val="20"/>
              </w:rPr>
            </w:pPr>
            <w:r w:rsidRPr="00F7263B">
              <w:rPr>
                <w:rFonts w:cs="Times New Roman"/>
                <w:sz w:val="20"/>
                <w:szCs w:val="20"/>
              </w:rPr>
              <w:t>3</w:t>
            </w:r>
            <w:r w:rsidR="00294C1D" w:rsidRPr="00F7263B">
              <w:rPr>
                <w:rFonts w:cs="Times New Roman"/>
                <w:sz w:val="20"/>
                <w:szCs w:val="20"/>
              </w:rPr>
              <w:t>80.0</w:t>
            </w:r>
            <w:r w:rsidR="0092484F" w:rsidRPr="00F7263B">
              <w:rPr>
                <w:rFonts w:cs="Times New Roman"/>
                <w:sz w:val="20"/>
                <w:szCs w:val="20"/>
              </w:rPr>
              <w:t>0</w:t>
            </w:r>
          </w:p>
        </w:tc>
        <w:tc>
          <w:tcPr>
            <w:tcW w:w="1980" w:type="dxa"/>
            <w:gridSpan w:val="6"/>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FF7EE4" w:rsidP="00556F1B">
            <w:pPr>
              <w:jc w:val="both"/>
              <w:rPr>
                <w:rFonts w:cs="Times New Roman"/>
                <w:sz w:val="20"/>
                <w:szCs w:val="20"/>
              </w:rPr>
            </w:pPr>
          </w:p>
        </w:tc>
      </w:tr>
      <w:tr w:rsidR="00FF7EE4" w:rsidRPr="00F7263B">
        <w:trPr>
          <w:gridAfter w:val="1"/>
          <w:wAfter w:w="49" w:type="dxa"/>
          <w:trHeight w:val="145"/>
        </w:trPr>
        <w:tc>
          <w:tcPr>
            <w:tcW w:w="4580" w:type="dxa"/>
            <w:gridSpan w:val="19"/>
            <w:tcBorders>
              <w:top w:val="nil"/>
              <w:left w:val="nil"/>
              <w:bottom w:val="nil"/>
              <w:right w:val="single" w:sz="4" w:space="0" w:color="000000"/>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c>
          <w:tcPr>
            <w:tcW w:w="5043" w:type="dxa"/>
            <w:gridSpan w:val="18"/>
            <w:tcBorders>
              <w:top w:val="nil"/>
              <w:left w:val="single" w:sz="4" w:space="0" w:color="000000"/>
              <w:bottom w:val="nil"/>
              <w:right w:val="nil"/>
            </w:tcBorders>
            <w:shd w:val="clear" w:color="auto" w:fill="FFFFFF"/>
            <w:tcMar>
              <w:top w:w="50" w:type="dxa"/>
              <w:left w:w="50" w:type="dxa"/>
              <w:bottom w:w="50" w:type="dxa"/>
              <w:right w:w="50" w:type="dxa"/>
            </w:tcMar>
          </w:tcPr>
          <w:p w:rsidR="00FF7EE4" w:rsidRPr="00F7263B" w:rsidRDefault="00FF7EE4" w:rsidP="00556F1B">
            <w:pPr>
              <w:jc w:val="both"/>
              <w:rPr>
                <w:rFonts w:cs="Times New Roman"/>
                <w:sz w:val="20"/>
                <w:szCs w:val="20"/>
              </w:rPr>
            </w:pPr>
          </w:p>
        </w:tc>
      </w:tr>
      <w:tr w:rsidR="00FF7EE4" w:rsidRPr="00F7263B">
        <w:trPr>
          <w:gridAfter w:val="1"/>
          <w:wAfter w:w="49" w:type="dxa"/>
          <w:trHeight w:val="145"/>
        </w:trPr>
        <w:tc>
          <w:tcPr>
            <w:tcW w:w="4580" w:type="dxa"/>
            <w:gridSpan w:val="19"/>
            <w:tcBorders>
              <w:top w:val="nil"/>
              <w:left w:val="nil"/>
              <w:bottom w:val="nil"/>
              <w:right w:val="single" w:sz="4" w:space="0" w:color="000000"/>
            </w:tcBorders>
            <w:shd w:val="clear" w:color="auto" w:fill="FFFFFF"/>
            <w:tcMar>
              <w:top w:w="50" w:type="dxa"/>
              <w:left w:w="50" w:type="dxa"/>
              <w:bottom w:w="50" w:type="dxa"/>
              <w:right w:w="50" w:type="dxa"/>
            </w:tcMar>
          </w:tcPr>
          <w:p w:rsidR="00FF7EE4" w:rsidRPr="00F7263B" w:rsidRDefault="00C6556B" w:rsidP="00556F1B">
            <w:pPr>
              <w:jc w:val="both"/>
              <w:rPr>
                <w:rFonts w:cs="Times New Roman"/>
                <w:sz w:val="20"/>
                <w:szCs w:val="20"/>
              </w:rPr>
            </w:pPr>
            <w:r w:rsidRPr="00F7263B">
              <w:rPr>
                <w:rFonts w:cs="Times New Roman"/>
                <w:sz w:val="20"/>
                <w:szCs w:val="20"/>
              </w:rPr>
              <w:t>Total</w:t>
            </w:r>
          </w:p>
        </w:tc>
        <w:tc>
          <w:tcPr>
            <w:tcW w:w="3063" w:type="dxa"/>
            <w:gridSpan w:val="12"/>
            <w:tcBorders>
              <w:top w:val="nil"/>
              <w:left w:val="single" w:sz="4" w:space="0" w:color="000000"/>
              <w:bottom w:val="nil"/>
              <w:right w:val="nil"/>
            </w:tcBorders>
            <w:shd w:val="clear" w:color="auto" w:fill="FFFFFF"/>
            <w:tcMar>
              <w:top w:w="50" w:type="dxa"/>
              <w:left w:w="50" w:type="dxa"/>
              <w:bottom w:w="50" w:type="dxa"/>
              <w:right w:w="50" w:type="dxa"/>
            </w:tcMar>
          </w:tcPr>
          <w:p w:rsidR="00FF7EE4" w:rsidRPr="00F7263B" w:rsidRDefault="00150CA4" w:rsidP="00254260">
            <w:pPr>
              <w:ind w:right="1120"/>
              <w:jc w:val="right"/>
              <w:rPr>
                <w:rFonts w:cs="Times New Roman"/>
                <w:sz w:val="20"/>
                <w:szCs w:val="20"/>
              </w:rPr>
            </w:pPr>
            <w:r w:rsidRPr="00F7263B">
              <w:rPr>
                <w:rFonts w:cs="Times New Roman"/>
                <w:sz w:val="20"/>
                <w:szCs w:val="20"/>
              </w:rPr>
              <w:t>5</w:t>
            </w:r>
            <w:r w:rsidR="0092484F" w:rsidRPr="00F7263B">
              <w:rPr>
                <w:rFonts w:cs="Times New Roman"/>
                <w:sz w:val="20"/>
                <w:szCs w:val="20"/>
              </w:rPr>
              <w:t>56</w:t>
            </w:r>
            <w:r w:rsidRPr="00F7263B">
              <w:rPr>
                <w:rFonts w:cs="Times New Roman"/>
                <w:sz w:val="20"/>
                <w:szCs w:val="20"/>
              </w:rPr>
              <w:t>.</w:t>
            </w:r>
            <w:r w:rsidR="0092484F" w:rsidRPr="00F7263B">
              <w:rPr>
                <w:rFonts w:cs="Times New Roman"/>
                <w:sz w:val="20"/>
                <w:szCs w:val="20"/>
              </w:rPr>
              <w:t>53</w:t>
            </w:r>
          </w:p>
        </w:tc>
        <w:tc>
          <w:tcPr>
            <w:tcW w:w="1980" w:type="dxa"/>
            <w:gridSpan w:val="6"/>
            <w:tcBorders>
              <w:top w:val="nil"/>
              <w:left w:val="nil"/>
              <w:bottom w:val="nil"/>
              <w:right w:val="nil"/>
            </w:tcBorders>
            <w:shd w:val="clear" w:color="auto" w:fill="FFFFFF"/>
            <w:tcMar>
              <w:top w:w="50" w:type="dxa"/>
              <w:left w:w="50" w:type="dxa"/>
              <w:bottom w:w="50" w:type="dxa"/>
              <w:right w:w="50" w:type="dxa"/>
            </w:tcMar>
            <w:vAlign w:val="center"/>
          </w:tcPr>
          <w:p w:rsidR="00FF7EE4" w:rsidRPr="00F7263B" w:rsidRDefault="00FF7EE4" w:rsidP="00556F1B">
            <w:pPr>
              <w:jc w:val="both"/>
              <w:rPr>
                <w:rFonts w:cs="Times New Roman"/>
                <w:sz w:val="20"/>
                <w:szCs w:val="20"/>
              </w:rPr>
            </w:pPr>
          </w:p>
        </w:tc>
      </w:tr>
      <w:tr w:rsidR="00FF7EE4" w:rsidRPr="00F7263B">
        <w:trPr>
          <w:gridAfter w:val="1"/>
          <w:wAfter w:w="49" w:type="dxa"/>
          <w:trHeight w:val="145"/>
        </w:trPr>
        <w:tc>
          <w:tcPr>
            <w:tcW w:w="9623"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rsidR="00FF7EE4" w:rsidRPr="00F7263B" w:rsidRDefault="001D2940" w:rsidP="00556F1B">
            <w:pPr>
              <w:jc w:val="both"/>
              <w:rPr>
                <w:rFonts w:cs="Times New Roman"/>
                <w:sz w:val="20"/>
                <w:szCs w:val="20"/>
              </w:rPr>
            </w:pPr>
            <w:r w:rsidRPr="00F7263B">
              <w:rPr>
                <w:rFonts w:cs="Times New Roman"/>
                <w:sz w:val="20"/>
                <w:szCs w:val="20"/>
              </w:rPr>
              <w:t>.</w:t>
            </w:r>
          </w:p>
        </w:tc>
      </w:tr>
      <w:tr w:rsidR="00FF7EE4" w:rsidRPr="00F7263B">
        <w:trPr>
          <w:gridAfter w:val="1"/>
          <w:wAfter w:w="49" w:type="dxa"/>
          <w:trHeight w:val="145"/>
        </w:trPr>
        <w:tc>
          <w:tcPr>
            <w:tcW w:w="9623" w:type="dxa"/>
            <w:gridSpan w:val="37"/>
            <w:tcBorders>
              <w:top w:val="single" w:sz="4" w:space="0" w:color="000000"/>
              <w:left w:val="nil"/>
              <w:bottom w:val="nil"/>
              <w:right w:val="nil"/>
            </w:tcBorders>
            <w:shd w:val="clear" w:color="auto" w:fill="FFFFFF"/>
            <w:tcMar>
              <w:top w:w="50" w:type="dxa"/>
              <w:left w:w="50" w:type="dxa"/>
              <w:bottom w:w="50" w:type="dxa"/>
              <w:right w:w="50" w:type="dxa"/>
            </w:tcMar>
            <w:vAlign w:val="center"/>
          </w:tcPr>
          <w:p w:rsidR="00FF7EE4" w:rsidRPr="00F7263B" w:rsidRDefault="001D2940" w:rsidP="00556F1B">
            <w:pPr>
              <w:jc w:val="both"/>
              <w:rPr>
                <w:rFonts w:cs="Times New Roman"/>
                <w:sz w:val="20"/>
                <w:szCs w:val="20"/>
              </w:rPr>
            </w:pPr>
            <w:r w:rsidRPr="00F7263B">
              <w:rPr>
                <w:rFonts w:cs="Times New Roman"/>
                <w:sz w:val="20"/>
                <w:szCs w:val="20"/>
              </w:rPr>
              <w:lastRenderedPageBreak/>
              <w:t xml:space="preserve">Borrower: </w:t>
            </w:r>
            <w:r w:rsidR="0055140E" w:rsidRPr="00F7263B">
              <w:rPr>
                <w:bCs/>
                <w:sz w:val="20"/>
                <w:szCs w:val="20"/>
              </w:rPr>
              <w:t>Government of the Federal Democratic Republic of Ethiopia</w:t>
            </w:r>
          </w:p>
        </w:tc>
      </w:tr>
      <w:tr w:rsidR="00FF7EE4" w:rsidRPr="00F7263B">
        <w:trPr>
          <w:gridAfter w:val="1"/>
          <w:wAfter w:w="49" w:type="dxa"/>
          <w:trHeight w:val="145"/>
        </w:trPr>
        <w:tc>
          <w:tcPr>
            <w:tcW w:w="9623" w:type="dxa"/>
            <w:gridSpan w:val="37"/>
            <w:tcBorders>
              <w:top w:val="single" w:sz="4" w:space="0" w:color="000000"/>
              <w:left w:val="nil"/>
              <w:bottom w:val="single" w:sz="4" w:space="0" w:color="000000"/>
              <w:right w:val="nil"/>
            </w:tcBorders>
            <w:shd w:val="clear" w:color="auto" w:fill="FFFFFF"/>
            <w:tcMar>
              <w:top w:w="50" w:type="dxa"/>
              <w:left w:w="50" w:type="dxa"/>
              <w:bottom w:w="50" w:type="dxa"/>
              <w:right w:w="50" w:type="dxa"/>
            </w:tcMar>
            <w:vAlign w:val="center"/>
          </w:tcPr>
          <w:p w:rsidR="00FF7EE4" w:rsidRPr="00F7263B" w:rsidRDefault="001D2940" w:rsidP="00556F1B">
            <w:pPr>
              <w:jc w:val="both"/>
              <w:rPr>
                <w:rFonts w:cs="Times New Roman"/>
                <w:sz w:val="20"/>
                <w:szCs w:val="20"/>
              </w:rPr>
            </w:pPr>
            <w:r w:rsidRPr="00F7263B">
              <w:rPr>
                <w:rFonts w:cs="Times New Roman"/>
                <w:sz w:val="20"/>
                <w:szCs w:val="20"/>
              </w:rPr>
              <w:t xml:space="preserve">Responsible Agency: </w:t>
            </w:r>
            <w:r w:rsidR="0061123D" w:rsidRPr="00F7263B">
              <w:rPr>
                <w:rFonts w:cs="Times New Roman"/>
                <w:sz w:val="20"/>
                <w:szCs w:val="20"/>
              </w:rPr>
              <w:t>Ministry of Urban Development, Housing, and Construction</w:t>
            </w:r>
          </w:p>
        </w:tc>
      </w:tr>
      <w:tr w:rsidR="00FF7EE4" w:rsidRPr="00F7263B">
        <w:trPr>
          <w:gridAfter w:val="1"/>
          <w:wAfter w:w="49" w:type="dxa"/>
          <w:trHeight w:val="145"/>
        </w:trPr>
        <w:tc>
          <w:tcPr>
            <w:tcW w:w="1419" w:type="dxa"/>
            <w:gridSpan w:val="6"/>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254260">
            <w:pPr>
              <w:rPr>
                <w:rFonts w:cs="Times New Roman"/>
                <w:sz w:val="20"/>
                <w:szCs w:val="20"/>
              </w:rPr>
            </w:pPr>
            <w:r w:rsidRPr="00F7263B">
              <w:rPr>
                <w:rFonts w:cs="Times New Roman"/>
                <w:sz w:val="20"/>
                <w:szCs w:val="20"/>
              </w:rPr>
              <w:t xml:space="preserve">    Contact:</w:t>
            </w:r>
          </w:p>
        </w:tc>
        <w:tc>
          <w:tcPr>
            <w:tcW w:w="3671" w:type="dxa"/>
            <w:gridSpan w:val="15"/>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61123D" w:rsidP="00254260">
            <w:pPr>
              <w:rPr>
                <w:rFonts w:cs="Times New Roman"/>
                <w:sz w:val="20"/>
                <w:szCs w:val="20"/>
              </w:rPr>
            </w:pPr>
            <w:r w:rsidRPr="00F7263B">
              <w:rPr>
                <w:sz w:val="20"/>
                <w:szCs w:val="20"/>
              </w:rPr>
              <w:t>YehyaAman</w:t>
            </w:r>
          </w:p>
        </w:tc>
        <w:tc>
          <w:tcPr>
            <w:tcW w:w="816" w:type="dxa"/>
            <w:gridSpan w:val="4"/>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1D2940" w:rsidP="00254260">
            <w:pPr>
              <w:rPr>
                <w:rFonts w:cs="Times New Roman"/>
                <w:sz w:val="20"/>
                <w:szCs w:val="20"/>
              </w:rPr>
            </w:pPr>
            <w:r w:rsidRPr="00F7263B">
              <w:rPr>
                <w:rFonts w:cs="Times New Roman"/>
                <w:sz w:val="20"/>
                <w:szCs w:val="20"/>
              </w:rPr>
              <w:t xml:space="preserve">    Title:</w:t>
            </w:r>
          </w:p>
        </w:tc>
        <w:tc>
          <w:tcPr>
            <w:tcW w:w="3717" w:type="dxa"/>
            <w:gridSpan w:val="12"/>
            <w:tcBorders>
              <w:top w:val="single" w:sz="4" w:space="0" w:color="000000"/>
              <w:left w:val="nil"/>
              <w:bottom w:val="nil"/>
              <w:right w:val="nil"/>
            </w:tcBorders>
            <w:shd w:val="clear" w:color="auto" w:fill="FFFFFF"/>
            <w:tcMar>
              <w:top w:w="50" w:type="dxa"/>
              <w:left w:w="50" w:type="dxa"/>
              <w:bottom w:w="50" w:type="dxa"/>
              <w:right w:w="50" w:type="dxa"/>
            </w:tcMar>
          </w:tcPr>
          <w:p w:rsidR="00FF7EE4" w:rsidRPr="00F7263B" w:rsidRDefault="0061123D" w:rsidP="00254260">
            <w:pPr>
              <w:rPr>
                <w:rFonts w:cs="Times New Roman"/>
                <w:sz w:val="20"/>
                <w:szCs w:val="20"/>
              </w:rPr>
            </w:pPr>
            <w:r w:rsidRPr="00F7263B">
              <w:rPr>
                <w:sz w:val="20"/>
                <w:szCs w:val="20"/>
              </w:rPr>
              <w:t xml:space="preserve">Director, Urban Governance and Capacity Building </w:t>
            </w:r>
            <w:r w:rsidR="001533F0" w:rsidRPr="00F7263B">
              <w:rPr>
                <w:sz w:val="20"/>
                <w:szCs w:val="20"/>
              </w:rPr>
              <w:t xml:space="preserve"> Bureau </w:t>
            </w:r>
          </w:p>
        </w:tc>
      </w:tr>
      <w:tr w:rsidR="00FF7EE4" w:rsidRPr="00F7263B">
        <w:trPr>
          <w:gridAfter w:val="1"/>
          <w:wAfter w:w="49" w:type="dxa"/>
          <w:trHeight w:val="145"/>
        </w:trPr>
        <w:tc>
          <w:tcPr>
            <w:tcW w:w="1419" w:type="dxa"/>
            <w:gridSpan w:val="6"/>
            <w:tcBorders>
              <w:top w:val="nil"/>
              <w:left w:val="nil"/>
              <w:bottom w:val="single" w:sz="4" w:space="0" w:color="000000"/>
              <w:right w:val="nil"/>
            </w:tcBorders>
            <w:shd w:val="clear" w:color="auto" w:fill="FFFFFF"/>
            <w:tcMar>
              <w:top w:w="50" w:type="dxa"/>
              <w:left w:w="50" w:type="dxa"/>
              <w:bottom w:w="50" w:type="dxa"/>
              <w:right w:w="50" w:type="dxa"/>
            </w:tcMar>
          </w:tcPr>
          <w:p w:rsidR="00FF7EE4" w:rsidRPr="00F7263B" w:rsidRDefault="001D2940" w:rsidP="00254260">
            <w:pPr>
              <w:rPr>
                <w:rFonts w:cs="Times New Roman"/>
                <w:sz w:val="20"/>
                <w:szCs w:val="20"/>
              </w:rPr>
            </w:pPr>
            <w:r w:rsidRPr="00F7263B">
              <w:rPr>
                <w:rFonts w:cs="Times New Roman"/>
                <w:sz w:val="20"/>
                <w:szCs w:val="20"/>
              </w:rPr>
              <w:t xml:space="preserve">    Telephone No.:</w:t>
            </w:r>
          </w:p>
        </w:tc>
        <w:tc>
          <w:tcPr>
            <w:tcW w:w="3671" w:type="dxa"/>
            <w:gridSpan w:val="15"/>
            <w:tcBorders>
              <w:top w:val="nil"/>
              <w:left w:val="nil"/>
              <w:bottom w:val="single" w:sz="4" w:space="0" w:color="000000"/>
              <w:right w:val="nil"/>
            </w:tcBorders>
            <w:shd w:val="clear" w:color="auto" w:fill="FFFFFF"/>
            <w:tcMar>
              <w:top w:w="50" w:type="dxa"/>
              <w:left w:w="50" w:type="dxa"/>
              <w:bottom w:w="50" w:type="dxa"/>
              <w:right w:w="50" w:type="dxa"/>
            </w:tcMar>
          </w:tcPr>
          <w:p w:rsidR="00FF7EE4" w:rsidRPr="00F7263B" w:rsidRDefault="0061123D" w:rsidP="00254260">
            <w:pPr>
              <w:rPr>
                <w:rFonts w:cs="Times New Roman"/>
                <w:sz w:val="20"/>
                <w:szCs w:val="20"/>
              </w:rPr>
            </w:pPr>
            <w:r w:rsidRPr="00F7263B">
              <w:rPr>
                <w:sz w:val="20"/>
                <w:szCs w:val="20"/>
              </w:rPr>
              <w:t>+251 (1) 01155</w:t>
            </w:r>
            <w:r w:rsidR="001A4879" w:rsidRPr="00F7263B">
              <w:rPr>
                <w:sz w:val="20"/>
                <w:szCs w:val="20"/>
              </w:rPr>
              <w:t>4</w:t>
            </w:r>
            <w:r w:rsidRPr="00F7263B">
              <w:rPr>
                <w:sz w:val="20"/>
                <w:szCs w:val="20"/>
              </w:rPr>
              <w:t>0635</w:t>
            </w:r>
          </w:p>
        </w:tc>
        <w:tc>
          <w:tcPr>
            <w:tcW w:w="816" w:type="dxa"/>
            <w:gridSpan w:val="4"/>
            <w:tcBorders>
              <w:top w:val="nil"/>
              <w:left w:val="nil"/>
              <w:bottom w:val="single" w:sz="4" w:space="0" w:color="000000"/>
              <w:right w:val="nil"/>
            </w:tcBorders>
            <w:shd w:val="clear" w:color="auto" w:fill="FFFFFF"/>
            <w:tcMar>
              <w:top w:w="50" w:type="dxa"/>
              <w:left w:w="50" w:type="dxa"/>
              <w:bottom w:w="50" w:type="dxa"/>
              <w:right w:w="50" w:type="dxa"/>
            </w:tcMar>
          </w:tcPr>
          <w:p w:rsidR="00FF7EE4" w:rsidRPr="00F7263B" w:rsidRDefault="001D2940" w:rsidP="00254260">
            <w:pPr>
              <w:rPr>
                <w:rFonts w:cs="Times New Roman"/>
                <w:sz w:val="20"/>
                <w:szCs w:val="20"/>
              </w:rPr>
            </w:pPr>
            <w:r w:rsidRPr="00F7263B">
              <w:rPr>
                <w:rFonts w:cs="Times New Roman"/>
                <w:sz w:val="20"/>
                <w:szCs w:val="20"/>
              </w:rPr>
              <w:t xml:space="preserve">    Email:</w:t>
            </w:r>
          </w:p>
        </w:tc>
        <w:tc>
          <w:tcPr>
            <w:tcW w:w="3717" w:type="dxa"/>
            <w:gridSpan w:val="12"/>
            <w:tcBorders>
              <w:top w:val="nil"/>
              <w:left w:val="nil"/>
              <w:bottom w:val="single" w:sz="4" w:space="0" w:color="000000"/>
              <w:right w:val="nil"/>
            </w:tcBorders>
            <w:shd w:val="clear" w:color="auto" w:fill="FFFFFF"/>
            <w:tcMar>
              <w:top w:w="50" w:type="dxa"/>
              <w:left w:w="50" w:type="dxa"/>
              <w:bottom w:w="50" w:type="dxa"/>
              <w:right w:w="50" w:type="dxa"/>
            </w:tcMar>
          </w:tcPr>
          <w:p w:rsidR="00FF7EE4" w:rsidRPr="00F7263B" w:rsidRDefault="001533F0" w:rsidP="00254260">
            <w:pPr>
              <w:rPr>
                <w:rFonts w:cs="Times New Roman"/>
                <w:sz w:val="20"/>
                <w:szCs w:val="20"/>
              </w:rPr>
            </w:pPr>
            <w:r w:rsidRPr="00F7263B">
              <w:rPr>
                <w:rStyle w:val="Hyperlink"/>
                <w:sz w:val="20"/>
                <w:szCs w:val="20"/>
              </w:rPr>
              <w:t xml:space="preserve"> uggcbb@gmail.com</w:t>
            </w:r>
          </w:p>
        </w:tc>
      </w:tr>
      <w:tr w:rsidR="00FF7EE4" w:rsidRPr="00F7263B">
        <w:trPr>
          <w:gridAfter w:val="1"/>
          <w:wAfter w:w="49" w:type="dxa"/>
          <w:trHeight w:val="145"/>
        </w:trPr>
        <w:tc>
          <w:tcPr>
            <w:tcW w:w="9623" w:type="dxa"/>
            <w:gridSpan w:val="37"/>
            <w:tcBorders>
              <w:top w:val="single" w:sz="4" w:space="0" w:color="000000"/>
              <w:left w:val="nil"/>
              <w:bottom w:val="single" w:sz="4" w:space="0" w:color="000000"/>
              <w:right w:val="nil"/>
            </w:tcBorders>
            <w:shd w:val="clear" w:color="auto" w:fill="000000"/>
            <w:tcMar>
              <w:top w:w="50" w:type="dxa"/>
              <w:left w:w="50" w:type="dxa"/>
              <w:bottom w:w="50" w:type="dxa"/>
              <w:right w:w="50" w:type="dxa"/>
            </w:tcMar>
            <w:vAlign w:val="center"/>
          </w:tcPr>
          <w:p w:rsidR="00FF7EE4" w:rsidRPr="00F7263B" w:rsidRDefault="001D2940" w:rsidP="00556F1B">
            <w:pPr>
              <w:jc w:val="both"/>
              <w:rPr>
                <w:rFonts w:cs="Times New Roman"/>
                <w:sz w:val="20"/>
                <w:szCs w:val="20"/>
              </w:rPr>
            </w:pPr>
            <w:r w:rsidRPr="00F7263B">
              <w:rPr>
                <w:rFonts w:cs="Times New Roman"/>
                <w:sz w:val="20"/>
                <w:szCs w:val="20"/>
              </w:rPr>
              <w:t>.</w:t>
            </w:r>
          </w:p>
        </w:tc>
      </w:tr>
      <w:tr w:rsidR="001B0CCF"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1D2940" w:rsidP="00556F1B">
            <w:pPr>
              <w:jc w:val="both"/>
              <w:rPr>
                <w:rFonts w:cs="Times New Roman"/>
                <w:sz w:val="20"/>
                <w:szCs w:val="20"/>
              </w:rPr>
            </w:pPr>
            <w:r w:rsidRPr="00F7263B">
              <w:rPr>
                <w:rFonts w:cs="Times New Roman"/>
                <w:b/>
                <w:bCs/>
                <w:sz w:val="20"/>
                <w:szCs w:val="20"/>
              </w:rPr>
              <w:t xml:space="preserve">Expected </w:t>
            </w:r>
            <w:r w:rsidR="003A548C" w:rsidRPr="00F7263B">
              <w:rPr>
                <w:rFonts w:cs="Times New Roman"/>
                <w:b/>
                <w:bCs/>
                <w:sz w:val="20"/>
                <w:szCs w:val="20"/>
              </w:rPr>
              <w:t xml:space="preserve">IDA </w:t>
            </w:r>
            <w:r w:rsidRPr="00F7263B">
              <w:rPr>
                <w:rFonts w:cs="Times New Roman"/>
                <w:b/>
                <w:bCs/>
                <w:sz w:val="20"/>
                <w:szCs w:val="20"/>
              </w:rPr>
              <w:t>Disbursements (in USD Million)</w:t>
            </w:r>
          </w:p>
        </w:tc>
      </w:tr>
      <w:tr w:rsidR="001B0CCF" w:rsidRPr="00F7263B">
        <w:tblPrEx>
          <w:jc w:val="center"/>
        </w:tblPrEx>
        <w:trPr>
          <w:gridBefore w:val="1"/>
          <w:wBefore w:w="79" w:type="dxa"/>
          <w:trHeight w:val="145"/>
          <w:jc w:val="center"/>
        </w:trPr>
        <w:tc>
          <w:tcPr>
            <w:tcW w:w="9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1D2940" w:rsidP="00254260">
            <w:pPr>
              <w:rPr>
                <w:rFonts w:cs="Times New Roman"/>
                <w:sz w:val="20"/>
                <w:szCs w:val="20"/>
              </w:rPr>
            </w:pPr>
            <w:r w:rsidRPr="00F7263B">
              <w:rPr>
                <w:rFonts w:cs="Times New Roman"/>
                <w:sz w:val="20"/>
                <w:szCs w:val="20"/>
              </w:rPr>
              <w:t>Fiscal Year</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535570" w:rsidP="00254260">
            <w:pPr>
              <w:jc w:val="center"/>
              <w:rPr>
                <w:rFonts w:cs="Times New Roman"/>
                <w:sz w:val="20"/>
                <w:szCs w:val="20"/>
              </w:rPr>
            </w:pPr>
            <w:r w:rsidRPr="00F7263B">
              <w:rPr>
                <w:rFonts w:cs="Times New Roman"/>
                <w:sz w:val="20"/>
                <w:szCs w:val="20"/>
              </w:rPr>
              <w:t>2015</w:t>
            </w:r>
          </w:p>
        </w:tc>
        <w:tc>
          <w:tcPr>
            <w:tcW w:w="94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535570" w:rsidP="00254260">
            <w:pPr>
              <w:jc w:val="center"/>
              <w:rPr>
                <w:rFonts w:cs="Times New Roman"/>
                <w:sz w:val="20"/>
                <w:szCs w:val="20"/>
              </w:rPr>
            </w:pPr>
            <w:r w:rsidRPr="00F7263B">
              <w:rPr>
                <w:rFonts w:cs="Times New Roman"/>
                <w:sz w:val="20"/>
                <w:szCs w:val="20"/>
              </w:rPr>
              <w:t>2016</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535570" w:rsidP="00254260">
            <w:pPr>
              <w:jc w:val="center"/>
              <w:rPr>
                <w:rFonts w:cs="Times New Roman"/>
                <w:sz w:val="20"/>
                <w:szCs w:val="20"/>
              </w:rPr>
            </w:pPr>
            <w:r w:rsidRPr="00F7263B">
              <w:rPr>
                <w:rFonts w:cs="Times New Roman"/>
                <w:sz w:val="20"/>
                <w:szCs w:val="20"/>
              </w:rPr>
              <w:t>2017</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535570" w:rsidP="00254260">
            <w:pPr>
              <w:jc w:val="center"/>
              <w:rPr>
                <w:rFonts w:cs="Times New Roman"/>
                <w:sz w:val="20"/>
                <w:szCs w:val="20"/>
              </w:rPr>
            </w:pPr>
            <w:r w:rsidRPr="00F7263B">
              <w:rPr>
                <w:rFonts w:cs="Times New Roman"/>
                <w:sz w:val="20"/>
                <w:szCs w:val="20"/>
              </w:rPr>
              <w:t>2018</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535570" w:rsidP="00254260">
            <w:pPr>
              <w:jc w:val="center"/>
              <w:rPr>
                <w:rFonts w:cs="Times New Roman"/>
                <w:sz w:val="20"/>
                <w:szCs w:val="20"/>
              </w:rPr>
            </w:pPr>
            <w:r w:rsidRPr="00F7263B">
              <w:rPr>
                <w:rFonts w:cs="Times New Roman"/>
                <w:sz w:val="20"/>
                <w:szCs w:val="20"/>
              </w:rPr>
              <w:t>2019</w:t>
            </w:r>
          </w:p>
        </w:tc>
        <w:tc>
          <w:tcPr>
            <w:tcW w:w="138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1B0CCF" w:rsidP="00254260">
            <w:pPr>
              <w:rPr>
                <w:rFonts w:cs="Times New Roman"/>
                <w:sz w:val="20"/>
                <w:szCs w:val="20"/>
              </w:rPr>
            </w:pPr>
          </w:p>
        </w:tc>
        <w:tc>
          <w:tcPr>
            <w:tcW w:w="5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1B0CCF" w:rsidP="00254260">
            <w:pPr>
              <w:rPr>
                <w:rFonts w:cs="Times New Roman"/>
                <w:sz w:val="20"/>
                <w:szCs w:val="20"/>
              </w:rPr>
            </w:pP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1B0CCF" w:rsidP="00254260">
            <w:pPr>
              <w:rPr>
                <w:rFonts w:cs="Times New Roman"/>
                <w:sz w:val="20"/>
                <w:szCs w:val="20"/>
              </w:rPr>
            </w:pPr>
          </w:p>
        </w:tc>
        <w:tc>
          <w:tcPr>
            <w:tcW w:w="10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1B0CCF" w:rsidRPr="00F7263B" w:rsidRDefault="001B0CCF" w:rsidP="00556F1B">
            <w:pPr>
              <w:jc w:val="both"/>
              <w:rPr>
                <w:rFonts w:cs="Times New Roman"/>
                <w:sz w:val="20"/>
                <w:szCs w:val="20"/>
              </w:rPr>
            </w:pPr>
          </w:p>
        </w:tc>
      </w:tr>
      <w:tr w:rsidR="00535570" w:rsidRPr="00F7263B">
        <w:tblPrEx>
          <w:jc w:val="center"/>
        </w:tblPrEx>
        <w:trPr>
          <w:gridBefore w:val="1"/>
          <w:wBefore w:w="79" w:type="dxa"/>
          <w:trHeight w:val="145"/>
          <w:jc w:val="center"/>
        </w:trPr>
        <w:tc>
          <w:tcPr>
            <w:tcW w:w="9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r w:rsidRPr="00F7263B">
              <w:rPr>
                <w:rFonts w:cs="Times New Roman"/>
                <w:sz w:val="20"/>
                <w:szCs w:val="20"/>
              </w:rPr>
              <w:t>Annual</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8F4331" w:rsidP="00254260">
            <w:pPr>
              <w:jc w:val="center"/>
              <w:rPr>
                <w:rFonts w:cs="Times New Roman"/>
                <w:sz w:val="20"/>
                <w:szCs w:val="20"/>
              </w:rPr>
            </w:pPr>
            <w:r w:rsidRPr="00F7263B">
              <w:rPr>
                <w:rFonts w:cs="Times New Roman"/>
                <w:sz w:val="20"/>
                <w:szCs w:val="20"/>
              </w:rPr>
              <w:t>60.73</w:t>
            </w:r>
          </w:p>
        </w:tc>
        <w:tc>
          <w:tcPr>
            <w:tcW w:w="94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3A548C" w:rsidP="00254260">
            <w:pPr>
              <w:jc w:val="center"/>
              <w:rPr>
                <w:rFonts w:cs="Times New Roman"/>
                <w:sz w:val="20"/>
                <w:szCs w:val="20"/>
              </w:rPr>
            </w:pPr>
            <w:r w:rsidRPr="00F7263B">
              <w:rPr>
                <w:rFonts w:cs="Times New Roman"/>
                <w:sz w:val="20"/>
                <w:szCs w:val="20"/>
              </w:rPr>
              <w:t>7</w:t>
            </w:r>
            <w:r w:rsidR="008F4331" w:rsidRPr="00F7263B">
              <w:rPr>
                <w:rFonts w:cs="Times New Roman"/>
                <w:sz w:val="20"/>
                <w:szCs w:val="20"/>
              </w:rPr>
              <w:t>8.82</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8F4331" w:rsidP="00254260">
            <w:pPr>
              <w:jc w:val="center"/>
              <w:rPr>
                <w:rFonts w:cs="Times New Roman"/>
                <w:sz w:val="20"/>
                <w:szCs w:val="20"/>
              </w:rPr>
            </w:pPr>
            <w:r w:rsidRPr="00F7263B">
              <w:rPr>
                <w:rFonts w:cs="Times New Roman"/>
                <w:sz w:val="20"/>
                <w:szCs w:val="20"/>
              </w:rPr>
              <w:t>80.82</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8F4331" w:rsidP="00254260">
            <w:pPr>
              <w:jc w:val="center"/>
              <w:rPr>
                <w:rFonts w:cs="Times New Roman"/>
                <w:sz w:val="20"/>
                <w:szCs w:val="20"/>
              </w:rPr>
            </w:pPr>
            <w:r w:rsidRPr="00F7263B">
              <w:rPr>
                <w:rFonts w:cs="Times New Roman"/>
                <w:sz w:val="20"/>
                <w:szCs w:val="20"/>
              </w:rPr>
              <w:t>78.82</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8F4331" w:rsidP="00254260">
            <w:pPr>
              <w:jc w:val="center"/>
              <w:rPr>
                <w:rFonts w:cs="Times New Roman"/>
                <w:sz w:val="20"/>
                <w:szCs w:val="20"/>
              </w:rPr>
            </w:pPr>
            <w:r w:rsidRPr="00F7263B">
              <w:rPr>
                <w:rFonts w:cs="Times New Roman"/>
                <w:sz w:val="20"/>
                <w:szCs w:val="20"/>
              </w:rPr>
              <w:t>80.82</w:t>
            </w:r>
          </w:p>
        </w:tc>
        <w:tc>
          <w:tcPr>
            <w:tcW w:w="138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p>
        </w:tc>
        <w:tc>
          <w:tcPr>
            <w:tcW w:w="5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p>
        </w:tc>
        <w:tc>
          <w:tcPr>
            <w:tcW w:w="10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p>
        </w:tc>
      </w:tr>
      <w:tr w:rsidR="00535570" w:rsidRPr="00F7263B">
        <w:tblPrEx>
          <w:jc w:val="center"/>
        </w:tblPrEx>
        <w:trPr>
          <w:gridBefore w:val="1"/>
          <w:wBefore w:w="79" w:type="dxa"/>
          <w:trHeight w:val="145"/>
          <w:jc w:val="center"/>
        </w:trPr>
        <w:tc>
          <w:tcPr>
            <w:tcW w:w="943" w:type="dxa"/>
            <w:gridSpan w:val="2"/>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r w:rsidRPr="00F7263B">
              <w:rPr>
                <w:rFonts w:cs="Times New Roman"/>
                <w:sz w:val="20"/>
                <w:szCs w:val="20"/>
              </w:rPr>
              <w:t>Cumulative</w:t>
            </w:r>
          </w:p>
        </w:tc>
        <w:tc>
          <w:tcPr>
            <w:tcW w:w="945"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8F4331" w:rsidP="00254260">
            <w:pPr>
              <w:jc w:val="center"/>
              <w:rPr>
                <w:rFonts w:cs="Times New Roman"/>
                <w:sz w:val="20"/>
                <w:szCs w:val="20"/>
              </w:rPr>
            </w:pPr>
            <w:r w:rsidRPr="00F7263B">
              <w:rPr>
                <w:rFonts w:cs="Times New Roman"/>
                <w:sz w:val="20"/>
                <w:szCs w:val="20"/>
              </w:rPr>
              <w:t>60.73</w:t>
            </w:r>
          </w:p>
        </w:tc>
        <w:tc>
          <w:tcPr>
            <w:tcW w:w="946"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A610FE" w:rsidP="00254260">
            <w:pPr>
              <w:jc w:val="center"/>
              <w:rPr>
                <w:rFonts w:cs="Times New Roman"/>
                <w:sz w:val="20"/>
                <w:szCs w:val="20"/>
              </w:rPr>
            </w:pPr>
            <w:r w:rsidRPr="00F7263B">
              <w:rPr>
                <w:rFonts w:cs="Times New Roman"/>
                <w:sz w:val="20"/>
                <w:szCs w:val="20"/>
              </w:rPr>
              <w:t>1</w:t>
            </w:r>
            <w:r w:rsidR="008F4331" w:rsidRPr="00F7263B">
              <w:rPr>
                <w:rFonts w:cs="Times New Roman"/>
                <w:sz w:val="20"/>
                <w:szCs w:val="20"/>
              </w:rPr>
              <w:t>39.55</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8F4331" w:rsidP="00254260">
            <w:pPr>
              <w:jc w:val="center"/>
              <w:rPr>
                <w:rFonts w:cs="Times New Roman"/>
                <w:sz w:val="20"/>
                <w:szCs w:val="20"/>
              </w:rPr>
            </w:pPr>
            <w:r w:rsidRPr="00F7263B">
              <w:rPr>
                <w:rFonts w:cs="Times New Roman"/>
                <w:sz w:val="20"/>
                <w:szCs w:val="20"/>
              </w:rPr>
              <w:t>220.37</w:t>
            </w:r>
          </w:p>
        </w:tc>
        <w:tc>
          <w:tcPr>
            <w:tcW w:w="946"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8F4331" w:rsidP="00254260">
            <w:pPr>
              <w:jc w:val="center"/>
              <w:rPr>
                <w:rFonts w:cs="Times New Roman"/>
                <w:sz w:val="20"/>
                <w:szCs w:val="20"/>
              </w:rPr>
            </w:pPr>
            <w:r w:rsidRPr="00F7263B">
              <w:rPr>
                <w:rFonts w:cs="Times New Roman"/>
                <w:sz w:val="20"/>
                <w:szCs w:val="20"/>
              </w:rPr>
              <w:t>299.18</w:t>
            </w: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A610FE" w:rsidP="00254260">
            <w:pPr>
              <w:jc w:val="center"/>
              <w:rPr>
                <w:rFonts w:cs="Times New Roman"/>
                <w:sz w:val="20"/>
                <w:szCs w:val="20"/>
              </w:rPr>
            </w:pPr>
            <w:r w:rsidRPr="00F7263B">
              <w:rPr>
                <w:rFonts w:cs="Times New Roman"/>
                <w:sz w:val="20"/>
                <w:szCs w:val="20"/>
              </w:rPr>
              <w:t>3</w:t>
            </w:r>
            <w:r w:rsidR="008F4331" w:rsidRPr="00F7263B">
              <w:rPr>
                <w:rFonts w:cs="Times New Roman"/>
                <w:sz w:val="20"/>
                <w:szCs w:val="20"/>
              </w:rPr>
              <w:t>80.00</w:t>
            </w:r>
          </w:p>
        </w:tc>
        <w:tc>
          <w:tcPr>
            <w:tcW w:w="1382"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p>
        </w:tc>
        <w:tc>
          <w:tcPr>
            <w:tcW w:w="510"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p>
        </w:tc>
        <w:tc>
          <w:tcPr>
            <w:tcW w:w="946"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254260">
            <w:pPr>
              <w:rPr>
                <w:rFonts w:cs="Times New Roman"/>
                <w:sz w:val="20"/>
                <w:szCs w:val="20"/>
              </w:rPr>
            </w:pPr>
          </w:p>
        </w:tc>
        <w:tc>
          <w:tcPr>
            <w:tcW w:w="1083" w:type="dxa"/>
            <w:gridSpan w:val="3"/>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35570" w:rsidRPr="00F7263B" w:rsidRDefault="00535570" w:rsidP="00556F1B">
            <w:pPr>
              <w:jc w:val="both"/>
              <w:rPr>
                <w:rFonts w:cs="Times New Roman"/>
                <w:sz w:val="20"/>
                <w:szCs w:val="20"/>
              </w:rPr>
            </w:pPr>
            <w:r w:rsidRPr="00F7263B">
              <w:rPr>
                <w:rFonts w:cs="Times New Roman"/>
                <w:sz w:val="20"/>
                <w:szCs w:val="20"/>
              </w:rPr>
              <w:t>.</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Program Development Objective(s)</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EA7178" w:rsidP="00556F1B">
            <w:pPr>
              <w:jc w:val="both"/>
              <w:rPr>
                <w:rFonts w:cs="Times New Roman"/>
                <w:sz w:val="20"/>
                <w:szCs w:val="20"/>
              </w:rPr>
            </w:pPr>
            <w:r w:rsidRPr="00F7263B">
              <w:rPr>
                <w:rFonts w:cs="Times New Roman"/>
                <w:color w:val="000000"/>
                <w:sz w:val="20"/>
                <w:szCs w:val="20"/>
              </w:rPr>
              <w:t>To enhance the institutional performance of participating urban local governments in developing and sustaining urban infrastructure and services</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 xml:space="preserve">Compliance </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Policy</w:t>
            </w:r>
          </w:p>
        </w:tc>
      </w:tr>
      <w:tr w:rsidR="00535570" w:rsidRPr="00F7263B">
        <w:tblPrEx>
          <w:jc w:val="center"/>
        </w:tblPrEx>
        <w:trPr>
          <w:gridBefore w:val="1"/>
          <w:wBefore w:w="79" w:type="dxa"/>
          <w:trHeight w:val="145"/>
          <w:jc w:val="center"/>
        </w:trPr>
        <w:tc>
          <w:tcPr>
            <w:tcW w:w="7054" w:type="dxa"/>
            <w:gridSpan w:val="2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Does the program depart from the CAS in content or in other significant respects?</w:t>
            </w:r>
          </w:p>
        </w:tc>
        <w:tc>
          <w:tcPr>
            <w:tcW w:w="699"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No</w:t>
            </w:r>
          </w:p>
        </w:tc>
        <w:tc>
          <w:tcPr>
            <w:tcW w:w="70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w:t>
            </w:r>
            <w:r w:rsidR="00EA7178" w:rsidRPr="00F7263B">
              <w:rPr>
                <w:rFonts w:cs="Times New Roman"/>
                <w:sz w:val="20"/>
                <w:szCs w:val="20"/>
              </w:rPr>
              <w:t>X</w:t>
            </w:r>
            <w:r w:rsidRPr="00F7263B">
              <w:rPr>
                <w:rFonts w:cs="Times New Roman"/>
                <w:sz w:val="20"/>
                <w:szCs w:val="20"/>
              </w:rPr>
              <w:t>]</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35570" w:rsidRPr="00F7263B" w:rsidRDefault="00535570" w:rsidP="00556F1B">
            <w:pPr>
              <w:jc w:val="both"/>
              <w:rPr>
                <w:rFonts w:cs="Times New Roman"/>
                <w:sz w:val="20"/>
                <w:szCs w:val="20"/>
              </w:rPr>
            </w:pPr>
            <w:r w:rsidRPr="00F7263B">
              <w:rPr>
                <w:rFonts w:cs="Times New Roman"/>
                <w:sz w:val="20"/>
                <w:szCs w:val="20"/>
              </w:rPr>
              <w:t>.</w:t>
            </w:r>
          </w:p>
        </w:tc>
      </w:tr>
      <w:tr w:rsidR="00535570" w:rsidRPr="00F7263B">
        <w:tblPrEx>
          <w:jc w:val="center"/>
        </w:tblPrEx>
        <w:trPr>
          <w:gridBefore w:val="1"/>
          <w:wBefore w:w="79" w:type="dxa"/>
          <w:trHeight w:val="145"/>
          <w:jc w:val="center"/>
        </w:trPr>
        <w:tc>
          <w:tcPr>
            <w:tcW w:w="7054" w:type="dxa"/>
            <w:gridSpan w:val="2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Does the program require any waivers of Bank policies applicable to Program-for-Results operations?</w:t>
            </w:r>
          </w:p>
        </w:tc>
        <w:tc>
          <w:tcPr>
            <w:tcW w:w="699"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No</w:t>
            </w:r>
          </w:p>
        </w:tc>
        <w:tc>
          <w:tcPr>
            <w:tcW w:w="70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w:t>
            </w:r>
            <w:r w:rsidR="00377234" w:rsidRPr="00F7263B">
              <w:rPr>
                <w:rFonts w:cs="Times New Roman"/>
                <w:sz w:val="20"/>
                <w:szCs w:val="20"/>
              </w:rPr>
              <w:t>X</w:t>
            </w:r>
            <w:r w:rsidRPr="00F7263B">
              <w:rPr>
                <w:rFonts w:cs="Times New Roman"/>
                <w:sz w:val="20"/>
                <w:szCs w:val="20"/>
              </w:rPr>
              <w:t>]</w:t>
            </w:r>
          </w:p>
        </w:tc>
      </w:tr>
      <w:tr w:rsidR="00535570" w:rsidRPr="00F7263B">
        <w:tblPrEx>
          <w:jc w:val="center"/>
        </w:tblPrEx>
        <w:trPr>
          <w:gridBefore w:val="1"/>
          <w:wBefore w:w="79" w:type="dxa"/>
          <w:trHeight w:val="145"/>
          <w:jc w:val="center"/>
        </w:trPr>
        <w:tc>
          <w:tcPr>
            <w:tcW w:w="7054" w:type="dxa"/>
            <w:gridSpan w:val="2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Have these been approved by Bank management?</w:t>
            </w:r>
          </w:p>
        </w:tc>
        <w:tc>
          <w:tcPr>
            <w:tcW w:w="699"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No</w:t>
            </w:r>
          </w:p>
        </w:tc>
        <w:tc>
          <w:tcPr>
            <w:tcW w:w="70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   ]</w:t>
            </w:r>
          </w:p>
        </w:tc>
      </w:tr>
      <w:tr w:rsidR="00535570" w:rsidRPr="00F7263B">
        <w:tblPrEx>
          <w:jc w:val="center"/>
        </w:tblPrEx>
        <w:trPr>
          <w:gridBefore w:val="1"/>
          <w:wBefore w:w="79" w:type="dxa"/>
          <w:trHeight w:val="145"/>
          <w:jc w:val="center"/>
        </w:trPr>
        <w:tc>
          <w:tcPr>
            <w:tcW w:w="7054" w:type="dxa"/>
            <w:gridSpan w:val="2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Is approval for any policy waiver sought from the Board?</w:t>
            </w:r>
          </w:p>
        </w:tc>
        <w:tc>
          <w:tcPr>
            <w:tcW w:w="699"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   ]</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No</w:t>
            </w:r>
          </w:p>
        </w:tc>
        <w:tc>
          <w:tcPr>
            <w:tcW w:w="70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w:t>
            </w:r>
            <w:r w:rsidR="00377234" w:rsidRPr="00F7263B">
              <w:rPr>
                <w:rFonts w:cs="Times New Roman"/>
                <w:sz w:val="20"/>
                <w:szCs w:val="20"/>
              </w:rPr>
              <w:t>X</w:t>
            </w:r>
            <w:r w:rsidRPr="00F7263B">
              <w:rPr>
                <w:rFonts w:cs="Times New Roman"/>
                <w:sz w:val="20"/>
                <w:szCs w:val="20"/>
              </w:rPr>
              <w:t>]</w:t>
            </w:r>
          </w:p>
        </w:tc>
      </w:tr>
      <w:tr w:rsidR="00535570" w:rsidRPr="00F7263B">
        <w:tblPrEx>
          <w:jc w:val="center"/>
        </w:tblPrEx>
        <w:trPr>
          <w:gridBefore w:val="1"/>
          <w:wBefore w:w="79" w:type="dxa"/>
          <w:trHeight w:val="145"/>
          <w:jc w:val="center"/>
        </w:trPr>
        <w:tc>
          <w:tcPr>
            <w:tcW w:w="7054" w:type="dxa"/>
            <w:gridSpan w:val="2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Does the program meet the Regional criteria for readiness for implementation?</w:t>
            </w:r>
          </w:p>
        </w:tc>
        <w:tc>
          <w:tcPr>
            <w:tcW w:w="699" w:type="dxa"/>
            <w:gridSpan w:val="4"/>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Yes</w:t>
            </w:r>
          </w:p>
        </w:tc>
        <w:tc>
          <w:tcPr>
            <w:tcW w:w="567"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w:t>
            </w:r>
            <w:r w:rsidR="00377234" w:rsidRPr="00F7263B">
              <w:rPr>
                <w:rFonts w:cs="Times New Roman"/>
                <w:sz w:val="20"/>
                <w:szCs w:val="20"/>
              </w:rPr>
              <w:t>X</w:t>
            </w:r>
            <w:r w:rsidRPr="00F7263B">
              <w:rPr>
                <w:rFonts w:cs="Times New Roman"/>
                <w:sz w:val="20"/>
                <w:szCs w:val="20"/>
              </w:rPr>
              <w:t>]</w:t>
            </w:r>
          </w:p>
        </w:tc>
        <w:tc>
          <w:tcPr>
            <w:tcW w:w="568" w:type="dxa"/>
            <w:gridSpan w:val="2"/>
            <w:tcBorders>
              <w:top w:val="single" w:sz="4" w:space="0" w:color="000000"/>
              <w:left w:val="nil"/>
              <w:bottom w:val="single" w:sz="4" w:space="0" w:color="000000"/>
              <w:right w:val="nil"/>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No</w:t>
            </w:r>
          </w:p>
        </w:tc>
        <w:tc>
          <w:tcPr>
            <w:tcW w:w="705" w:type="dxa"/>
            <w:gridSpan w:val="2"/>
            <w:tcBorders>
              <w:top w:val="single" w:sz="4" w:space="0" w:color="000000"/>
              <w:left w:val="nil"/>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sz w:val="20"/>
                <w:szCs w:val="20"/>
              </w:rPr>
              <w:t>[   ]</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b/>
                <w:bCs/>
                <w:sz w:val="20"/>
                <w:szCs w:val="20"/>
              </w:rPr>
            </w:pPr>
            <w:r w:rsidRPr="00F7263B">
              <w:rPr>
                <w:rFonts w:cs="Times New Roman"/>
                <w:b/>
                <w:bCs/>
                <w:sz w:val="20"/>
                <w:szCs w:val="20"/>
              </w:rPr>
              <w:t>Overall Risk Rating:</w:t>
            </w:r>
            <w:r w:rsidR="00377234" w:rsidRPr="00F7263B">
              <w:rPr>
                <w:rFonts w:cs="Times New Roman"/>
                <w:bCs/>
                <w:sz w:val="20"/>
                <w:szCs w:val="20"/>
              </w:rPr>
              <w:t>Substantial</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1C07A4">
            <w:pPr>
              <w:jc w:val="both"/>
              <w:rPr>
                <w:rFonts w:cs="Times New Roman"/>
                <w:sz w:val="20"/>
                <w:szCs w:val="20"/>
              </w:rPr>
            </w:pPr>
            <w:r w:rsidRPr="00F7263B">
              <w:rPr>
                <w:rFonts w:cs="Times New Roman"/>
                <w:b/>
                <w:bCs/>
                <w:sz w:val="20"/>
                <w:szCs w:val="20"/>
              </w:rPr>
              <w:t>Legal Covenants</w:t>
            </w:r>
          </w:p>
        </w:tc>
      </w:tr>
      <w:tr w:rsidR="00535570" w:rsidRPr="00F7263B">
        <w:tblPrEx>
          <w:jc w:val="center"/>
        </w:tblPrEx>
        <w:trPr>
          <w:gridBefore w:val="1"/>
          <w:wBefore w:w="79" w:type="dxa"/>
          <w:trHeight w:val="145"/>
          <w:jc w:val="center"/>
        </w:trPr>
        <w:tc>
          <w:tcPr>
            <w:tcW w:w="3780"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Name</w:t>
            </w:r>
          </w:p>
        </w:tc>
        <w:tc>
          <w:tcPr>
            <w:tcW w:w="189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Recurrent</w:t>
            </w:r>
          </w:p>
        </w:tc>
        <w:tc>
          <w:tcPr>
            <w:tcW w:w="189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Due Date</w:t>
            </w:r>
          </w:p>
        </w:tc>
        <w:tc>
          <w:tcPr>
            <w:tcW w:w="202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Frequency</w:t>
            </w:r>
          </w:p>
        </w:tc>
      </w:tr>
      <w:tr w:rsidR="00535570" w:rsidRPr="00F7263B">
        <w:tblPrEx>
          <w:jc w:val="center"/>
        </w:tblPrEx>
        <w:trPr>
          <w:gridBefore w:val="1"/>
          <w:wBefore w:w="79" w:type="dxa"/>
          <w:trHeight w:val="145"/>
          <w:jc w:val="center"/>
        </w:trPr>
        <w:tc>
          <w:tcPr>
            <w:tcW w:w="3780" w:type="dxa"/>
            <w:gridSpan w:val="16"/>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p>
        </w:tc>
        <w:tc>
          <w:tcPr>
            <w:tcW w:w="189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p>
        </w:tc>
        <w:tc>
          <w:tcPr>
            <w:tcW w:w="1892"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p>
        </w:tc>
        <w:tc>
          <w:tcPr>
            <w:tcW w:w="2029" w:type="dxa"/>
            <w:gridSpan w:val="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p>
        </w:tc>
      </w:tr>
      <w:tr w:rsidR="00535570" w:rsidRPr="00F7263B">
        <w:tblPrEx>
          <w:jc w:val="center"/>
        </w:tblPrEx>
        <w:trPr>
          <w:gridBefore w:val="1"/>
          <w:wBefore w:w="79" w:type="dxa"/>
          <w:trHeight w:val="145"/>
          <w:jc w:val="center"/>
        </w:trPr>
        <w:tc>
          <w:tcPr>
            <w:tcW w:w="9593"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35570" w:rsidRPr="00F7263B" w:rsidRDefault="00535570" w:rsidP="00556F1B">
            <w:pPr>
              <w:jc w:val="both"/>
              <w:rPr>
                <w:rFonts w:cs="Times New Roman"/>
                <w:sz w:val="20"/>
                <w:szCs w:val="20"/>
              </w:rPr>
            </w:pPr>
            <w:r w:rsidRPr="00F7263B">
              <w:rPr>
                <w:rFonts w:cs="Times New Roman"/>
                <w:b/>
                <w:bCs/>
                <w:sz w:val="20"/>
                <w:szCs w:val="20"/>
              </w:rPr>
              <w:t>Description of Covenant</w:t>
            </w:r>
          </w:p>
        </w:tc>
      </w:tr>
      <w:tr w:rsidR="00535570" w:rsidRPr="00F7263B">
        <w:tblPrEx>
          <w:jc w:val="center"/>
        </w:tblPrEx>
        <w:trPr>
          <w:gridBefore w:val="1"/>
          <w:wBefore w:w="79" w:type="dxa"/>
          <w:trHeight w:val="145"/>
          <w:jc w:val="center"/>
        </w:trPr>
        <w:tc>
          <w:tcPr>
            <w:tcW w:w="9593" w:type="dxa"/>
            <w:gridSpan w:val="37"/>
            <w:tcBorders>
              <w:top w:val="nil"/>
              <w:left w:val="single" w:sz="4" w:space="0" w:color="000000"/>
              <w:bottom w:val="nil"/>
              <w:right w:val="single" w:sz="4" w:space="0" w:color="000000"/>
            </w:tcBorders>
            <w:shd w:val="clear" w:color="auto" w:fill="FFFFFF"/>
            <w:tcMar>
              <w:top w:w="50" w:type="dxa"/>
              <w:left w:w="50" w:type="dxa"/>
              <w:bottom w:w="50" w:type="dxa"/>
              <w:right w:w="50" w:type="dxa"/>
            </w:tcMar>
            <w:vAlign w:val="center"/>
          </w:tcPr>
          <w:p w:rsidR="00535570" w:rsidRPr="00F7263B" w:rsidRDefault="00535570" w:rsidP="00556F1B">
            <w:pPr>
              <w:jc w:val="both"/>
              <w:rPr>
                <w:rFonts w:cs="Times New Roman"/>
                <w:sz w:val="20"/>
                <w:szCs w:val="20"/>
              </w:rPr>
            </w:pP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000000"/>
            <w:tcMar>
              <w:top w:w="50" w:type="dxa"/>
              <w:left w:w="50" w:type="dxa"/>
              <w:bottom w:w="50" w:type="dxa"/>
              <w:right w:w="50" w:type="dxa"/>
            </w:tcMar>
            <w:vAlign w:val="center"/>
          </w:tcPr>
          <w:p w:rsidR="00535570" w:rsidRPr="00F7263B" w:rsidRDefault="00535570" w:rsidP="00556F1B">
            <w:pPr>
              <w:jc w:val="both"/>
              <w:rPr>
                <w:rFonts w:cs="Times New Roman"/>
                <w:sz w:val="20"/>
                <w:szCs w:val="20"/>
              </w:rPr>
            </w:pPr>
            <w:r w:rsidRPr="00F7263B">
              <w:rPr>
                <w:rFonts w:cs="Times New Roman"/>
                <w:sz w:val="20"/>
                <w:szCs w:val="20"/>
              </w:rPr>
              <w:t>.</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Team Composition</w:t>
            </w:r>
          </w:p>
        </w:tc>
      </w:tr>
      <w:tr w:rsidR="00535570"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DCDCDC"/>
            <w:tcMar>
              <w:top w:w="50" w:type="dxa"/>
              <w:left w:w="50" w:type="dxa"/>
              <w:bottom w:w="50" w:type="dxa"/>
              <w:right w:w="50" w:type="dxa"/>
            </w:tcMar>
          </w:tcPr>
          <w:p w:rsidR="00535570" w:rsidRPr="00F7263B" w:rsidRDefault="00535570" w:rsidP="00556F1B">
            <w:pPr>
              <w:jc w:val="both"/>
              <w:rPr>
                <w:rFonts w:cs="Times New Roman"/>
                <w:b/>
                <w:bCs/>
                <w:sz w:val="20"/>
                <w:szCs w:val="20"/>
              </w:rPr>
            </w:pPr>
            <w:r w:rsidRPr="00F7263B">
              <w:rPr>
                <w:rFonts w:cs="Times New Roman"/>
                <w:b/>
                <w:bCs/>
                <w:sz w:val="20"/>
                <w:szCs w:val="20"/>
              </w:rPr>
              <w:t>Bank Staff</w:t>
            </w:r>
          </w:p>
        </w:tc>
      </w:tr>
      <w:tr w:rsidR="00535570"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Name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Title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Specialization</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Unit</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535570" w:rsidRPr="00F7263B" w:rsidRDefault="00535570" w:rsidP="00556F1B">
            <w:pPr>
              <w:jc w:val="both"/>
              <w:rPr>
                <w:rFonts w:cs="Times New Roman"/>
                <w:sz w:val="20"/>
                <w:szCs w:val="20"/>
              </w:rPr>
            </w:pPr>
            <w:r w:rsidRPr="00F7263B">
              <w:rPr>
                <w:rFonts w:cs="Times New Roman"/>
                <w:b/>
                <w:bCs/>
                <w:sz w:val="20"/>
                <w:szCs w:val="20"/>
              </w:rPr>
              <w:t>UPI</w:t>
            </w:r>
          </w:p>
        </w:tc>
      </w:tr>
      <w:tr w:rsidR="0049182D"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r w:rsidRPr="00F7263B">
              <w:rPr>
                <w:rFonts w:cs="Times New Roman"/>
                <w:sz w:val="20"/>
                <w:szCs w:val="20"/>
              </w:rPr>
              <w:t>AbebawAlemaye</w:t>
            </w:r>
            <w:r w:rsidR="001C07A4" w:rsidRPr="00F7263B">
              <w:rPr>
                <w:rFonts w:cs="Times New Roman"/>
                <w:sz w:val="20"/>
                <w:szCs w:val="20"/>
              </w:rPr>
              <w:t>h</w:t>
            </w:r>
            <w:r w:rsidRPr="00F7263B">
              <w:rPr>
                <w:rFonts w:cs="Times New Roman"/>
                <w:sz w:val="20"/>
                <w:szCs w:val="20"/>
              </w:rPr>
              <w:t>u</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E04687">
            <w:pPr>
              <w:rPr>
                <w:rFonts w:cs="Times New Roman"/>
                <w:sz w:val="20"/>
                <w:szCs w:val="20"/>
              </w:rPr>
            </w:pPr>
            <w:r w:rsidRPr="00F7263B">
              <w:rPr>
                <w:rFonts w:cs="Times New Roman"/>
                <w:sz w:val="20"/>
                <w:szCs w:val="20"/>
              </w:rPr>
              <w:t>Senior Urban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E04687">
            <w:pPr>
              <w:rPr>
                <w:rFonts w:cs="Times New Roman"/>
                <w:sz w:val="20"/>
                <w:szCs w:val="20"/>
              </w:rPr>
            </w:pPr>
            <w:r w:rsidRPr="00F7263B">
              <w:rPr>
                <w:rFonts w:cs="Times New Roman"/>
                <w:sz w:val="20"/>
                <w:szCs w:val="20"/>
              </w:rPr>
              <w:t>Urban</w:t>
            </w:r>
            <w:r w:rsidR="00627FB9" w:rsidRPr="00F7263B">
              <w:rPr>
                <w:rFonts w:cs="Times New Roman"/>
                <w:sz w:val="20"/>
                <w:szCs w:val="20"/>
              </w:rPr>
              <w:t xml:space="preserve"> and Local government</w:t>
            </w:r>
            <w:r w:rsidR="001A09A3" w:rsidRPr="00F7263B">
              <w:rPr>
                <w:rFonts w:cs="Times New Roman"/>
                <w:sz w:val="20"/>
                <w:szCs w:val="20"/>
              </w:rPr>
              <w:t>d</w:t>
            </w:r>
            <w:r w:rsidRPr="00F7263B">
              <w:rPr>
                <w:rFonts w:cs="Times New Roman"/>
                <w:sz w:val="20"/>
                <w:szCs w:val="20"/>
              </w:rPr>
              <w:t>evelopment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8B6D1C" w:rsidP="00556F1B">
            <w:pPr>
              <w:jc w:val="both"/>
              <w:rPr>
                <w:rFonts w:cs="Times New Roman"/>
                <w:sz w:val="20"/>
                <w:szCs w:val="20"/>
              </w:rPr>
            </w:pPr>
            <w:r w:rsidRPr="00F7263B">
              <w:rPr>
                <w:rFonts w:cs="Times New Roman"/>
                <w:sz w:val="20"/>
                <w:szCs w:val="20"/>
              </w:rPr>
              <w:t>165448</w:t>
            </w:r>
          </w:p>
        </w:tc>
      </w:tr>
      <w:tr w:rsidR="0049182D"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r w:rsidRPr="00F7263B">
              <w:rPr>
                <w:rFonts w:cs="Times New Roman"/>
                <w:sz w:val="20"/>
                <w:szCs w:val="20"/>
              </w:rPr>
              <w:t>OnurOzlu</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E04687">
            <w:pPr>
              <w:rPr>
                <w:rFonts w:cs="Times New Roman"/>
                <w:sz w:val="20"/>
                <w:szCs w:val="20"/>
              </w:rPr>
            </w:pPr>
            <w:r w:rsidRPr="00F7263B">
              <w:rPr>
                <w:rFonts w:cs="Times New Roman"/>
                <w:sz w:val="20"/>
                <w:szCs w:val="20"/>
              </w:rPr>
              <w:t>Senior Economist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A82E25" w:rsidP="00E04687">
            <w:pPr>
              <w:rPr>
                <w:rFonts w:cs="Times New Roman"/>
                <w:sz w:val="20"/>
                <w:szCs w:val="20"/>
              </w:rPr>
            </w:pPr>
            <w:r w:rsidRPr="00F7263B">
              <w:rPr>
                <w:rFonts w:cs="Times New Roman"/>
                <w:sz w:val="20"/>
                <w:szCs w:val="20"/>
              </w:rPr>
              <w:t>Urban e</w:t>
            </w:r>
            <w:r w:rsidR="0049182D" w:rsidRPr="00F7263B">
              <w:rPr>
                <w:rFonts w:cs="Times New Roman"/>
                <w:sz w:val="20"/>
                <w:szCs w:val="20"/>
              </w:rPr>
              <w:t>conomics</w:t>
            </w:r>
            <w:r w:rsidRPr="00F7263B">
              <w:rPr>
                <w:rFonts w:cs="Times New Roman"/>
                <w:sz w:val="20"/>
                <w:szCs w:val="20"/>
              </w:rPr>
              <w:t>, fiscal decentralization</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p>
        </w:tc>
      </w:tr>
      <w:tr w:rsidR="00C112D4"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sz w:val="20"/>
                <w:szCs w:val="20"/>
              </w:rPr>
            </w:pPr>
            <w:r w:rsidRPr="00F7263B">
              <w:rPr>
                <w:rFonts w:cs="Times New Roman"/>
                <w:sz w:val="20"/>
                <w:szCs w:val="20"/>
              </w:rPr>
              <w:t>Mei Wang</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E04687">
            <w:pPr>
              <w:rPr>
                <w:rFonts w:cs="Times New Roman"/>
                <w:sz w:val="20"/>
                <w:szCs w:val="20"/>
              </w:rPr>
            </w:pPr>
            <w:r w:rsidRPr="00F7263B">
              <w:rPr>
                <w:rFonts w:cs="Times New Roman"/>
                <w:sz w:val="20"/>
                <w:szCs w:val="20"/>
              </w:rPr>
              <w:t>Senior Counsel</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E04687">
            <w:pPr>
              <w:rPr>
                <w:rFonts w:cs="Times New Roman"/>
                <w:sz w:val="20"/>
                <w:szCs w:val="20"/>
              </w:rPr>
            </w:pPr>
            <w:r w:rsidRPr="00F7263B">
              <w:rPr>
                <w:rFonts w:cs="Times New Roman"/>
                <w:sz w:val="20"/>
                <w:szCs w:val="20"/>
              </w:rPr>
              <w:t>Law and Justice</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sz w:val="20"/>
                <w:szCs w:val="20"/>
              </w:rPr>
            </w:pPr>
            <w:r w:rsidRPr="00F7263B">
              <w:rPr>
                <w:rFonts w:cs="Times New Roman"/>
                <w:sz w:val="20"/>
                <w:szCs w:val="20"/>
              </w:rPr>
              <w:t>LEGAM</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sz w:val="20"/>
                <w:szCs w:val="20"/>
              </w:rPr>
            </w:pPr>
          </w:p>
        </w:tc>
      </w:tr>
      <w:tr w:rsidR="006F272F"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F272F" w:rsidRPr="00F7263B" w:rsidRDefault="006F272F" w:rsidP="00556F1B">
            <w:pPr>
              <w:jc w:val="both"/>
              <w:rPr>
                <w:rFonts w:cs="Times New Roman"/>
                <w:sz w:val="20"/>
                <w:szCs w:val="20"/>
              </w:rPr>
            </w:pPr>
            <w:r w:rsidRPr="00F7263B">
              <w:rPr>
                <w:rFonts w:cs="Times New Roman"/>
                <w:sz w:val="20"/>
                <w:szCs w:val="20"/>
              </w:rPr>
              <w:t>Chyi-Yun Huang</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F272F" w:rsidRPr="00F7263B" w:rsidRDefault="006F272F" w:rsidP="00E04687">
            <w:pPr>
              <w:rPr>
                <w:rFonts w:cs="Times New Roman"/>
                <w:sz w:val="20"/>
                <w:szCs w:val="20"/>
              </w:rPr>
            </w:pPr>
            <w:r w:rsidRPr="00F7263B">
              <w:rPr>
                <w:rFonts w:cs="Times New Roman"/>
                <w:sz w:val="20"/>
                <w:szCs w:val="20"/>
              </w:rPr>
              <w:t>Urban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F272F" w:rsidRPr="00F7263B" w:rsidRDefault="006F272F" w:rsidP="00E04687">
            <w:pPr>
              <w:rPr>
                <w:rFonts w:cs="Times New Roman"/>
                <w:sz w:val="20"/>
                <w:szCs w:val="20"/>
              </w:rPr>
            </w:pPr>
            <w:r w:rsidRPr="00F7263B">
              <w:rPr>
                <w:rFonts w:cs="Times New Roman"/>
                <w:sz w:val="20"/>
                <w:szCs w:val="20"/>
              </w:rPr>
              <w:t>Urban Planning</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F272F" w:rsidRPr="00F7263B" w:rsidRDefault="001C07A4"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6F272F" w:rsidRPr="00F7263B" w:rsidRDefault="006F272F" w:rsidP="00556F1B">
            <w:pPr>
              <w:jc w:val="both"/>
              <w:rPr>
                <w:rFonts w:cs="Times New Roman"/>
                <w:sz w:val="20"/>
                <w:szCs w:val="20"/>
              </w:rPr>
            </w:pPr>
          </w:p>
        </w:tc>
      </w:tr>
      <w:tr w:rsidR="0049182D"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r w:rsidRPr="00F7263B">
              <w:rPr>
                <w:rFonts w:cs="Times New Roman"/>
                <w:sz w:val="20"/>
                <w:szCs w:val="20"/>
              </w:rPr>
              <w:t>Wendy Ayres</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E04687">
            <w:pPr>
              <w:rPr>
                <w:rFonts w:cs="Times New Roman"/>
                <w:sz w:val="20"/>
                <w:szCs w:val="20"/>
              </w:rPr>
            </w:pPr>
            <w:r w:rsidRPr="00F7263B">
              <w:rPr>
                <w:rFonts w:cs="Times New Roman"/>
                <w:sz w:val="20"/>
                <w:szCs w:val="20"/>
              </w:rPr>
              <w:t>Consultant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E04687">
            <w:pPr>
              <w:rPr>
                <w:rFonts w:cs="Times New Roman"/>
                <w:sz w:val="20"/>
                <w:szCs w:val="20"/>
              </w:rPr>
            </w:pPr>
            <w:r w:rsidRPr="00F7263B">
              <w:rPr>
                <w:rFonts w:cs="Times New Roman"/>
                <w:sz w:val="20"/>
                <w:szCs w:val="20"/>
              </w:rPr>
              <w:t>Economist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9182D" w:rsidRPr="00F7263B" w:rsidRDefault="0049182D" w:rsidP="00556F1B">
            <w:pPr>
              <w:jc w:val="both"/>
              <w:rPr>
                <w:rFonts w:cs="Times New Roman"/>
                <w:sz w:val="20"/>
                <w:szCs w:val="20"/>
              </w:rPr>
            </w:pPr>
            <w:r w:rsidRPr="00F7263B">
              <w:rPr>
                <w:rFonts w:cs="Times New Roman"/>
                <w:sz w:val="20"/>
                <w:szCs w:val="20"/>
              </w:rPr>
              <w:t>21392</w:t>
            </w:r>
          </w:p>
        </w:tc>
      </w:tr>
      <w:tr w:rsidR="002F4A5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lastRenderedPageBreak/>
              <w:t>YohannesFisseha</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ET Consultant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Urban Engineering</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p>
        </w:tc>
      </w:tr>
      <w:tr w:rsidR="002F4A5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Dinkneh</w:t>
            </w:r>
            <w:r w:rsidRPr="00F7263B">
              <w:rPr>
                <w:rFonts w:cs="Times New Roman"/>
                <w:color w:val="000000"/>
                <w:sz w:val="20"/>
                <w:szCs w:val="20"/>
              </w:rPr>
              <w:t>Tefera</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E T Consultant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Urban specialist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p>
        </w:tc>
      </w:tr>
      <w:tr w:rsidR="002F4A5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BerhanuLegesse</w:t>
            </w:r>
            <w:r w:rsidR="007F7867" w:rsidRPr="00F7263B">
              <w:rPr>
                <w:rFonts w:cs="Times New Roman"/>
                <w:sz w:val="20"/>
                <w:szCs w:val="20"/>
              </w:rPr>
              <w:t>Ayane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Senior Public Sector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Public Sector Specialist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AFTP2</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p>
        </w:tc>
      </w:tr>
      <w:tr w:rsidR="002F4A5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Sanjay</w:t>
            </w:r>
            <w:r w:rsidR="00845318" w:rsidRPr="00F7263B">
              <w:rPr>
                <w:rFonts w:cs="Times New Roman"/>
                <w:sz w:val="20"/>
                <w:szCs w:val="20"/>
              </w:rPr>
              <w:t xml:space="preserve"> Srivastava</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845318" w:rsidP="00E04687">
            <w:pPr>
              <w:rPr>
                <w:rFonts w:cs="Times New Roman"/>
                <w:sz w:val="20"/>
                <w:szCs w:val="20"/>
              </w:rPr>
            </w:pPr>
            <w:r w:rsidRPr="00F7263B">
              <w:rPr>
                <w:rFonts w:cs="Times New Roman"/>
                <w:sz w:val="20"/>
                <w:szCs w:val="20"/>
              </w:rPr>
              <w:t>Lead Environmental Safeguards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845318" w:rsidP="00E04687">
            <w:pPr>
              <w:rPr>
                <w:rFonts w:cs="Times New Roman"/>
                <w:sz w:val="20"/>
                <w:szCs w:val="20"/>
              </w:rPr>
            </w:pPr>
            <w:r w:rsidRPr="00F7263B">
              <w:rPr>
                <w:rFonts w:cs="Times New Roman"/>
                <w:sz w:val="20"/>
                <w:szCs w:val="20"/>
              </w:rPr>
              <w:t>Environmental Safeguards</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845318" w:rsidP="00556F1B">
            <w:pPr>
              <w:jc w:val="both"/>
              <w:rPr>
                <w:rFonts w:cs="Times New Roman"/>
                <w:sz w:val="20"/>
                <w:szCs w:val="20"/>
              </w:rPr>
            </w:pPr>
            <w:r w:rsidRPr="00F7263B">
              <w:rPr>
                <w:rFonts w:cs="Times New Roman"/>
                <w:sz w:val="20"/>
                <w:szCs w:val="20"/>
              </w:rPr>
              <w:t>AFTN3</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p>
        </w:tc>
      </w:tr>
      <w:tr w:rsidR="00845318"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5318" w:rsidRPr="00F7263B" w:rsidRDefault="00845318" w:rsidP="00556F1B">
            <w:pPr>
              <w:jc w:val="both"/>
              <w:rPr>
                <w:rFonts w:cs="Times New Roman"/>
                <w:sz w:val="20"/>
                <w:szCs w:val="20"/>
                <w:highlight w:val="yellow"/>
              </w:rPr>
            </w:pPr>
            <w:r w:rsidRPr="00F7263B">
              <w:rPr>
                <w:rFonts w:cs="Times New Roman"/>
                <w:sz w:val="20"/>
                <w:szCs w:val="20"/>
              </w:rPr>
              <w:t>ChukwudiOkafor</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5318" w:rsidRPr="00F7263B" w:rsidRDefault="00845318" w:rsidP="00E04687">
            <w:pPr>
              <w:rPr>
                <w:rFonts w:cs="Times New Roman"/>
                <w:sz w:val="20"/>
                <w:szCs w:val="20"/>
              </w:rPr>
            </w:pPr>
            <w:r w:rsidRPr="00F7263B">
              <w:rPr>
                <w:rFonts w:cs="Times New Roman"/>
                <w:sz w:val="20"/>
                <w:szCs w:val="20"/>
              </w:rPr>
              <w:t>Senior Social Development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5318" w:rsidRPr="00F7263B" w:rsidRDefault="00845318" w:rsidP="00E04687">
            <w:pPr>
              <w:rPr>
                <w:rFonts w:cs="Times New Roman"/>
                <w:sz w:val="20"/>
                <w:szCs w:val="20"/>
              </w:rPr>
            </w:pPr>
            <w:r w:rsidRPr="00F7263B">
              <w:rPr>
                <w:rFonts w:cs="Times New Roman"/>
                <w:sz w:val="20"/>
                <w:szCs w:val="20"/>
              </w:rPr>
              <w:t>Social Safeguards</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5318" w:rsidRPr="00F7263B" w:rsidRDefault="00845318" w:rsidP="00556F1B">
            <w:pPr>
              <w:jc w:val="both"/>
              <w:rPr>
                <w:rFonts w:cs="Times New Roman"/>
                <w:sz w:val="20"/>
                <w:szCs w:val="20"/>
              </w:rPr>
            </w:pPr>
            <w:r w:rsidRPr="00F7263B">
              <w:rPr>
                <w:rFonts w:cs="Times New Roman"/>
                <w:sz w:val="20"/>
                <w:szCs w:val="20"/>
              </w:rPr>
              <w:t>AFTCS</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845318" w:rsidRPr="00F7263B" w:rsidRDefault="00845318" w:rsidP="00556F1B">
            <w:pPr>
              <w:jc w:val="both"/>
              <w:rPr>
                <w:rFonts w:cs="Times New Roman"/>
                <w:sz w:val="20"/>
                <w:szCs w:val="20"/>
              </w:rPr>
            </w:pPr>
          </w:p>
        </w:tc>
      </w:tr>
      <w:tr w:rsidR="002F4A5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Roland White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color w:val="000000"/>
                <w:sz w:val="20"/>
                <w:szCs w:val="20"/>
              </w:rPr>
              <w:t>Lead Urban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Urban development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p>
        </w:tc>
      </w:tr>
      <w:tr w:rsidR="002F4A5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color w:val="000000"/>
                <w:sz w:val="20"/>
                <w:szCs w:val="20"/>
              </w:rPr>
              <w:t>Asferachew Abate</w:t>
            </w:r>
            <w:r w:rsidR="0022204B" w:rsidRPr="00F7263B">
              <w:rPr>
                <w:rFonts w:cs="Times New Roman"/>
                <w:color w:val="000000"/>
                <w:sz w:val="20"/>
                <w:szCs w:val="20"/>
              </w:rPr>
              <w:t>Abebe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color w:val="000000"/>
                <w:sz w:val="20"/>
                <w:szCs w:val="20"/>
              </w:rPr>
              <w:t>Environmental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E04687">
            <w:pPr>
              <w:rPr>
                <w:rFonts w:cs="Times New Roman"/>
                <w:sz w:val="20"/>
                <w:szCs w:val="20"/>
              </w:rPr>
            </w:pPr>
            <w:r w:rsidRPr="00F7263B">
              <w:rPr>
                <w:rFonts w:cs="Times New Roman"/>
                <w:sz w:val="20"/>
                <w:szCs w:val="20"/>
              </w:rPr>
              <w:t>Environmental safeguards</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r w:rsidRPr="00F7263B">
              <w:rPr>
                <w:rFonts w:cs="Times New Roman"/>
                <w:sz w:val="20"/>
                <w:szCs w:val="20"/>
              </w:rPr>
              <w:t>AFTN1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2F4A55" w:rsidRPr="00F7263B" w:rsidRDefault="002F4A55" w:rsidP="00556F1B">
            <w:pPr>
              <w:jc w:val="both"/>
              <w:rPr>
                <w:rFonts w:cs="Times New Roman"/>
                <w:sz w:val="20"/>
                <w:szCs w:val="20"/>
              </w:rPr>
            </w:pPr>
          </w:p>
        </w:tc>
      </w:tr>
      <w:tr w:rsidR="00F51DDB"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51DDB" w:rsidRPr="00F7263B" w:rsidRDefault="00F51DDB" w:rsidP="00556F1B">
            <w:pPr>
              <w:jc w:val="both"/>
              <w:rPr>
                <w:rFonts w:cs="Times New Roman"/>
                <w:sz w:val="20"/>
                <w:szCs w:val="20"/>
              </w:rPr>
            </w:pPr>
            <w:r w:rsidRPr="00F7263B">
              <w:rPr>
                <w:rFonts w:cs="Times New Roman"/>
                <w:sz w:val="20"/>
                <w:szCs w:val="20"/>
              </w:rPr>
              <w:t>Tesfaye</w:t>
            </w:r>
            <w:r w:rsidR="00F66EE2" w:rsidRPr="00F7263B">
              <w:rPr>
                <w:rFonts w:cs="Times New Roman"/>
                <w:sz w:val="20"/>
                <w:szCs w:val="20"/>
              </w:rPr>
              <w:t>Ayele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51DDB" w:rsidRPr="00F7263B" w:rsidRDefault="00F66EE2" w:rsidP="00E04687">
            <w:pPr>
              <w:rPr>
                <w:rFonts w:cs="Times New Roman"/>
                <w:sz w:val="20"/>
                <w:szCs w:val="20"/>
              </w:rPr>
            </w:pPr>
            <w:r w:rsidRPr="00F7263B">
              <w:rPr>
                <w:rFonts w:cs="Times New Roman"/>
                <w:color w:val="000000"/>
                <w:sz w:val="20"/>
                <w:szCs w:val="20"/>
              </w:rPr>
              <w:t xml:space="preserve">Senior </w:t>
            </w:r>
            <w:r w:rsidR="00F51DDB" w:rsidRPr="00F7263B">
              <w:rPr>
                <w:rFonts w:cs="Times New Roman"/>
                <w:color w:val="000000"/>
                <w:sz w:val="20"/>
                <w:szCs w:val="20"/>
              </w:rPr>
              <w:t>Procurement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51DDB" w:rsidRPr="00F7263B" w:rsidRDefault="00F51DDB" w:rsidP="00E04687">
            <w:pPr>
              <w:rPr>
                <w:rFonts w:cs="Times New Roman"/>
                <w:sz w:val="20"/>
                <w:szCs w:val="20"/>
              </w:rPr>
            </w:pPr>
            <w:r w:rsidRPr="00F7263B">
              <w:rPr>
                <w:rFonts w:cs="Times New Roman"/>
                <w:sz w:val="20"/>
                <w:szCs w:val="20"/>
              </w:rPr>
              <w:t>Procurement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51DDB" w:rsidRPr="00F7263B" w:rsidRDefault="00F51DDB" w:rsidP="00556F1B">
            <w:pPr>
              <w:jc w:val="both"/>
              <w:rPr>
                <w:rFonts w:cs="Times New Roman"/>
                <w:sz w:val="20"/>
                <w:szCs w:val="20"/>
              </w:rPr>
            </w:pPr>
            <w:r w:rsidRPr="00F7263B">
              <w:rPr>
                <w:rFonts w:cs="Times New Roman"/>
                <w:sz w:val="20"/>
                <w:szCs w:val="20"/>
              </w:rPr>
              <w:t>AFTPE</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F51DDB" w:rsidRPr="00F7263B" w:rsidRDefault="00F51DDB" w:rsidP="00556F1B">
            <w:pPr>
              <w:jc w:val="both"/>
              <w:rPr>
                <w:rFonts w:cs="Times New Roman"/>
                <w:sz w:val="20"/>
                <w:szCs w:val="20"/>
              </w:rPr>
            </w:pPr>
          </w:p>
        </w:tc>
      </w:tr>
      <w:tr w:rsidR="00A3743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556F1B">
            <w:pPr>
              <w:jc w:val="both"/>
              <w:rPr>
                <w:rFonts w:cs="Times New Roman"/>
                <w:sz w:val="20"/>
                <w:szCs w:val="20"/>
              </w:rPr>
            </w:pPr>
            <w:r w:rsidRPr="00F7263B">
              <w:rPr>
                <w:rFonts w:cs="Times New Roman"/>
                <w:sz w:val="20"/>
                <w:szCs w:val="20"/>
              </w:rPr>
              <w:t>Chenjerani Simon B. Chirwa</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E04687">
            <w:pPr>
              <w:rPr>
                <w:rFonts w:cs="Times New Roman"/>
                <w:color w:val="000000"/>
                <w:sz w:val="20"/>
                <w:szCs w:val="20"/>
              </w:rPr>
            </w:pPr>
            <w:r w:rsidRPr="00F7263B">
              <w:rPr>
                <w:rFonts w:cs="Times New Roman"/>
                <w:color w:val="000000"/>
                <w:sz w:val="20"/>
                <w:szCs w:val="20"/>
              </w:rPr>
              <w:t>Senior Procurement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E04687">
            <w:pPr>
              <w:rPr>
                <w:rFonts w:cs="Times New Roman"/>
                <w:sz w:val="20"/>
                <w:szCs w:val="20"/>
              </w:rPr>
            </w:pPr>
            <w:r w:rsidRPr="00F7263B">
              <w:rPr>
                <w:rFonts w:cs="Times New Roman"/>
                <w:sz w:val="20"/>
                <w:szCs w:val="20"/>
              </w:rPr>
              <w:t>Procurement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556F1B">
            <w:pPr>
              <w:jc w:val="both"/>
              <w:rPr>
                <w:rFonts w:cs="Times New Roman"/>
                <w:sz w:val="20"/>
                <w:szCs w:val="20"/>
              </w:rPr>
            </w:pPr>
            <w:r w:rsidRPr="00F7263B">
              <w:rPr>
                <w:rFonts w:cs="Times New Roman"/>
                <w:sz w:val="20"/>
                <w:szCs w:val="20"/>
              </w:rPr>
              <w:t>AFTPE</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556F1B">
            <w:pPr>
              <w:jc w:val="both"/>
              <w:rPr>
                <w:rFonts w:cs="Times New Roman"/>
                <w:sz w:val="20"/>
                <w:szCs w:val="20"/>
              </w:rPr>
            </w:pPr>
          </w:p>
        </w:tc>
      </w:tr>
      <w:tr w:rsidR="00A37435"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556F1B">
            <w:pPr>
              <w:jc w:val="both"/>
              <w:rPr>
                <w:rFonts w:cs="Times New Roman"/>
                <w:sz w:val="20"/>
                <w:szCs w:val="20"/>
              </w:rPr>
            </w:pPr>
            <w:r w:rsidRPr="00F7263B">
              <w:rPr>
                <w:rFonts w:cs="Times New Roman"/>
                <w:sz w:val="20"/>
                <w:szCs w:val="20"/>
              </w:rPr>
              <w:t>ParminderBrar</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E04687">
            <w:pPr>
              <w:rPr>
                <w:rFonts w:cs="Times New Roman"/>
                <w:sz w:val="20"/>
                <w:szCs w:val="20"/>
              </w:rPr>
            </w:pPr>
            <w:r w:rsidRPr="00F7263B">
              <w:rPr>
                <w:rFonts w:cs="Times New Roman"/>
                <w:color w:val="000000"/>
                <w:sz w:val="20"/>
                <w:szCs w:val="20"/>
              </w:rPr>
              <w:t>Lead Financial Management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E04687">
            <w:pPr>
              <w:rPr>
                <w:rFonts w:cs="Times New Roman"/>
                <w:sz w:val="20"/>
                <w:szCs w:val="20"/>
              </w:rPr>
            </w:pPr>
            <w:r w:rsidRPr="00F7263B">
              <w:rPr>
                <w:rFonts w:cs="Times New Roman"/>
                <w:sz w:val="20"/>
                <w:szCs w:val="20"/>
              </w:rPr>
              <w:t>Financial management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556F1B">
            <w:pPr>
              <w:jc w:val="both"/>
              <w:rPr>
                <w:rFonts w:cs="Times New Roman"/>
                <w:sz w:val="20"/>
                <w:szCs w:val="20"/>
              </w:rPr>
            </w:pPr>
            <w:r w:rsidRPr="00F7263B">
              <w:rPr>
                <w:rFonts w:cs="Times New Roman"/>
                <w:sz w:val="20"/>
                <w:szCs w:val="20"/>
              </w:rPr>
              <w:t>AFTME</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A37435" w:rsidRPr="00F7263B" w:rsidRDefault="00A37435" w:rsidP="00556F1B">
            <w:pPr>
              <w:jc w:val="both"/>
              <w:rPr>
                <w:rFonts w:cs="Times New Roman"/>
                <w:sz w:val="20"/>
                <w:szCs w:val="20"/>
              </w:rPr>
            </w:pPr>
          </w:p>
        </w:tc>
      </w:tr>
      <w:tr w:rsidR="00C112D4"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i/>
                <w:sz w:val="20"/>
                <w:szCs w:val="20"/>
              </w:rPr>
            </w:pPr>
            <w:r w:rsidRPr="00F7263B">
              <w:rPr>
                <w:rStyle w:val="Emphasis"/>
                <w:rFonts w:cs="Times New Roman"/>
                <w:i w:val="0"/>
                <w:sz w:val="20"/>
                <w:szCs w:val="20"/>
              </w:rPr>
              <w:t>Jose Janeiro</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E04687">
            <w:pPr>
              <w:rPr>
                <w:rFonts w:cs="Times New Roman"/>
                <w:color w:val="000000"/>
                <w:sz w:val="20"/>
                <w:szCs w:val="20"/>
              </w:rPr>
            </w:pPr>
            <w:r w:rsidRPr="00F7263B">
              <w:rPr>
                <w:rFonts w:cs="Times New Roman"/>
                <w:color w:val="000000"/>
                <w:sz w:val="20"/>
                <w:szCs w:val="20"/>
              </w:rPr>
              <w:t>Senior Finance Officer</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E04687">
            <w:pPr>
              <w:rPr>
                <w:rFonts w:cs="Times New Roman"/>
                <w:sz w:val="20"/>
                <w:szCs w:val="20"/>
              </w:rPr>
            </w:pPr>
            <w:r w:rsidRPr="00F7263B">
              <w:rPr>
                <w:rFonts w:cs="Times New Roman"/>
                <w:sz w:val="20"/>
                <w:szCs w:val="20"/>
              </w:rPr>
              <w:t>Financial Management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sz w:val="20"/>
                <w:szCs w:val="20"/>
              </w:rPr>
            </w:pPr>
            <w:r w:rsidRPr="00F7263B">
              <w:rPr>
                <w:rFonts w:cs="Times New Roman"/>
                <w:sz w:val="20"/>
                <w:szCs w:val="20"/>
              </w:rPr>
              <w:t>CTRLA</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sz w:val="20"/>
                <w:szCs w:val="20"/>
              </w:rPr>
            </w:pPr>
          </w:p>
        </w:tc>
      </w:tr>
      <w:tr w:rsidR="00C112D4"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sz w:val="20"/>
                <w:szCs w:val="20"/>
              </w:rPr>
            </w:pPr>
            <w:r w:rsidRPr="00F7263B">
              <w:rPr>
                <w:rFonts w:cs="Times New Roman"/>
                <w:sz w:val="20"/>
                <w:szCs w:val="20"/>
              </w:rPr>
              <w:t>AbiyDeme</w:t>
            </w:r>
            <w:r w:rsidR="001A09A3" w:rsidRPr="00F7263B">
              <w:rPr>
                <w:rFonts w:cs="Times New Roman"/>
                <w:sz w:val="20"/>
                <w:szCs w:val="20"/>
              </w:rPr>
              <w:t>ssie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1A09A3" w:rsidP="00E04687">
            <w:pPr>
              <w:rPr>
                <w:rFonts w:cs="Times New Roman"/>
                <w:color w:val="000000"/>
                <w:sz w:val="20"/>
                <w:szCs w:val="20"/>
              </w:rPr>
            </w:pPr>
            <w:r w:rsidRPr="00F7263B">
              <w:rPr>
                <w:rFonts w:cs="Times New Roman"/>
                <w:color w:val="000000"/>
                <w:sz w:val="20"/>
                <w:szCs w:val="20"/>
              </w:rPr>
              <w:t>Senior FM Specialist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1A09A3" w:rsidP="00E04687">
            <w:pPr>
              <w:rPr>
                <w:rFonts w:cs="Times New Roman"/>
                <w:color w:val="000000"/>
                <w:sz w:val="20"/>
                <w:szCs w:val="20"/>
              </w:rPr>
            </w:pPr>
            <w:r w:rsidRPr="00F7263B">
              <w:rPr>
                <w:rFonts w:cs="Times New Roman"/>
                <w:sz w:val="20"/>
                <w:szCs w:val="20"/>
              </w:rPr>
              <w:t>Financial management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1A09A3" w:rsidP="00556F1B">
            <w:pPr>
              <w:jc w:val="both"/>
              <w:rPr>
                <w:rFonts w:cs="Times New Roman"/>
                <w:sz w:val="20"/>
                <w:szCs w:val="20"/>
              </w:rPr>
            </w:pPr>
            <w:r w:rsidRPr="00F7263B">
              <w:rPr>
                <w:rFonts w:cs="Times New Roman"/>
                <w:sz w:val="20"/>
                <w:szCs w:val="20"/>
              </w:rPr>
              <w:t>AFTME</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C112D4" w:rsidRPr="00F7263B" w:rsidRDefault="00C112D4" w:rsidP="00556F1B">
            <w:pPr>
              <w:jc w:val="both"/>
              <w:rPr>
                <w:rFonts w:cs="Times New Roman"/>
                <w:sz w:val="20"/>
                <w:szCs w:val="20"/>
              </w:rPr>
            </w:pPr>
          </w:p>
        </w:tc>
      </w:tr>
      <w:tr w:rsidR="004215CE"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4215CE" w:rsidP="00556F1B">
            <w:pPr>
              <w:jc w:val="both"/>
              <w:rPr>
                <w:rFonts w:cs="Times New Roman"/>
                <w:sz w:val="20"/>
                <w:szCs w:val="20"/>
              </w:rPr>
            </w:pPr>
            <w:r w:rsidRPr="00F7263B">
              <w:rPr>
                <w:rFonts w:cs="Times New Roman"/>
                <w:sz w:val="20"/>
                <w:szCs w:val="20"/>
              </w:rPr>
              <w:t>Roderick Babijes</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4215CE" w:rsidP="00E04687">
            <w:pPr>
              <w:rPr>
                <w:rFonts w:cs="Times New Roman"/>
                <w:sz w:val="20"/>
                <w:szCs w:val="20"/>
              </w:rPr>
            </w:pPr>
            <w:r w:rsidRPr="00F7263B">
              <w:rPr>
                <w:rFonts w:cs="Times New Roman"/>
                <w:color w:val="000000"/>
                <w:sz w:val="20"/>
                <w:szCs w:val="20"/>
              </w:rPr>
              <w:t>Program Assistant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4215CE" w:rsidP="00E04687">
            <w:pPr>
              <w:rPr>
                <w:rFonts w:cs="Times New Roman"/>
                <w:sz w:val="20"/>
                <w:szCs w:val="20"/>
              </w:rPr>
            </w:pPr>
            <w:r w:rsidRPr="00F7263B">
              <w:rPr>
                <w:rFonts w:cs="Times New Roman"/>
                <w:color w:val="000000"/>
                <w:sz w:val="20"/>
                <w:szCs w:val="20"/>
              </w:rPr>
              <w:t>Program support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4215CE" w:rsidP="00556F1B">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4215CE" w:rsidP="00556F1B">
            <w:pPr>
              <w:jc w:val="both"/>
              <w:rPr>
                <w:rFonts w:cs="Times New Roman"/>
                <w:sz w:val="20"/>
                <w:szCs w:val="20"/>
              </w:rPr>
            </w:pPr>
          </w:p>
        </w:tc>
      </w:tr>
      <w:tr w:rsidR="004215CE"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E62ABD" w:rsidP="00556F1B">
            <w:pPr>
              <w:jc w:val="both"/>
              <w:rPr>
                <w:rFonts w:cs="Times New Roman"/>
                <w:sz w:val="20"/>
                <w:szCs w:val="20"/>
              </w:rPr>
            </w:pPr>
            <w:r w:rsidRPr="00F7263B">
              <w:rPr>
                <w:rFonts w:cs="Times New Roman"/>
                <w:color w:val="000000"/>
                <w:sz w:val="20"/>
                <w:szCs w:val="20"/>
              </w:rPr>
              <w:t>YoditTeamirRezene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E62ABD" w:rsidP="00E04687">
            <w:pPr>
              <w:rPr>
                <w:rFonts w:cs="Times New Roman"/>
                <w:sz w:val="20"/>
                <w:szCs w:val="20"/>
              </w:rPr>
            </w:pPr>
            <w:r w:rsidRPr="00F7263B">
              <w:rPr>
                <w:rFonts w:cs="Times New Roman"/>
                <w:color w:val="000000"/>
                <w:sz w:val="20"/>
                <w:szCs w:val="20"/>
              </w:rPr>
              <w:t>E T Temporary</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4215CE" w:rsidP="00E04687">
            <w:pPr>
              <w:rPr>
                <w:rFonts w:cs="Times New Roman"/>
                <w:sz w:val="20"/>
                <w:szCs w:val="20"/>
              </w:rPr>
            </w:pPr>
            <w:r w:rsidRPr="00F7263B">
              <w:rPr>
                <w:rFonts w:cs="Times New Roman"/>
                <w:color w:val="000000"/>
                <w:sz w:val="20"/>
                <w:szCs w:val="20"/>
              </w:rPr>
              <w:t>Program support</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E62ABD" w:rsidP="00556F1B">
            <w:pPr>
              <w:jc w:val="both"/>
              <w:rPr>
                <w:rFonts w:cs="Times New Roman"/>
                <w:sz w:val="20"/>
                <w:szCs w:val="20"/>
              </w:rPr>
            </w:pPr>
            <w:r w:rsidRPr="00F7263B">
              <w:rPr>
                <w:rFonts w:cs="Times New Roman"/>
                <w:sz w:val="20"/>
                <w:szCs w:val="20"/>
              </w:rPr>
              <w:t>AFCE3</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4215CE" w:rsidRPr="00F7263B" w:rsidRDefault="004215CE" w:rsidP="00556F1B">
            <w:pPr>
              <w:jc w:val="both"/>
              <w:rPr>
                <w:rFonts w:cs="Times New Roman"/>
                <w:sz w:val="20"/>
                <w:szCs w:val="20"/>
              </w:rPr>
            </w:pPr>
          </w:p>
        </w:tc>
      </w:tr>
      <w:tr w:rsidR="00E04687"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AF1EAD">
            <w:pPr>
              <w:jc w:val="both"/>
              <w:rPr>
                <w:rFonts w:cs="Times New Roman"/>
                <w:sz w:val="20"/>
                <w:szCs w:val="20"/>
              </w:rPr>
            </w:pPr>
            <w:r w:rsidRPr="00F7263B">
              <w:rPr>
                <w:rFonts w:cs="Times New Roman"/>
                <w:sz w:val="20"/>
                <w:szCs w:val="20"/>
              </w:rPr>
              <w:t>David De-Groot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E04687">
            <w:pPr>
              <w:rPr>
                <w:rFonts w:cs="Times New Roman"/>
                <w:sz w:val="20"/>
                <w:szCs w:val="20"/>
              </w:rPr>
            </w:pPr>
            <w:r w:rsidRPr="00F7263B">
              <w:rPr>
                <w:rFonts w:cs="Times New Roman"/>
                <w:sz w:val="20"/>
                <w:szCs w:val="20"/>
              </w:rPr>
              <w:t xml:space="preserve">Consultant </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E04687">
            <w:pPr>
              <w:rPr>
                <w:rFonts w:cs="Times New Roman"/>
                <w:sz w:val="20"/>
                <w:szCs w:val="20"/>
              </w:rPr>
            </w:pPr>
            <w:r w:rsidRPr="00F7263B">
              <w:rPr>
                <w:rFonts w:cs="Times New Roman"/>
                <w:sz w:val="20"/>
                <w:szCs w:val="20"/>
              </w:rPr>
              <w:t xml:space="preserve">Local government </w:t>
            </w:r>
            <w:r w:rsidR="00D21D1A" w:rsidRPr="00F7263B">
              <w:rPr>
                <w:rFonts w:cs="Times New Roman"/>
                <w:sz w:val="20"/>
                <w:szCs w:val="20"/>
              </w:rPr>
              <w:t>advice</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5C6B20" w:rsidP="00AF1EAD">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p>
        </w:tc>
      </w:tr>
      <w:tr w:rsidR="00E04687"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AF1EAD">
            <w:pPr>
              <w:jc w:val="both"/>
              <w:rPr>
                <w:rFonts w:cs="Times New Roman"/>
                <w:sz w:val="20"/>
                <w:szCs w:val="20"/>
              </w:rPr>
            </w:pPr>
            <w:r w:rsidRPr="00F7263B">
              <w:rPr>
                <w:rFonts w:cs="Times New Roman"/>
                <w:sz w:val="20"/>
                <w:szCs w:val="20"/>
              </w:rPr>
              <w:t>WorkuYehua</w:t>
            </w:r>
            <w:r w:rsidR="00723219" w:rsidRPr="00F7263B">
              <w:rPr>
                <w:rFonts w:cs="Times New Roman"/>
                <w:sz w:val="20"/>
                <w:szCs w:val="20"/>
              </w:rPr>
              <w:t>la</w:t>
            </w:r>
            <w:r w:rsidRPr="00F7263B">
              <w:rPr>
                <w:rFonts w:cs="Times New Roman"/>
                <w:sz w:val="20"/>
                <w:szCs w:val="20"/>
              </w:rPr>
              <w:t>shet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E04687">
            <w:pPr>
              <w:rPr>
                <w:rFonts w:cs="Times New Roman"/>
                <w:sz w:val="20"/>
                <w:szCs w:val="20"/>
              </w:rPr>
            </w:pPr>
            <w:r w:rsidRPr="00F7263B">
              <w:rPr>
                <w:rFonts w:cs="Times New Roman"/>
                <w:sz w:val="20"/>
                <w:szCs w:val="20"/>
              </w:rPr>
              <w:t>Consultant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E04687">
            <w:pPr>
              <w:rPr>
                <w:rFonts w:cs="Times New Roman"/>
                <w:sz w:val="20"/>
                <w:szCs w:val="20"/>
              </w:rPr>
            </w:pPr>
            <w:r w:rsidRPr="00F7263B">
              <w:rPr>
                <w:rFonts w:cs="Times New Roman"/>
                <w:sz w:val="20"/>
                <w:szCs w:val="20"/>
              </w:rPr>
              <w:t>Capacity building design</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723219" w:rsidP="00AF1EAD">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p>
        </w:tc>
      </w:tr>
      <w:tr w:rsidR="00E04687" w:rsidRPr="00F7263B">
        <w:tblPrEx>
          <w:jc w:val="center"/>
        </w:tblPrEx>
        <w:trPr>
          <w:gridBefore w:val="1"/>
          <w:wBefore w:w="79" w:type="dxa"/>
          <w:trHeight w:val="1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AF1EAD">
            <w:pPr>
              <w:jc w:val="both"/>
              <w:rPr>
                <w:rFonts w:cs="Times New Roman"/>
                <w:sz w:val="20"/>
                <w:szCs w:val="20"/>
              </w:rPr>
            </w:pPr>
            <w:r w:rsidRPr="00F7263B">
              <w:rPr>
                <w:rFonts w:cs="Times New Roman"/>
                <w:sz w:val="20"/>
                <w:szCs w:val="20"/>
              </w:rPr>
              <w:t>Zer</w:t>
            </w:r>
            <w:r w:rsidR="005C6B20" w:rsidRPr="00F7263B">
              <w:rPr>
                <w:rFonts w:cs="Times New Roman"/>
                <w:sz w:val="20"/>
                <w:szCs w:val="20"/>
              </w:rPr>
              <w:t>e</w:t>
            </w:r>
            <w:r w:rsidRPr="00F7263B">
              <w:rPr>
                <w:rFonts w:cs="Times New Roman"/>
                <w:sz w:val="20"/>
                <w:szCs w:val="20"/>
              </w:rPr>
              <w:t>uGirmay</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D21D1A">
            <w:pPr>
              <w:rPr>
                <w:rFonts w:cs="Times New Roman"/>
                <w:sz w:val="20"/>
                <w:szCs w:val="20"/>
              </w:rPr>
            </w:pPr>
            <w:r w:rsidRPr="00F7263B">
              <w:rPr>
                <w:rFonts w:cs="Times New Roman"/>
                <w:sz w:val="20"/>
                <w:szCs w:val="20"/>
              </w:rPr>
              <w:t>Consultant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D21D1A" w:rsidP="00D21D1A">
            <w:pPr>
              <w:rPr>
                <w:rFonts w:cs="Times New Roman"/>
                <w:sz w:val="20"/>
                <w:szCs w:val="20"/>
              </w:rPr>
            </w:pPr>
            <w:r w:rsidRPr="00F7263B">
              <w:rPr>
                <w:rFonts w:cs="Times New Roman"/>
                <w:sz w:val="20"/>
                <w:szCs w:val="20"/>
              </w:rPr>
              <w:t>Environment and Social Safeguards advice</w:t>
            </w:r>
          </w:p>
        </w:tc>
        <w:tc>
          <w:tcPr>
            <w:tcW w:w="1210" w:type="dxa"/>
            <w:gridSpan w:val="4"/>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5C6B20" w:rsidP="00AF1EAD">
            <w:pPr>
              <w:jc w:val="both"/>
              <w:rPr>
                <w:rFonts w:cs="Times New Roman"/>
                <w:sz w:val="20"/>
                <w:szCs w:val="20"/>
              </w:rPr>
            </w:pPr>
            <w:r w:rsidRPr="00F7263B">
              <w:rPr>
                <w:rFonts w:cs="Times New Roman"/>
                <w:sz w:val="20"/>
                <w:szCs w:val="20"/>
              </w:rPr>
              <w:t>AFTU1</w:t>
            </w:r>
          </w:p>
        </w:tc>
        <w:tc>
          <w:tcPr>
            <w:tcW w:w="1292" w:type="dxa"/>
            <w:gridSpan w:val="5"/>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p>
        </w:tc>
      </w:tr>
      <w:tr w:rsidR="00E04687" w:rsidRPr="00F7263B">
        <w:tblPrEx>
          <w:jc w:val="center"/>
        </w:tblPrEx>
        <w:trPr>
          <w:gridBefore w:val="1"/>
          <w:wBefore w:w="79" w:type="dxa"/>
          <w:trHeight w:val="145"/>
          <w:jc w:val="center"/>
        </w:trPr>
        <w:tc>
          <w:tcPr>
            <w:tcW w:w="9593" w:type="dxa"/>
            <w:gridSpan w:val="37"/>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color w:val="314F4F"/>
                <w:sz w:val="20"/>
                <w:szCs w:val="20"/>
              </w:rPr>
            </w:pPr>
            <w:r w:rsidRPr="00F7263B">
              <w:rPr>
                <w:rFonts w:cs="Times New Roman"/>
                <w:b/>
                <w:bCs/>
                <w:color w:val="314F4F"/>
                <w:sz w:val="20"/>
                <w:szCs w:val="20"/>
              </w:rPr>
              <w:t>Non Bank Staff</w:t>
            </w:r>
          </w:p>
        </w:tc>
      </w:tr>
      <w:tr w:rsidR="00E04687" w:rsidRPr="00F7263B" w:rsidTr="00254260">
        <w:tblPrEx>
          <w:jc w:val="center"/>
        </w:tblPrEx>
        <w:trPr>
          <w:gridBefore w:val="1"/>
          <w:wBefore w:w="79" w:type="dxa"/>
          <w:trHeight w:val="300"/>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b/>
                <w:bCs/>
                <w:sz w:val="20"/>
                <w:szCs w:val="20"/>
              </w:rPr>
              <w:t>Name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b/>
                <w:bCs/>
                <w:sz w:val="20"/>
                <w:szCs w:val="20"/>
              </w:rPr>
              <w:t>Title</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b/>
                <w:bCs/>
                <w:sz w:val="20"/>
                <w:szCs w:val="20"/>
              </w:rPr>
              <w:t>Office Phone</w:t>
            </w:r>
          </w:p>
        </w:tc>
        <w:tc>
          <w:tcPr>
            <w:tcW w:w="250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b/>
                <w:bCs/>
                <w:sz w:val="20"/>
                <w:szCs w:val="20"/>
              </w:rPr>
              <w:t>City</w:t>
            </w:r>
          </w:p>
        </w:tc>
      </w:tr>
      <w:tr w:rsidR="00E04687" w:rsidRPr="00F7263B" w:rsidTr="00254260">
        <w:tblPrEx>
          <w:jc w:val="center"/>
        </w:tblPrEx>
        <w:trPr>
          <w:gridBefore w:val="1"/>
          <w:wBefore w:w="79" w:type="dxa"/>
          <w:trHeight w:val="345"/>
          <w:jc w:val="center"/>
        </w:trPr>
        <w:tc>
          <w:tcPr>
            <w:tcW w:w="2361" w:type="dxa"/>
            <w:gridSpan w:val="10"/>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sz w:val="20"/>
                <w:szCs w:val="20"/>
              </w:rPr>
              <w:t>JesperSteffensen</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sz w:val="20"/>
                <w:szCs w:val="20"/>
              </w:rPr>
              <w:t>Senior Partner, Dege Consult</w:t>
            </w:r>
          </w:p>
        </w:tc>
        <w:tc>
          <w:tcPr>
            <w:tcW w:w="2365"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sz w:val="20"/>
                <w:szCs w:val="20"/>
              </w:rPr>
              <w:t>+45 35 42 04 97</w:t>
            </w:r>
          </w:p>
        </w:tc>
        <w:tc>
          <w:tcPr>
            <w:tcW w:w="2502" w:type="dxa"/>
            <w:gridSpan w:val="9"/>
            <w:tcBorders>
              <w:top w:val="single" w:sz="4" w:space="0" w:color="000000"/>
              <w:left w:val="single" w:sz="4" w:space="0" w:color="000000"/>
              <w:bottom w:val="single" w:sz="4" w:space="0" w:color="000000"/>
              <w:right w:val="single" w:sz="4" w:space="0" w:color="000000"/>
            </w:tcBorders>
            <w:shd w:val="clear" w:color="auto" w:fill="FFFFFF"/>
            <w:tcMar>
              <w:top w:w="50" w:type="dxa"/>
              <w:left w:w="50" w:type="dxa"/>
              <w:bottom w:w="50" w:type="dxa"/>
              <w:right w:w="50" w:type="dxa"/>
            </w:tcMar>
          </w:tcPr>
          <w:p w:rsidR="00E04687" w:rsidRPr="00F7263B" w:rsidRDefault="00E04687" w:rsidP="00556F1B">
            <w:pPr>
              <w:jc w:val="both"/>
              <w:rPr>
                <w:rFonts w:cs="Times New Roman"/>
                <w:sz w:val="20"/>
                <w:szCs w:val="20"/>
              </w:rPr>
            </w:pPr>
            <w:r w:rsidRPr="00F7263B">
              <w:rPr>
                <w:rFonts w:cs="Times New Roman"/>
                <w:sz w:val="20"/>
                <w:szCs w:val="20"/>
              </w:rPr>
              <w:t>Copenhagen, Denmark</w:t>
            </w:r>
          </w:p>
        </w:tc>
      </w:tr>
    </w:tbl>
    <w:p w:rsidR="004F1094" w:rsidRPr="00F7263B" w:rsidRDefault="001D2940" w:rsidP="00556F1B">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br w:type="page"/>
      </w:r>
    </w:p>
    <w:p w:rsidR="001A388B" w:rsidRPr="00F7263B" w:rsidRDefault="001D2940" w:rsidP="00556F1B">
      <w:pPr>
        <w:pStyle w:val="Heading1"/>
        <w:jc w:val="both"/>
        <w:rPr>
          <w:sz w:val="20"/>
          <w:szCs w:val="20"/>
        </w:rPr>
      </w:pPr>
      <w:bookmarkStart w:id="1" w:name="_Toc380167565"/>
      <w:r w:rsidRPr="00F7263B">
        <w:rPr>
          <w:sz w:val="20"/>
          <w:szCs w:val="20"/>
        </w:rPr>
        <w:lastRenderedPageBreak/>
        <w:t>STRATEGIC CONTEXT</w:t>
      </w:r>
      <w:bookmarkEnd w:id="1"/>
    </w:p>
    <w:p w:rsidR="004F1094" w:rsidRPr="00F7263B" w:rsidRDefault="004F1094" w:rsidP="00556F1B">
      <w:pPr>
        <w:pStyle w:val="NoSpacing"/>
        <w:jc w:val="both"/>
        <w:rPr>
          <w:rFonts w:ascii="Times New Roman" w:hAnsi="Times New Roman" w:cs="Times New Roman"/>
          <w:b/>
          <w:sz w:val="20"/>
          <w:szCs w:val="20"/>
        </w:rPr>
      </w:pPr>
    </w:p>
    <w:p w:rsidR="004C7AEF" w:rsidRPr="00F7263B" w:rsidRDefault="001D2940" w:rsidP="00895BB3">
      <w:pPr>
        <w:pStyle w:val="Heading2"/>
        <w:ind w:left="0"/>
        <w:jc w:val="both"/>
        <w:rPr>
          <w:sz w:val="20"/>
          <w:szCs w:val="20"/>
        </w:rPr>
      </w:pPr>
      <w:bookmarkStart w:id="2" w:name="_Toc380167566"/>
      <w:r w:rsidRPr="00F7263B">
        <w:rPr>
          <w:sz w:val="20"/>
          <w:szCs w:val="20"/>
        </w:rPr>
        <w:t>Country Context</w:t>
      </w:r>
      <w:bookmarkEnd w:id="2"/>
    </w:p>
    <w:p w:rsidR="001A388B" w:rsidRPr="00F7263B" w:rsidRDefault="001A388B" w:rsidP="00556F1B">
      <w:pPr>
        <w:pStyle w:val="NoSpacing"/>
        <w:jc w:val="both"/>
        <w:rPr>
          <w:rFonts w:ascii="Times New Roman" w:hAnsi="Times New Roman" w:cs="Times New Roman"/>
          <w:b/>
          <w:sz w:val="20"/>
          <w:szCs w:val="20"/>
        </w:rPr>
      </w:pPr>
    </w:p>
    <w:p w:rsidR="00BF09AC" w:rsidRPr="00F7263B" w:rsidRDefault="00BF09AC" w:rsidP="00D92D63">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Ethiopia is a large and diverse country.</w:t>
      </w:r>
      <w:r w:rsidRPr="00F7263B">
        <w:rPr>
          <w:sz w:val="20"/>
          <w:szCs w:val="20"/>
        </w:rPr>
        <w:t xml:space="preserve">It is located in the Horn of Africa and is a land-locked country with an area of 1.1 million square kilometers—about the size of Bolivia.  Its bio-physical environment includes a variety of contrasting ecosystems, with significant differences in climate, soil properties, vegetation types, </w:t>
      </w:r>
      <w:r w:rsidR="004D2289" w:rsidRPr="00F7263B">
        <w:rPr>
          <w:sz w:val="20"/>
          <w:szCs w:val="20"/>
        </w:rPr>
        <w:t>and agricultural</w:t>
      </w:r>
      <w:r w:rsidRPr="00F7263B">
        <w:rPr>
          <w:sz w:val="20"/>
          <w:szCs w:val="20"/>
        </w:rPr>
        <w:t xml:space="preserve"> potential, biodiversity and water resources.  Ethiopia is a country of many nations, nationalities and peoples, with a total population of 91.7 million (2012).</w:t>
      </w:r>
      <w:r w:rsidRPr="00F7263B">
        <w:rPr>
          <w:rStyle w:val="FootnoteReference"/>
          <w:sz w:val="20"/>
          <w:szCs w:val="20"/>
        </w:rPr>
        <w:footnoteReference w:id="1"/>
      </w:r>
      <w:r w:rsidRPr="00F7263B">
        <w:rPr>
          <w:sz w:val="20"/>
          <w:szCs w:val="20"/>
        </w:rPr>
        <w:t>Only 17 percent of the population lives in urban centers, the great majority of them in Addis Ababa.  At a current annual growth rate of 2.6 percent, Ethiopia’s population is estimated to reach 130 million by 2025, and is projected by the UN to be among the world’s top ten, by 2050.  Ethiopia is vulnerable to terms of trade shocks from international food and fuel prices, and to large domestic weather-related shocks as the 2011/12 East Africa drought demonstrated.</w:t>
      </w:r>
    </w:p>
    <w:p w:rsidR="00BF09AC" w:rsidRPr="00F7263B" w:rsidRDefault="00BF09AC" w:rsidP="00254260">
      <w:pPr>
        <w:pStyle w:val="ListParagraph"/>
        <w:autoSpaceDE w:val="0"/>
        <w:autoSpaceDN w:val="0"/>
        <w:adjustRightInd w:val="0"/>
        <w:ind w:left="0"/>
        <w:jc w:val="both"/>
        <w:rPr>
          <w:rFonts w:cs="Times New Roman"/>
          <w:sz w:val="20"/>
          <w:szCs w:val="20"/>
        </w:rPr>
      </w:pPr>
    </w:p>
    <w:p w:rsidR="00BF09AC" w:rsidRPr="00F7263B" w:rsidRDefault="00BF09AC" w:rsidP="00D92D63">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 xml:space="preserve">Ethiopia has experienced strong economic growth over the past decade.  </w:t>
      </w:r>
      <w:r w:rsidRPr="00F7263B">
        <w:rPr>
          <w:sz w:val="20"/>
          <w:szCs w:val="20"/>
        </w:rPr>
        <w:t>Economic growth averaged 10.7 percent per year in 2003/04 to 2011/12compared to the regional average of 5.4 percent.  Growth reflected a mix of factors, including agricultural modernization, the development of new export sectors, strong global commodity demand, and government-led development investments.  Private consumption and public investment have driven demand side growth, with the latter assuming an increasingly important role in recent years.  On the supply side, growth was driven by an expansion of the services and agricultural sectors, whilethe role of the industrial sector was relatively modest.  More recently annual growth rates have declined slightly, but still remain at high single-digit levels.  Growth in the export of goods has also moderated in recent years and a decline was observed in 2012/13 for the first time since 2008/09.  There have been bouts of high inflation in recent years and, while inflation is currently much lower, keeping it down remains a major objective for monetary policy.</w:t>
      </w:r>
    </w:p>
    <w:p w:rsidR="00BF09AC" w:rsidRPr="00F7263B" w:rsidRDefault="00BF09AC" w:rsidP="00254260">
      <w:pPr>
        <w:pStyle w:val="ListParagraph"/>
        <w:autoSpaceDE w:val="0"/>
        <w:autoSpaceDN w:val="0"/>
        <w:adjustRightInd w:val="0"/>
        <w:ind w:left="0"/>
        <w:jc w:val="both"/>
        <w:rPr>
          <w:rFonts w:cs="Times New Roman"/>
          <w:sz w:val="20"/>
          <w:szCs w:val="20"/>
        </w:rPr>
      </w:pPr>
    </w:p>
    <w:p w:rsidR="00841AAA" w:rsidRPr="00F7263B" w:rsidRDefault="00841AAA" w:rsidP="00254260">
      <w:pPr>
        <w:pStyle w:val="ListParagraph"/>
        <w:numPr>
          <w:ilvl w:val="0"/>
          <w:numId w:val="9"/>
        </w:numPr>
        <w:autoSpaceDE w:val="0"/>
        <w:autoSpaceDN w:val="0"/>
        <w:adjustRightInd w:val="0"/>
        <w:ind w:left="0" w:firstLine="0"/>
        <w:jc w:val="both"/>
        <w:rPr>
          <w:sz w:val="20"/>
          <w:szCs w:val="20"/>
        </w:rPr>
      </w:pPr>
      <w:r w:rsidRPr="00F7263B">
        <w:rPr>
          <w:b/>
          <w:sz w:val="20"/>
          <w:szCs w:val="20"/>
        </w:rPr>
        <w:t>Ethiopia is one of the world's poorest countries, but has made substantial progress on social and human development over the past decade</w:t>
      </w:r>
      <w:r w:rsidR="00036847" w:rsidRPr="00F7263B">
        <w:rPr>
          <w:sz w:val="20"/>
          <w:szCs w:val="20"/>
        </w:rPr>
        <w:t xml:space="preserve">.  </w:t>
      </w:r>
      <w:r w:rsidRPr="00F7263B">
        <w:rPr>
          <w:sz w:val="20"/>
          <w:szCs w:val="20"/>
        </w:rPr>
        <w:t>The country’s per capita income of US$370 is substantially lower than the regional average of US$1,257 and among the ten lowest worldwide</w:t>
      </w:r>
      <w:r w:rsidR="00036847" w:rsidRPr="00F7263B">
        <w:rPr>
          <w:sz w:val="20"/>
          <w:szCs w:val="20"/>
        </w:rPr>
        <w:t>.</w:t>
      </w:r>
      <w:r w:rsidRPr="00F7263B">
        <w:rPr>
          <w:rStyle w:val="FootnoteReference"/>
          <w:sz w:val="20"/>
          <w:szCs w:val="20"/>
        </w:rPr>
        <w:footnoteReference w:id="2"/>
      </w:r>
      <w:r w:rsidRPr="00F7263B">
        <w:rPr>
          <w:sz w:val="20"/>
          <w:szCs w:val="20"/>
        </w:rPr>
        <w:t>Ethiopia is ranked 173 out of 187 countries in the Human Development Index (HDI) of the United Nations Development Program (UNDP)</w:t>
      </w:r>
      <w:r w:rsidR="00036847" w:rsidRPr="00F7263B">
        <w:rPr>
          <w:sz w:val="20"/>
          <w:szCs w:val="20"/>
        </w:rPr>
        <w:t xml:space="preserve">.  </w:t>
      </w:r>
      <w:r w:rsidRPr="00F7263B">
        <w:rPr>
          <w:sz w:val="20"/>
          <w:szCs w:val="20"/>
        </w:rPr>
        <w:t>However, high economic growth has helped reduce poverty, in both urban and rural areas</w:t>
      </w:r>
      <w:r w:rsidR="00036847" w:rsidRPr="00F7263B">
        <w:rPr>
          <w:sz w:val="20"/>
          <w:szCs w:val="20"/>
        </w:rPr>
        <w:t xml:space="preserve">.  </w:t>
      </w:r>
      <w:r w:rsidRPr="00F7263B">
        <w:rPr>
          <w:sz w:val="20"/>
          <w:szCs w:val="20"/>
        </w:rPr>
        <w:t>Since 2005, 2.5 million people have been lifted out of poverty, and the share of the population below the poverty line has fallen from 38.7 percent in 2004/05 to 29.6 percent in 2010/11 (using a poverty line of US$0.6/day)</w:t>
      </w:r>
      <w:r w:rsidR="00036847" w:rsidRPr="00F7263B">
        <w:rPr>
          <w:sz w:val="20"/>
          <w:szCs w:val="20"/>
        </w:rPr>
        <w:t xml:space="preserve">.  </w:t>
      </w:r>
      <w:r w:rsidRPr="00F7263B">
        <w:rPr>
          <w:sz w:val="20"/>
          <w:szCs w:val="20"/>
        </w:rPr>
        <w:t>However, because of high population growth the absolute number of poor (about 25 million) has remained unchanged over the past fifteen years</w:t>
      </w:r>
      <w:r w:rsidR="00036847" w:rsidRPr="00F7263B">
        <w:rPr>
          <w:sz w:val="20"/>
          <w:szCs w:val="20"/>
        </w:rPr>
        <w:t xml:space="preserve">.  </w:t>
      </w:r>
      <w:r w:rsidRPr="00F7263B">
        <w:rPr>
          <w:sz w:val="20"/>
          <w:szCs w:val="20"/>
        </w:rPr>
        <w:t>Ethiopia is among the countries that have made the fastest progress on the Millennium Development Goals (MDGs) and HDI ranking over the past decade</w:t>
      </w:r>
      <w:r w:rsidR="00036847" w:rsidRPr="00F7263B">
        <w:rPr>
          <w:sz w:val="20"/>
          <w:szCs w:val="20"/>
        </w:rPr>
        <w:t xml:space="preserve">.  </w:t>
      </w:r>
      <w:r w:rsidRPr="00F7263B">
        <w:rPr>
          <w:sz w:val="20"/>
          <w:szCs w:val="20"/>
        </w:rPr>
        <w:t>It is on track to achieve the MDGs related to gender parity in education, child mortality, HIV/AIDS, and malaria</w:t>
      </w:r>
      <w:r w:rsidR="00036847" w:rsidRPr="00F7263B">
        <w:rPr>
          <w:sz w:val="20"/>
          <w:szCs w:val="20"/>
        </w:rPr>
        <w:t xml:space="preserve">.  </w:t>
      </w:r>
      <w:r w:rsidRPr="00F7263B">
        <w:rPr>
          <w:sz w:val="20"/>
          <w:szCs w:val="20"/>
        </w:rPr>
        <w:t>Good progress has been achieved in universal primary education, although the MDG target may not be met</w:t>
      </w:r>
      <w:r w:rsidR="00036847" w:rsidRPr="00F7263B">
        <w:rPr>
          <w:sz w:val="20"/>
          <w:szCs w:val="20"/>
        </w:rPr>
        <w:t xml:space="preserve">.  </w:t>
      </w:r>
      <w:r w:rsidRPr="00F7263B">
        <w:rPr>
          <w:sz w:val="20"/>
          <w:szCs w:val="20"/>
        </w:rPr>
        <w:t>The reduction of maternal mortality remains a key challenge.</w:t>
      </w:r>
    </w:p>
    <w:p w:rsidR="00BD5E24" w:rsidRPr="00F7263B" w:rsidRDefault="00036847" w:rsidP="00D92D63">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 xml:space="preserve">The Government of </w:t>
      </w:r>
      <w:r w:rsidR="00DA2BBC" w:rsidRPr="00F7263B">
        <w:rPr>
          <w:b/>
          <w:sz w:val="20"/>
          <w:szCs w:val="20"/>
        </w:rPr>
        <w:t>Ethiopia</w:t>
      </w:r>
      <w:r w:rsidRPr="00F7263B">
        <w:rPr>
          <w:b/>
          <w:sz w:val="20"/>
          <w:szCs w:val="20"/>
        </w:rPr>
        <w:t xml:space="preserve"> is currently implementing its ambitious Growth and Transformation Plan</w:t>
      </w:r>
      <w:r w:rsidRPr="00F7263B">
        <w:rPr>
          <w:sz w:val="20"/>
          <w:szCs w:val="20"/>
        </w:rPr>
        <w:t xml:space="preserve"> (GTP</w:t>
      </w:r>
      <w:r w:rsidR="004D2289" w:rsidRPr="00F7263B">
        <w:rPr>
          <w:sz w:val="20"/>
          <w:szCs w:val="20"/>
        </w:rPr>
        <w:t>) 2010</w:t>
      </w:r>
      <w:r w:rsidRPr="00F7263B">
        <w:rPr>
          <w:sz w:val="20"/>
          <w:szCs w:val="20"/>
        </w:rPr>
        <w:t>/11–2014/15</w:t>
      </w:r>
      <w:r w:rsidR="004D2289" w:rsidRPr="00F7263B">
        <w:rPr>
          <w:sz w:val="20"/>
          <w:szCs w:val="20"/>
        </w:rPr>
        <w:t>, which</w:t>
      </w:r>
      <w:r w:rsidRPr="00F7263B">
        <w:rPr>
          <w:sz w:val="20"/>
          <w:szCs w:val="20"/>
        </w:rPr>
        <w:t xml:space="preserve"> sets a long-term goal of becoming a middle-income country by 2023, with growth rates of at least 11.2 percent per annum during the plan period.To achieve the GTP goals and objectives, the government has followed a “developmental state” model with a strong role for the government in many aspects of the economy.  It has prioritized key sectors such as industry and agriculture, as drivers of sustained economic growth and job creation. The GTP also reaffirms the government’s commitment to human development. Development partners have programs that are broadly aligned with GTP priorities.</w:t>
      </w:r>
    </w:p>
    <w:p w:rsidR="00AB444A" w:rsidRPr="00F7263B" w:rsidRDefault="00AB444A" w:rsidP="00B74452">
      <w:pPr>
        <w:tabs>
          <w:tab w:val="left" w:pos="7804"/>
        </w:tabs>
        <w:rPr>
          <w:sz w:val="20"/>
          <w:szCs w:val="20"/>
        </w:rPr>
      </w:pPr>
    </w:p>
    <w:p w:rsidR="004C7AEF" w:rsidRPr="00F7263B" w:rsidRDefault="001D2940" w:rsidP="00895BB3">
      <w:pPr>
        <w:pStyle w:val="Heading2"/>
        <w:ind w:left="0"/>
        <w:jc w:val="both"/>
        <w:rPr>
          <w:sz w:val="20"/>
          <w:szCs w:val="20"/>
        </w:rPr>
      </w:pPr>
      <w:bookmarkStart w:id="3" w:name="_Toc380167567"/>
      <w:r w:rsidRPr="00F7263B">
        <w:rPr>
          <w:sz w:val="20"/>
          <w:szCs w:val="20"/>
        </w:rPr>
        <w:t>Sectoral and Institutional Context</w:t>
      </w:r>
      <w:bookmarkEnd w:id="3"/>
    </w:p>
    <w:p w:rsidR="00A57F28" w:rsidRPr="00F7263B" w:rsidRDefault="00A57F28" w:rsidP="00A57F28">
      <w:pPr>
        <w:rPr>
          <w:sz w:val="20"/>
          <w:szCs w:val="20"/>
        </w:rPr>
      </w:pPr>
    </w:p>
    <w:p w:rsidR="00062ACC" w:rsidRPr="00F7263B" w:rsidRDefault="00062ACC" w:rsidP="00380EF7">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Ethiopia has a federal, democratic government system,</w:t>
      </w:r>
      <w:r w:rsidR="004D2289">
        <w:rPr>
          <w:b/>
          <w:sz w:val="20"/>
          <w:szCs w:val="20"/>
        </w:rPr>
        <w:t xml:space="preserve"> </w:t>
      </w:r>
      <w:r w:rsidRPr="00F7263B">
        <w:rPr>
          <w:sz w:val="20"/>
          <w:szCs w:val="20"/>
        </w:rPr>
        <w:t>established in the early 1990s, with nine autonomous states (‘regions’) and two chartered cities.</w:t>
      </w:r>
      <w:r w:rsidRPr="00F7263B">
        <w:rPr>
          <w:rStyle w:val="FootnoteReference"/>
          <w:sz w:val="20"/>
          <w:szCs w:val="20"/>
        </w:rPr>
        <w:footnoteReference w:id="3"/>
      </w:r>
      <w:r w:rsidRPr="00F7263B">
        <w:rPr>
          <w:sz w:val="20"/>
          <w:szCs w:val="20"/>
        </w:rPr>
        <w:t>Decentralization of governance to the regional and district (</w:t>
      </w:r>
      <w:r w:rsidRPr="00F7263B">
        <w:rPr>
          <w:i/>
          <w:sz w:val="20"/>
          <w:szCs w:val="20"/>
        </w:rPr>
        <w:t>woreda</w:t>
      </w:r>
      <w:r w:rsidRPr="00F7263B">
        <w:rPr>
          <w:sz w:val="20"/>
          <w:szCs w:val="20"/>
        </w:rPr>
        <w:t>) levels has been actively pursued, intensively since 2003.  The Ethiopian People’s Revolutionary Democratic Front has been in power in Ethiopia since 1991. EPRDF comprises four regionally-based parties from the four major regions (Amhara, Oromia, Southern Nations, Nationalities and Peoples, and Tigray). The long-serving Prime Minister, MelesZenawi, (from Tigray) died in August 2012, and was succeeded by HailemariamDesalegn(from Southern Nations, Nationalities and Peoples) who has pursued largely the same policies. The next national elections are scheduled for 2015.</w:t>
      </w:r>
    </w:p>
    <w:p w:rsidR="00062ACC" w:rsidRPr="00F7263B" w:rsidRDefault="00062ACC" w:rsidP="00254260">
      <w:pPr>
        <w:pStyle w:val="ListParagraph"/>
        <w:autoSpaceDE w:val="0"/>
        <w:autoSpaceDN w:val="0"/>
        <w:adjustRightInd w:val="0"/>
        <w:ind w:left="0"/>
        <w:jc w:val="both"/>
        <w:rPr>
          <w:rFonts w:cs="Times New Roman"/>
          <w:sz w:val="20"/>
          <w:szCs w:val="20"/>
        </w:rPr>
      </w:pPr>
    </w:p>
    <w:p w:rsidR="00ED50B6" w:rsidRPr="00F7263B" w:rsidRDefault="00CE297C" w:rsidP="00380EF7">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iCs/>
          <w:sz w:val="20"/>
          <w:szCs w:val="20"/>
        </w:rPr>
        <w:t xml:space="preserve">Each regional government can create its own local government structure and </w:t>
      </w:r>
      <w:r w:rsidR="00ED50B6" w:rsidRPr="00F7263B">
        <w:rPr>
          <w:rFonts w:cs="Times New Roman"/>
          <w:iCs/>
          <w:sz w:val="20"/>
          <w:szCs w:val="20"/>
        </w:rPr>
        <w:t xml:space="preserve">its </w:t>
      </w:r>
      <w:r w:rsidRPr="00F7263B">
        <w:rPr>
          <w:rFonts w:cs="Times New Roman"/>
          <w:iCs/>
          <w:sz w:val="20"/>
          <w:szCs w:val="20"/>
        </w:rPr>
        <w:t>urban local governments (ULGs).</w:t>
      </w:r>
      <w:r w:rsidRPr="00F7263B">
        <w:rPr>
          <w:rStyle w:val="FootnoteReference"/>
          <w:rFonts w:cs="Times New Roman"/>
          <w:iCs/>
          <w:sz w:val="20"/>
          <w:szCs w:val="20"/>
        </w:rPr>
        <w:footnoteReference w:id="4"/>
      </w:r>
      <w:r w:rsidR="00ED50B6" w:rsidRPr="00F7263B">
        <w:rPr>
          <w:rFonts w:cs="Times New Roman"/>
          <w:iCs/>
          <w:sz w:val="20"/>
          <w:szCs w:val="20"/>
        </w:rPr>
        <w:t xml:space="preserve">Created by </w:t>
      </w:r>
      <w:r w:rsidR="00E01557" w:rsidRPr="00F7263B">
        <w:rPr>
          <w:rFonts w:cs="Times New Roman"/>
          <w:iCs/>
          <w:sz w:val="20"/>
          <w:szCs w:val="20"/>
        </w:rPr>
        <w:t>r</w:t>
      </w:r>
      <w:r w:rsidR="008D2EE6" w:rsidRPr="00F7263B">
        <w:rPr>
          <w:rFonts w:cs="Times New Roman"/>
          <w:iCs/>
          <w:sz w:val="20"/>
          <w:szCs w:val="20"/>
        </w:rPr>
        <w:t>egional governments</w:t>
      </w:r>
      <w:r w:rsidR="00ED50B6" w:rsidRPr="00F7263B">
        <w:rPr>
          <w:rFonts w:cs="Times New Roman"/>
          <w:iCs/>
          <w:sz w:val="20"/>
          <w:szCs w:val="20"/>
        </w:rPr>
        <w:t>, t</w:t>
      </w:r>
      <w:r w:rsidRPr="00F7263B">
        <w:rPr>
          <w:sz w:val="20"/>
          <w:szCs w:val="20"/>
        </w:rPr>
        <w:t>her</w:t>
      </w:r>
      <w:r w:rsidRPr="00F7263B">
        <w:rPr>
          <w:rFonts w:cs="Times New Roman"/>
          <w:sz w:val="20"/>
          <w:szCs w:val="20"/>
        </w:rPr>
        <w:t>e are about 84 ULGs in Ethiopia, the great majority of which have populations of 20,000 or more</w:t>
      </w:r>
      <w:r w:rsidR="00E01557" w:rsidRPr="00F7263B">
        <w:rPr>
          <w:rFonts w:cs="Times New Roman"/>
          <w:sz w:val="20"/>
          <w:szCs w:val="20"/>
        </w:rPr>
        <w:t xml:space="preserve">.  </w:t>
      </w:r>
    </w:p>
    <w:p w:rsidR="00ED50B6" w:rsidRPr="00F7263B" w:rsidRDefault="00ED50B6" w:rsidP="00380EF7">
      <w:pPr>
        <w:pStyle w:val="ListParagraph"/>
        <w:rPr>
          <w:rFonts w:cs="Times New Roman"/>
          <w:sz w:val="20"/>
          <w:szCs w:val="20"/>
        </w:rPr>
      </w:pPr>
    </w:p>
    <w:p w:rsidR="00ED50B6" w:rsidRPr="00F7263B" w:rsidRDefault="00ED50B6" w:rsidP="00380EF7">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 xml:space="preserve">In Ethiopia, ULGs are the main providers of </w:t>
      </w:r>
      <w:r w:rsidR="007420C1" w:rsidRPr="00F7263B">
        <w:rPr>
          <w:rFonts w:cs="Times New Roman"/>
          <w:b/>
          <w:sz w:val="20"/>
          <w:szCs w:val="20"/>
        </w:rPr>
        <w:t xml:space="preserve">urban </w:t>
      </w:r>
      <w:r w:rsidRPr="00F7263B">
        <w:rPr>
          <w:rFonts w:cs="Times New Roman"/>
          <w:b/>
          <w:sz w:val="20"/>
          <w:szCs w:val="20"/>
        </w:rPr>
        <w:t>services</w:t>
      </w:r>
      <w:r w:rsidR="00E01557" w:rsidRPr="00F7263B">
        <w:rPr>
          <w:rFonts w:cs="Times New Roman"/>
          <w:b/>
          <w:sz w:val="20"/>
          <w:szCs w:val="20"/>
        </w:rPr>
        <w:t xml:space="preserve">.  </w:t>
      </w:r>
      <w:r w:rsidRPr="00F7263B">
        <w:rPr>
          <w:rFonts w:cs="Times New Roman"/>
          <w:sz w:val="20"/>
          <w:szCs w:val="20"/>
        </w:rPr>
        <w:t>ULGs are managed by city administrations and have a long list of institutional mandates and responsibilities</w:t>
      </w:r>
      <w:r w:rsidR="00356F64" w:rsidRPr="00F7263B">
        <w:rPr>
          <w:rFonts w:cs="Times New Roman"/>
          <w:sz w:val="20"/>
          <w:szCs w:val="20"/>
        </w:rPr>
        <w:t>,</w:t>
      </w:r>
      <w:r w:rsidRPr="00F7263B">
        <w:rPr>
          <w:rFonts w:cs="Times New Roman"/>
          <w:sz w:val="20"/>
          <w:szCs w:val="20"/>
        </w:rPr>
        <w:t xml:space="preserve"> which include both the</w:t>
      </w:r>
      <w:r w:rsidR="004D2289" w:rsidRPr="00F7263B">
        <w:rPr>
          <w:rFonts w:cs="Times New Roman"/>
          <w:sz w:val="20"/>
          <w:szCs w:val="20"/>
        </w:rPr>
        <w:t>“</w:t>
      </w:r>
      <w:r w:rsidR="004D2289">
        <w:rPr>
          <w:rFonts w:cs="Times New Roman"/>
          <w:sz w:val="20"/>
          <w:szCs w:val="20"/>
        </w:rPr>
        <w:t>state</w:t>
      </w:r>
      <w:r w:rsidRPr="00F7263B">
        <w:rPr>
          <w:rFonts w:cs="Times New Roman"/>
          <w:sz w:val="20"/>
          <w:szCs w:val="20"/>
        </w:rPr>
        <w:t>” (</w:t>
      </w:r>
      <w:r w:rsidR="00356F64" w:rsidRPr="00F7263B">
        <w:rPr>
          <w:rFonts w:cs="Times New Roman"/>
          <w:sz w:val="20"/>
          <w:szCs w:val="20"/>
        </w:rPr>
        <w:t>including</w:t>
      </w:r>
      <w:r w:rsidRPr="00F7263B">
        <w:rPr>
          <w:rFonts w:cs="Times New Roman"/>
          <w:sz w:val="20"/>
          <w:szCs w:val="20"/>
        </w:rPr>
        <w:t>education and health, among others) and “municipal” functions (</w:t>
      </w:r>
      <w:r w:rsidR="00356F64" w:rsidRPr="00F7263B">
        <w:rPr>
          <w:rFonts w:cs="Times New Roman"/>
          <w:sz w:val="20"/>
          <w:szCs w:val="20"/>
        </w:rPr>
        <w:t>including</w:t>
      </w:r>
      <w:r w:rsidR="004D2289">
        <w:rPr>
          <w:rFonts w:cs="Times New Roman"/>
          <w:sz w:val="20"/>
          <w:szCs w:val="20"/>
        </w:rPr>
        <w:t xml:space="preserve"> </w:t>
      </w:r>
      <w:r w:rsidRPr="00F7263B">
        <w:rPr>
          <w:rFonts w:cs="Times New Roman"/>
          <w:sz w:val="20"/>
          <w:szCs w:val="20"/>
        </w:rPr>
        <w:t>infrastructure and other services such as urban transport, urban roads, solid waste management and abattoirs)</w:t>
      </w:r>
      <w:r w:rsidR="00E01557" w:rsidRPr="00F7263B">
        <w:rPr>
          <w:rFonts w:cs="Times New Roman"/>
          <w:sz w:val="20"/>
          <w:szCs w:val="20"/>
        </w:rPr>
        <w:t xml:space="preserve">.  </w:t>
      </w:r>
      <w:r w:rsidRPr="00F7263B">
        <w:rPr>
          <w:rFonts w:cs="Times New Roman"/>
          <w:sz w:val="20"/>
          <w:szCs w:val="20"/>
        </w:rPr>
        <w:t xml:space="preserve">State functions are delegated from </w:t>
      </w:r>
      <w:r w:rsidR="00E01557" w:rsidRPr="00F7263B">
        <w:rPr>
          <w:rFonts w:cs="Times New Roman"/>
          <w:sz w:val="20"/>
          <w:szCs w:val="20"/>
        </w:rPr>
        <w:t>r</w:t>
      </w:r>
      <w:r w:rsidR="008D2EE6" w:rsidRPr="00F7263B">
        <w:rPr>
          <w:rFonts w:cs="Times New Roman"/>
          <w:sz w:val="20"/>
          <w:szCs w:val="20"/>
        </w:rPr>
        <w:t>egional governments</w:t>
      </w:r>
      <w:r w:rsidRPr="00F7263B">
        <w:rPr>
          <w:rFonts w:cs="Times New Roman"/>
          <w:sz w:val="20"/>
          <w:szCs w:val="20"/>
        </w:rPr>
        <w:t xml:space="preserve"> to ULGs, whereas municipal functions are considered to be the exclusive functions of ULGs</w:t>
      </w:r>
      <w:r w:rsidR="00E01557" w:rsidRPr="00F7263B">
        <w:rPr>
          <w:rFonts w:cs="Times New Roman"/>
          <w:sz w:val="20"/>
          <w:szCs w:val="20"/>
        </w:rPr>
        <w:t xml:space="preserve">.  </w:t>
      </w:r>
      <w:r w:rsidRPr="00F7263B">
        <w:rPr>
          <w:rFonts w:cs="Times New Roman"/>
          <w:sz w:val="20"/>
          <w:szCs w:val="20"/>
        </w:rPr>
        <w:t xml:space="preserve">ULGs generally receive transfers in the form of block grants/allocations from </w:t>
      </w:r>
      <w:r w:rsidR="00E01557" w:rsidRPr="00F7263B">
        <w:rPr>
          <w:rFonts w:cs="Times New Roman"/>
          <w:sz w:val="20"/>
          <w:szCs w:val="20"/>
        </w:rPr>
        <w:t>r</w:t>
      </w:r>
      <w:r w:rsidR="008D2EE6" w:rsidRPr="00F7263B">
        <w:rPr>
          <w:rFonts w:cs="Times New Roman"/>
          <w:sz w:val="20"/>
          <w:szCs w:val="20"/>
        </w:rPr>
        <w:t>egional governments</w:t>
      </w:r>
      <w:r w:rsidRPr="00F7263B">
        <w:rPr>
          <w:rFonts w:cs="Times New Roman"/>
          <w:sz w:val="20"/>
          <w:szCs w:val="20"/>
        </w:rPr>
        <w:t xml:space="preserve"> in order to fund state functions</w:t>
      </w:r>
      <w:r w:rsidR="00E01557" w:rsidRPr="00F7263B">
        <w:rPr>
          <w:rFonts w:cs="Times New Roman"/>
          <w:sz w:val="20"/>
          <w:szCs w:val="20"/>
        </w:rPr>
        <w:t xml:space="preserve">.  </w:t>
      </w:r>
      <w:r w:rsidRPr="00F7263B">
        <w:rPr>
          <w:rFonts w:cs="Times New Roman"/>
          <w:iCs/>
          <w:sz w:val="20"/>
          <w:szCs w:val="20"/>
        </w:rPr>
        <w:t>However, municipal functions have historically only been funded from municipal own source revenues</w:t>
      </w:r>
      <w:r w:rsidR="00C34269" w:rsidRPr="00F7263B">
        <w:rPr>
          <w:rFonts w:cs="Times New Roman"/>
          <w:iCs/>
          <w:sz w:val="20"/>
          <w:szCs w:val="20"/>
        </w:rPr>
        <w:t>,</w:t>
      </w:r>
      <w:r w:rsidRPr="00F7263B">
        <w:rPr>
          <w:rFonts w:cs="Times New Roman"/>
          <w:sz w:val="20"/>
          <w:szCs w:val="20"/>
        </w:rPr>
        <w:t xml:space="preserve"> which are meager at best</w:t>
      </w:r>
      <w:r w:rsidR="00E01557" w:rsidRPr="00F7263B">
        <w:rPr>
          <w:rFonts w:cs="Times New Roman"/>
          <w:sz w:val="20"/>
          <w:szCs w:val="20"/>
        </w:rPr>
        <w:t xml:space="preserve">.  </w:t>
      </w:r>
      <w:r w:rsidRPr="00F7263B">
        <w:rPr>
          <w:rFonts w:cs="Times New Roman"/>
          <w:sz w:val="20"/>
          <w:szCs w:val="20"/>
        </w:rPr>
        <w:t xml:space="preserve">This </w:t>
      </w:r>
      <w:r w:rsidR="001450B6" w:rsidRPr="00F7263B">
        <w:rPr>
          <w:rFonts w:cs="Times New Roman"/>
          <w:sz w:val="20"/>
          <w:szCs w:val="20"/>
        </w:rPr>
        <w:t xml:space="preserve">fiscal gap </w:t>
      </w:r>
      <w:r w:rsidRPr="00F7263B">
        <w:rPr>
          <w:rFonts w:cs="Times New Roman"/>
          <w:sz w:val="20"/>
          <w:szCs w:val="20"/>
        </w:rPr>
        <w:t>is compounded by the rapid urbanization in the country</w:t>
      </w:r>
      <w:r w:rsidR="00E01557" w:rsidRPr="00F7263B">
        <w:rPr>
          <w:rFonts w:cs="Times New Roman"/>
          <w:sz w:val="20"/>
          <w:szCs w:val="20"/>
        </w:rPr>
        <w:t xml:space="preserve">.  </w:t>
      </w:r>
    </w:p>
    <w:p w:rsidR="00F84358" w:rsidRPr="00F7263B" w:rsidRDefault="00F84358" w:rsidP="00380EF7">
      <w:pPr>
        <w:pStyle w:val="ListParagraph"/>
        <w:autoSpaceDE w:val="0"/>
        <w:autoSpaceDN w:val="0"/>
        <w:adjustRightInd w:val="0"/>
        <w:ind w:left="0"/>
        <w:jc w:val="both"/>
        <w:rPr>
          <w:rFonts w:cs="Times New Roman"/>
          <w:sz w:val="20"/>
          <w:szCs w:val="20"/>
        </w:rPr>
      </w:pPr>
    </w:p>
    <w:p w:rsidR="000E2353" w:rsidRPr="00F7263B" w:rsidRDefault="00291BC2" w:rsidP="00380EF7">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 xml:space="preserve">Currently, </w:t>
      </w:r>
      <w:r w:rsidR="000E2353" w:rsidRPr="00F7263B">
        <w:rPr>
          <w:rFonts w:cs="Times New Roman"/>
          <w:b/>
          <w:sz w:val="20"/>
          <w:szCs w:val="20"/>
        </w:rPr>
        <w:t xml:space="preserve">Ethiopia </w:t>
      </w:r>
      <w:r w:rsidRPr="00F7263B">
        <w:rPr>
          <w:rFonts w:cs="Times New Roman"/>
          <w:b/>
          <w:sz w:val="20"/>
          <w:szCs w:val="20"/>
        </w:rPr>
        <w:t xml:space="preserve">is </w:t>
      </w:r>
      <w:r w:rsidR="000E2353" w:rsidRPr="00F7263B">
        <w:rPr>
          <w:rFonts w:cs="Times New Roman"/>
          <w:b/>
          <w:iCs/>
          <w:sz w:val="20"/>
          <w:szCs w:val="20"/>
        </w:rPr>
        <w:t>urbanizing rapidly</w:t>
      </w:r>
      <w:r w:rsidR="000E2353" w:rsidRPr="00F7263B">
        <w:rPr>
          <w:rFonts w:cs="Times New Roman"/>
          <w:iCs/>
          <w:sz w:val="20"/>
          <w:szCs w:val="20"/>
        </w:rPr>
        <w:t>.</w:t>
      </w:r>
      <w:r w:rsidR="000E2353" w:rsidRPr="00F7263B">
        <w:rPr>
          <w:rStyle w:val="FootnoteReference"/>
          <w:rFonts w:cs="Times New Roman"/>
          <w:sz w:val="20"/>
          <w:szCs w:val="20"/>
        </w:rPr>
        <w:footnoteReference w:id="5"/>
      </w:r>
      <w:r w:rsidR="00697198" w:rsidRPr="00F7263B">
        <w:rPr>
          <w:rFonts w:cs="Times New Roman"/>
          <w:iCs/>
          <w:sz w:val="20"/>
          <w:szCs w:val="20"/>
        </w:rPr>
        <w:t xml:space="preserve">Ethiopia </w:t>
      </w:r>
      <w:r w:rsidR="00C34269" w:rsidRPr="00F7263B">
        <w:rPr>
          <w:rFonts w:cs="Times New Roman"/>
          <w:iCs/>
          <w:sz w:val="20"/>
          <w:szCs w:val="20"/>
        </w:rPr>
        <w:t xml:space="preserve">population </w:t>
      </w:r>
      <w:r w:rsidR="00697198" w:rsidRPr="00F7263B">
        <w:rPr>
          <w:rFonts w:cs="Times New Roman"/>
          <w:iCs/>
          <w:sz w:val="20"/>
          <w:szCs w:val="20"/>
        </w:rPr>
        <w:t xml:space="preserve">in 2012 </w:t>
      </w:r>
      <w:r w:rsidR="00C34269" w:rsidRPr="00F7263B">
        <w:rPr>
          <w:rFonts w:cs="Times New Roman"/>
          <w:iCs/>
          <w:sz w:val="20"/>
          <w:szCs w:val="20"/>
        </w:rPr>
        <w:t>wa</w:t>
      </w:r>
      <w:r w:rsidR="00697198" w:rsidRPr="00F7263B">
        <w:rPr>
          <w:rFonts w:cs="Times New Roman"/>
          <w:iCs/>
          <w:sz w:val="20"/>
          <w:szCs w:val="20"/>
        </w:rPr>
        <w:t xml:space="preserve">s 91.73 million. </w:t>
      </w:r>
      <w:r w:rsidR="002669CE" w:rsidRPr="00F7263B">
        <w:rPr>
          <w:rFonts w:cs="Times New Roman"/>
          <w:iCs/>
          <w:sz w:val="20"/>
          <w:szCs w:val="20"/>
        </w:rPr>
        <w:t>Although only 17 percent of the country</w:t>
      </w:r>
      <w:r w:rsidRPr="00F7263B">
        <w:rPr>
          <w:rFonts w:cs="Times New Roman"/>
          <w:iCs/>
          <w:sz w:val="20"/>
          <w:szCs w:val="20"/>
        </w:rPr>
        <w:t xml:space="preserve"> is urbanized</w:t>
      </w:r>
      <w:r w:rsidR="000E2353" w:rsidRPr="00F7263B">
        <w:rPr>
          <w:rFonts w:cs="Times New Roman"/>
          <w:iCs/>
          <w:sz w:val="20"/>
          <w:szCs w:val="20"/>
        </w:rPr>
        <w:t xml:space="preserve">, Ethiopia’s urban population is growing at </w:t>
      </w:r>
      <w:r w:rsidR="000E2353" w:rsidRPr="00F7263B">
        <w:rPr>
          <w:rFonts w:cs="Times New Roman"/>
          <w:sz w:val="20"/>
          <w:szCs w:val="20"/>
        </w:rPr>
        <w:t xml:space="preserve">about </w:t>
      </w:r>
      <w:r w:rsidR="00C518AF" w:rsidRPr="00F7263B">
        <w:rPr>
          <w:rFonts w:cs="Times New Roman"/>
          <w:sz w:val="20"/>
          <w:szCs w:val="20"/>
        </w:rPr>
        <w:t>3</w:t>
      </w:r>
      <w:r w:rsidR="000E2353" w:rsidRPr="00F7263B">
        <w:rPr>
          <w:rFonts w:cs="Times New Roman"/>
          <w:sz w:val="20"/>
          <w:szCs w:val="20"/>
        </w:rPr>
        <w:t>.</w:t>
      </w:r>
      <w:r w:rsidR="00C518AF" w:rsidRPr="00F7263B">
        <w:rPr>
          <w:rFonts w:cs="Times New Roman"/>
          <w:sz w:val="20"/>
          <w:szCs w:val="20"/>
        </w:rPr>
        <w:t>6</w:t>
      </w:r>
      <w:r w:rsidR="000E2353" w:rsidRPr="00F7263B">
        <w:rPr>
          <w:rFonts w:cs="Times New Roman"/>
          <w:sz w:val="20"/>
          <w:szCs w:val="20"/>
        </w:rPr>
        <w:t xml:space="preserve"> percent per year</w:t>
      </w:r>
      <w:r w:rsidR="00C34269" w:rsidRPr="00F7263B">
        <w:rPr>
          <w:rFonts w:cs="Times New Roman"/>
          <w:sz w:val="20"/>
          <w:szCs w:val="20"/>
        </w:rPr>
        <w:t>,</w:t>
      </w:r>
      <w:r w:rsidRPr="00F7263B">
        <w:rPr>
          <w:rFonts w:cs="Times New Roman"/>
          <w:sz w:val="20"/>
          <w:szCs w:val="20"/>
        </w:rPr>
        <w:t>placing Ethiopia among the fastest urbanizing countries in Sub-Saharan Africa</w:t>
      </w:r>
      <w:r w:rsidR="0044470D" w:rsidRPr="00F7263B">
        <w:rPr>
          <w:rFonts w:cs="Times New Roman"/>
          <w:sz w:val="20"/>
          <w:szCs w:val="20"/>
        </w:rPr>
        <w:t xml:space="preserve"> (see table below)</w:t>
      </w:r>
      <w:r w:rsidR="00356F64" w:rsidRPr="00F7263B">
        <w:rPr>
          <w:rFonts w:cs="Times New Roman"/>
          <w:sz w:val="20"/>
          <w:szCs w:val="20"/>
        </w:rPr>
        <w:t>.</w:t>
      </w:r>
      <w:r w:rsidR="00C34269" w:rsidRPr="00F7263B">
        <w:rPr>
          <w:rStyle w:val="FootnoteReference"/>
          <w:rFonts w:cs="Times New Roman"/>
          <w:sz w:val="20"/>
          <w:szCs w:val="20"/>
        </w:rPr>
        <w:footnoteReference w:id="6"/>
      </w:r>
      <w:r w:rsidR="000E2353" w:rsidRPr="00F7263B">
        <w:rPr>
          <w:rFonts w:cs="Times New Roman"/>
          <w:sz w:val="20"/>
          <w:szCs w:val="20"/>
        </w:rPr>
        <w:t>It is estimated that the proportion of the population living in urban areas will rise to 19 percent in 2020 and to 23 percent in 2030</w:t>
      </w:r>
      <w:r w:rsidR="00356F64" w:rsidRPr="00F7263B">
        <w:rPr>
          <w:rFonts w:cs="Times New Roman"/>
          <w:sz w:val="20"/>
          <w:szCs w:val="20"/>
        </w:rPr>
        <w:t xml:space="preserve">.  </w:t>
      </w:r>
      <w:r w:rsidR="001D65D1" w:rsidRPr="00F7263B">
        <w:rPr>
          <w:rFonts w:cs="Times New Roman"/>
          <w:sz w:val="20"/>
          <w:szCs w:val="20"/>
        </w:rPr>
        <w:t xml:space="preserve">Ethiopia’s </w:t>
      </w:r>
      <w:r w:rsidR="00B75B54" w:rsidRPr="00F7263B">
        <w:rPr>
          <w:rFonts w:cs="Times New Roman"/>
          <w:sz w:val="20"/>
          <w:szCs w:val="20"/>
        </w:rPr>
        <w:t>rapid</w:t>
      </w:r>
      <w:r w:rsidR="001D6172" w:rsidRPr="00F7263B">
        <w:rPr>
          <w:rFonts w:cs="Times New Roman"/>
          <w:sz w:val="20"/>
          <w:szCs w:val="20"/>
        </w:rPr>
        <w:t>ly</w:t>
      </w:r>
      <w:r w:rsidR="00B75B54" w:rsidRPr="00F7263B">
        <w:rPr>
          <w:rFonts w:cs="Times New Roman"/>
          <w:sz w:val="20"/>
          <w:szCs w:val="20"/>
        </w:rPr>
        <w:t xml:space="preserve"> urbanizing </w:t>
      </w:r>
      <w:r w:rsidR="001D65D1" w:rsidRPr="00F7263B">
        <w:rPr>
          <w:rFonts w:cs="Times New Roman"/>
          <w:sz w:val="20"/>
          <w:szCs w:val="20"/>
        </w:rPr>
        <w:t>cities are key d</w:t>
      </w:r>
      <w:r w:rsidR="00311B6C" w:rsidRPr="00F7263B">
        <w:rPr>
          <w:rFonts w:cs="Times New Roman"/>
          <w:sz w:val="20"/>
          <w:szCs w:val="20"/>
        </w:rPr>
        <w:t>rivers of its economic growth</w:t>
      </w:r>
      <w:r w:rsidR="00356F64" w:rsidRPr="00F7263B">
        <w:rPr>
          <w:rFonts w:cs="Times New Roman"/>
          <w:sz w:val="20"/>
          <w:szCs w:val="20"/>
        </w:rPr>
        <w:t xml:space="preserve">.  </w:t>
      </w:r>
      <w:r w:rsidR="001D65D1" w:rsidRPr="00F7263B">
        <w:rPr>
          <w:rFonts w:cs="Times New Roman"/>
          <w:sz w:val="20"/>
          <w:szCs w:val="20"/>
        </w:rPr>
        <w:t>No country has advanced to middle income status without significant urbanization and industrialization and if Ethiopia is to reach middle income, it needs to exploit the opportunities for generating the agglomeration economies associated with urbanization</w:t>
      </w:r>
      <w:r w:rsidR="00356F64" w:rsidRPr="00F7263B">
        <w:rPr>
          <w:rFonts w:cs="Times New Roman"/>
          <w:sz w:val="20"/>
          <w:szCs w:val="20"/>
        </w:rPr>
        <w:t xml:space="preserve">.  </w:t>
      </w:r>
      <w:r w:rsidR="00037587" w:rsidRPr="00F7263B">
        <w:rPr>
          <w:rFonts w:cs="Times New Roman"/>
          <w:sz w:val="20"/>
          <w:szCs w:val="20"/>
        </w:rPr>
        <w:t>U</w:t>
      </w:r>
      <w:r w:rsidR="001D65D1" w:rsidRPr="00F7263B">
        <w:rPr>
          <w:rFonts w:cs="Times New Roman"/>
          <w:sz w:val="20"/>
          <w:szCs w:val="20"/>
        </w:rPr>
        <w:t xml:space="preserve">rban areas are estimated to now account for over 58 percent of </w:t>
      </w:r>
      <w:r w:rsidR="00311B6C" w:rsidRPr="00F7263B">
        <w:rPr>
          <w:rFonts w:cs="Times New Roman"/>
          <w:sz w:val="20"/>
          <w:szCs w:val="20"/>
        </w:rPr>
        <w:t xml:space="preserve">gross domestic product (GDP) </w:t>
      </w:r>
      <w:r w:rsidR="001D65D1" w:rsidRPr="00F7263B">
        <w:rPr>
          <w:rFonts w:cs="Times New Roman"/>
          <w:sz w:val="20"/>
          <w:szCs w:val="20"/>
        </w:rPr>
        <w:t xml:space="preserve">and </w:t>
      </w:r>
      <w:r w:rsidR="00037587" w:rsidRPr="00F7263B">
        <w:rPr>
          <w:rFonts w:cs="Times New Roman"/>
          <w:sz w:val="20"/>
          <w:szCs w:val="20"/>
        </w:rPr>
        <w:t xml:space="preserve">to generate </w:t>
      </w:r>
      <w:r w:rsidR="001D65D1" w:rsidRPr="00F7263B">
        <w:rPr>
          <w:rFonts w:cs="Times New Roman"/>
          <w:sz w:val="20"/>
          <w:szCs w:val="20"/>
        </w:rPr>
        <w:t xml:space="preserve">about 80 percent of the growth in </w:t>
      </w:r>
      <w:r w:rsidR="00356F64" w:rsidRPr="00F7263B">
        <w:rPr>
          <w:rFonts w:cs="Times New Roman"/>
          <w:sz w:val="20"/>
          <w:szCs w:val="20"/>
        </w:rPr>
        <w:t xml:space="preserve">GPD.  </w:t>
      </w:r>
      <w:r w:rsidR="001D65D1" w:rsidRPr="00F7263B">
        <w:rPr>
          <w:rFonts w:cs="Times New Roman"/>
          <w:sz w:val="20"/>
          <w:szCs w:val="20"/>
        </w:rPr>
        <w:t>Urban areas are expected to continue driving Ethiopia’s economic growth for the foreseeable future</w:t>
      </w:r>
      <w:r w:rsidR="00356F64" w:rsidRPr="00F7263B">
        <w:rPr>
          <w:rFonts w:cs="Times New Roman"/>
          <w:sz w:val="20"/>
          <w:szCs w:val="20"/>
        </w:rPr>
        <w:t xml:space="preserve">.  </w:t>
      </w:r>
      <w:r w:rsidR="001D65D1" w:rsidRPr="00F7263B">
        <w:rPr>
          <w:rFonts w:cs="Times New Roman"/>
          <w:sz w:val="20"/>
          <w:szCs w:val="20"/>
        </w:rPr>
        <w:t>In addition, urbanization offers new opportunities to improve education, health, and other public services, as more concentrated populations are easier to reach</w:t>
      </w:r>
      <w:r w:rsidR="00356F64" w:rsidRPr="00F7263B">
        <w:rPr>
          <w:rFonts w:cs="Times New Roman"/>
          <w:sz w:val="20"/>
          <w:szCs w:val="20"/>
        </w:rPr>
        <w:t xml:space="preserve">.  </w:t>
      </w:r>
    </w:p>
    <w:p w:rsidR="00183A6C" w:rsidRPr="00F7263B" w:rsidRDefault="00183A6C" w:rsidP="00556F1B">
      <w:pPr>
        <w:jc w:val="both"/>
        <w:rPr>
          <w:b/>
          <w:sz w:val="20"/>
          <w:szCs w:val="20"/>
        </w:rPr>
      </w:pPr>
    </w:p>
    <w:p w:rsidR="000E2353" w:rsidRPr="00F7263B" w:rsidRDefault="00B3520B" w:rsidP="00B3520B">
      <w:pPr>
        <w:pStyle w:val="Caption"/>
      </w:pPr>
      <w:bookmarkStart w:id="4" w:name="_Toc380087102"/>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1</w:t>
      </w:r>
      <w:r w:rsidR="00B845BE" w:rsidRPr="00F7263B">
        <w:fldChar w:fldCharType="end"/>
      </w:r>
      <w:r w:rsidRPr="00F7263B">
        <w:t xml:space="preserve">: </w:t>
      </w:r>
      <w:r w:rsidR="00291BC2" w:rsidRPr="00F7263B">
        <w:t xml:space="preserve">Urbanization rates </w:t>
      </w:r>
      <w:r w:rsidRPr="00F7263B">
        <w:t xml:space="preserve">of selected African countries </w:t>
      </w:r>
      <w:r w:rsidR="00291BC2" w:rsidRPr="00F7263B">
        <w:t>(1960</w:t>
      </w:r>
      <w:r w:rsidRPr="00F7263B">
        <w:t>–</w:t>
      </w:r>
      <w:r w:rsidR="00291BC2" w:rsidRPr="00F7263B">
        <w:t>2012)</w:t>
      </w:r>
      <w:bookmarkEnd w:id="4"/>
    </w:p>
    <w:tbl>
      <w:tblPr>
        <w:tblStyle w:val="LightShading"/>
        <w:tblW w:w="9406" w:type="dxa"/>
        <w:jc w:val="center"/>
        <w:tblInd w:w="-758" w:type="dxa"/>
        <w:tblLook w:val="04A0" w:firstRow="1" w:lastRow="0" w:firstColumn="1" w:lastColumn="0" w:noHBand="0" w:noVBand="1"/>
      </w:tblPr>
      <w:tblGrid>
        <w:gridCol w:w="4234"/>
        <w:gridCol w:w="2586"/>
        <w:gridCol w:w="2586"/>
      </w:tblGrid>
      <w:tr w:rsidR="00291BC2" w:rsidRPr="00F7263B">
        <w:trPr>
          <w:cnfStyle w:val="100000000000" w:firstRow="1" w:lastRow="0" w:firstColumn="0" w:lastColumn="0" w:oddVBand="0" w:evenVBand="0" w:oddHBand="0"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234" w:type="dxa"/>
            <w:shd w:val="clear" w:color="auto" w:fill="auto"/>
            <w:noWrap/>
          </w:tcPr>
          <w:p w:rsidR="00291BC2" w:rsidRPr="00F7263B" w:rsidRDefault="00291BC2" w:rsidP="00291BC2">
            <w:pPr>
              <w:spacing w:beforeAutospacing="0"/>
              <w:contextualSpacing/>
              <w:rPr>
                <w:rFonts w:eastAsia="Times New Roman" w:cs="Times New Roman"/>
                <w:color w:val="000000"/>
                <w:sz w:val="20"/>
                <w:szCs w:val="20"/>
              </w:rPr>
            </w:pPr>
          </w:p>
        </w:tc>
        <w:tc>
          <w:tcPr>
            <w:tcW w:w="2586" w:type="dxa"/>
            <w:shd w:val="clear" w:color="auto" w:fill="auto"/>
            <w:noWrap/>
          </w:tcPr>
          <w:p w:rsidR="00291BC2" w:rsidRPr="00F7263B" w:rsidRDefault="00291BC2" w:rsidP="00291BC2">
            <w:pPr>
              <w:spacing w:beforeAutospacing="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rPr>
            </w:pPr>
            <w:r w:rsidRPr="00F7263B">
              <w:rPr>
                <w:rFonts w:eastAsia="Times New Roman" w:cs="Times New Roman"/>
                <w:color w:val="000000"/>
                <w:sz w:val="20"/>
                <w:szCs w:val="20"/>
              </w:rPr>
              <w:t xml:space="preserve">Urban </w:t>
            </w:r>
            <w:r w:rsidR="001C07A4" w:rsidRPr="00F7263B">
              <w:rPr>
                <w:rFonts w:eastAsia="Times New Roman" w:cs="Times New Roman"/>
                <w:color w:val="000000"/>
                <w:sz w:val="20"/>
                <w:szCs w:val="20"/>
              </w:rPr>
              <w:t xml:space="preserve">Population (% ) </w:t>
            </w:r>
            <w:r w:rsidRPr="00F7263B">
              <w:rPr>
                <w:rFonts w:eastAsia="Times New Roman" w:cs="Times New Roman"/>
                <w:color w:val="000000"/>
                <w:sz w:val="20"/>
                <w:szCs w:val="20"/>
              </w:rPr>
              <w:t>2012</w:t>
            </w:r>
            <w:r w:rsidRPr="00F7263B">
              <w:rPr>
                <w:rStyle w:val="FootnoteReference"/>
                <w:rFonts w:eastAsia="Times New Roman" w:cs="Times New Roman"/>
                <w:color w:val="000000"/>
                <w:sz w:val="20"/>
                <w:szCs w:val="20"/>
              </w:rPr>
              <w:footnoteReference w:id="7"/>
            </w:r>
          </w:p>
        </w:tc>
        <w:tc>
          <w:tcPr>
            <w:tcW w:w="2586" w:type="dxa"/>
            <w:shd w:val="clear" w:color="auto" w:fill="auto"/>
          </w:tcPr>
          <w:p w:rsidR="00291BC2" w:rsidRPr="00F7263B" w:rsidRDefault="00291BC2" w:rsidP="00291BC2">
            <w:pPr>
              <w:spacing w:beforeAutospacing="0"/>
              <w:contextualSpacing/>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20"/>
                <w:szCs w:val="20"/>
              </w:rPr>
            </w:pPr>
            <w:r w:rsidRPr="00F7263B">
              <w:rPr>
                <w:rFonts w:eastAsia="Times New Roman" w:cs="Times New Roman"/>
                <w:color w:val="000000"/>
                <w:sz w:val="20"/>
                <w:szCs w:val="20"/>
              </w:rPr>
              <w:t>Urban growth rate (%) 2010</w:t>
            </w:r>
            <w:r w:rsidR="00037587" w:rsidRPr="00F7263B">
              <w:rPr>
                <w:rFonts w:cs="Times New Roman"/>
                <w:sz w:val="20"/>
                <w:szCs w:val="20"/>
              </w:rPr>
              <w:t>–</w:t>
            </w:r>
            <w:r w:rsidRPr="00F7263B">
              <w:rPr>
                <w:rFonts w:eastAsia="Times New Roman" w:cs="Times New Roman"/>
                <w:color w:val="000000"/>
                <w:sz w:val="20"/>
                <w:szCs w:val="20"/>
              </w:rPr>
              <w:t>2015</w:t>
            </w:r>
            <w:r w:rsidRPr="00F7263B">
              <w:rPr>
                <w:rStyle w:val="FootnoteReference"/>
                <w:rFonts w:eastAsia="Times New Roman" w:cs="Times New Roman"/>
                <w:color w:val="000000"/>
                <w:sz w:val="20"/>
                <w:szCs w:val="20"/>
              </w:rPr>
              <w:footnoteReference w:id="8"/>
            </w:r>
          </w:p>
        </w:tc>
      </w:tr>
      <w:tr w:rsidR="00291BC2" w:rsidRPr="00F7263B">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234" w:type="dxa"/>
            <w:shd w:val="clear" w:color="auto" w:fill="auto"/>
            <w:noWrap/>
          </w:tcPr>
          <w:p w:rsidR="00291BC2" w:rsidRPr="00F7263B" w:rsidRDefault="00291BC2" w:rsidP="00291BC2">
            <w:pPr>
              <w:spacing w:beforeAutospacing="0"/>
              <w:contextualSpacing/>
              <w:rPr>
                <w:rFonts w:eastAsia="Times New Roman" w:cs="Times New Roman"/>
                <w:b w:val="0"/>
                <w:bCs w:val="0"/>
                <w:color w:val="000000"/>
                <w:sz w:val="20"/>
                <w:szCs w:val="20"/>
              </w:rPr>
            </w:pPr>
            <w:r w:rsidRPr="00F7263B">
              <w:rPr>
                <w:rFonts w:eastAsia="Times New Roman" w:cs="Times New Roman"/>
                <w:color w:val="000000"/>
                <w:sz w:val="20"/>
                <w:szCs w:val="20"/>
              </w:rPr>
              <w:t>Ethiopia</w:t>
            </w:r>
          </w:p>
        </w:tc>
        <w:tc>
          <w:tcPr>
            <w:tcW w:w="2586" w:type="dxa"/>
            <w:shd w:val="clear" w:color="auto" w:fill="auto"/>
            <w:noWrap/>
          </w:tcPr>
          <w:p w:rsidR="00291BC2" w:rsidRPr="00F7263B" w:rsidRDefault="00291BC2" w:rsidP="00291BC2">
            <w:pPr>
              <w:spacing w:beforeAutospacing="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F7263B">
              <w:rPr>
                <w:rFonts w:eastAsia="Times New Roman" w:cs="Times New Roman"/>
                <w:b/>
                <w:color w:val="000000"/>
                <w:sz w:val="20"/>
                <w:szCs w:val="20"/>
              </w:rPr>
              <w:t>17</w:t>
            </w:r>
          </w:p>
        </w:tc>
        <w:tc>
          <w:tcPr>
            <w:tcW w:w="2586" w:type="dxa"/>
            <w:shd w:val="clear" w:color="auto" w:fill="auto"/>
          </w:tcPr>
          <w:p w:rsidR="00291BC2" w:rsidRPr="00F7263B" w:rsidRDefault="00291BC2" w:rsidP="00291BC2">
            <w:pPr>
              <w:spacing w:beforeAutospacing="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rPr>
            </w:pPr>
            <w:r w:rsidRPr="00F7263B">
              <w:rPr>
                <w:rFonts w:eastAsia="Times New Roman" w:cs="Times New Roman"/>
                <w:b/>
                <w:color w:val="000000"/>
                <w:sz w:val="20"/>
                <w:szCs w:val="20"/>
              </w:rPr>
              <w:t>3.57</w:t>
            </w:r>
          </w:p>
        </w:tc>
      </w:tr>
      <w:tr w:rsidR="00291BC2" w:rsidRPr="00F7263B">
        <w:trPr>
          <w:trHeight w:val="293"/>
          <w:jc w:val="center"/>
        </w:trPr>
        <w:tc>
          <w:tcPr>
            <w:cnfStyle w:val="001000000000" w:firstRow="0" w:lastRow="0" w:firstColumn="1" w:lastColumn="0" w:oddVBand="0" w:evenVBand="0" w:oddHBand="0" w:evenHBand="0" w:firstRowFirstColumn="0" w:firstRowLastColumn="0" w:lastRowFirstColumn="0" w:lastRowLastColumn="0"/>
            <w:tcW w:w="4234" w:type="dxa"/>
            <w:shd w:val="clear" w:color="auto" w:fill="auto"/>
            <w:noWrap/>
          </w:tcPr>
          <w:p w:rsidR="00291BC2" w:rsidRPr="00F7263B" w:rsidRDefault="00291BC2" w:rsidP="00291BC2">
            <w:pPr>
              <w:spacing w:beforeAutospacing="0"/>
              <w:contextualSpacing/>
              <w:rPr>
                <w:rFonts w:eastAsia="Times New Roman" w:cs="Times New Roman"/>
                <w:b w:val="0"/>
                <w:bCs w:val="0"/>
                <w:color w:val="000000"/>
                <w:sz w:val="20"/>
                <w:szCs w:val="20"/>
              </w:rPr>
            </w:pPr>
            <w:r w:rsidRPr="00F7263B">
              <w:rPr>
                <w:rFonts w:eastAsia="Times New Roman" w:cs="Times New Roman"/>
                <w:b w:val="0"/>
                <w:color w:val="000000"/>
                <w:sz w:val="20"/>
                <w:szCs w:val="20"/>
              </w:rPr>
              <w:t>South Africa</w:t>
            </w:r>
          </w:p>
        </w:tc>
        <w:tc>
          <w:tcPr>
            <w:tcW w:w="2586" w:type="dxa"/>
            <w:shd w:val="clear" w:color="auto" w:fill="auto"/>
            <w:noWrap/>
          </w:tcPr>
          <w:p w:rsidR="00291BC2" w:rsidRPr="00F7263B" w:rsidRDefault="00291BC2" w:rsidP="00291BC2">
            <w:pPr>
              <w:spacing w:beforeAutospacing="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62</w:t>
            </w:r>
          </w:p>
        </w:tc>
        <w:tc>
          <w:tcPr>
            <w:tcW w:w="2586" w:type="dxa"/>
            <w:shd w:val="clear" w:color="auto" w:fill="auto"/>
          </w:tcPr>
          <w:p w:rsidR="00291BC2" w:rsidRPr="00F7263B" w:rsidRDefault="00291BC2" w:rsidP="00291BC2">
            <w:pPr>
              <w:spacing w:beforeAutospacing="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1.21</w:t>
            </w:r>
          </w:p>
        </w:tc>
      </w:tr>
      <w:tr w:rsidR="00291BC2" w:rsidRPr="00F7263B">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234" w:type="dxa"/>
            <w:shd w:val="clear" w:color="auto" w:fill="auto"/>
            <w:noWrap/>
          </w:tcPr>
          <w:p w:rsidR="00291BC2" w:rsidRPr="00F7263B" w:rsidRDefault="00291BC2" w:rsidP="00291BC2">
            <w:pPr>
              <w:spacing w:beforeAutospacing="0"/>
              <w:contextualSpacing/>
              <w:rPr>
                <w:rFonts w:eastAsia="Times New Roman" w:cs="Times New Roman"/>
                <w:b w:val="0"/>
                <w:bCs w:val="0"/>
                <w:color w:val="000000"/>
                <w:sz w:val="20"/>
                <w:szCs w:val="20"/>
              </w:rPr>
            </w:pPr>
            <w:r w:rsidRPr="00F7263B">
              <w:rPr>
                <w:rFonts w:eastAsia="Times New Roman" w:cs="Times New Roman"/>
                <w:b w:val="0"/>
                <w:color w:val="000000"/>
                <w:sz w:val="20"/>
                <w:szCs w:val="20"/>
              </w:rPr>
              <w:t>Ghana</w:t>
            </w:r>
          </w:p>
        </w:tc>
        <w:tc>
          <w:tcPr>
            <w:tcW w:w="2586" w:type="dxa"/>
            <w:shd w:val="clear" w:color="auto" w:fill="auto"/>
            <w:noWrap/>
          </w:tcPr>
          <w:p w:rsidR="00291BC2" w:rsidRPr="00F7263B" w:rsidRDefault="00291BC2" w:rsidP="00291BC2">
            <w:pPr>
              <w:spacing w:beforeAutospacing="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53</w:t>
            </w:r>
          </w:p>
        </w:tc>
        <w:tc>
          <w:tcPr>
            <w:tcW w:w="2586" w:type="dxa"/>
            <w:shd w:val="clear" w:color="auto" w:fill="auto"/>
          </w:tcPr>
          <w:p w:rsidR="00291BC2" w:rsidRPr="00F7263B" w:rsidRDefault="00291BC2" w:rsidP="00291BC2">
            <w:pPr>
              <w:spacing w:beforeAutospacing="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3.5</w:t>
            </w:r>
            <w:r w:rsidR="00CD2766" w:rsidRPr="00F7263B">
              <w:rPr>
                <w:rFonts w:eastAsia="Times New Roman" w:cs="Times New Roman"/>
                <w:color w:val="000000"/>
                <w:sz w:val="20"/>
                <w:szCs w:val="20"/>
              </w:rPr>
              <w:t>0</w:t>
            </w:r>
          </w:p>
        </w:tc>
      </w:tr>
      <w:tr w:rsidR="00291BC2" w:rsidRPr="00F7263B">
        <w:trPr>
          <w:trHeight w:val="293"/>
          <w:jc w:val="center"/>
        </w:trPr>
        <w:tc>
          <w:tcPr>
            <w:cnfStyle w:val="001000000000" w:firstRow="0" w:lastRow="0" w:firstColumn="1" w:lastColumn="0" w:oddVBand="0" w:evenVBand="0" w:oddHBand="0" w:evenHBand="0" w:firstRowFirstColumn="0" w:firstRowLastColumn="0" w:lastRowFirstColumn="0" w:lastRowLastColumn="0"/>
            <w:tcW w:w="4234" w:type="dxa"/>
            <w:shd w:val="clear" w:color="auto" w:fill="auto"/>
            <w:noWrap/>
          </w:tcPr>
          <w:p w:rsidR="00291BC2" w:rsidRPr="00F7263B" w:rsidRDefault="00291BC2" w:rsidP="00291BC2">
            <w:pPr>
              <w:spacing w:beforeAutospacing="0"/>
              <w:contextualSpacing/>
              <w:rPr>
                <w:rFonts w:eastAsia="Times New Roman" w:cs="Times New Roman"/>
                <w:b w:val="0"/>
                <w:bCs w:val="0"/>
                <w:color w:val="000000"/>
                <w:sz w:val="20"/>
                <w:szCs w:val="20"/>
              </w:rPr>
            </w:pPr>
            <w:r w:rsidRPr="00F7263B">
              <w:rPr>
                <w:rFonts w:eastAsia="Times New Roman" w:cs="Times New Roman"/>
                <w:b w:val="0"/>
                <w:color w:val="000000"/>
                <w:sz w:val="20"/>
                <w:szCs w:val="20"/>
              </w:rPr>
              <w:t>Sudan</w:t>
            </w:r>
          </w:p>
        </w:tc>
        <w:tc>
          <w:tcPr>
            <w:tcW w:w="2586" w:type="dxa"/>
            <w:shd w:val="clear" w:color="auto" w:fill="auto"/>
            <w:noWrap/>
          </w:tcPr>
          <w:p w:rsidR="00291BC2" w:rsidRPr="00F7263B" w:rsidRDefault="00291BC2" w:rsidP="00291BC2">
            <w:pPr>
              <w:spacing w:beforeAutospacing="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33</w:t>
            </w:r>
          </w:p>
        </w:tc>
        <w:tc>
          <w:tcPr>
            <w:tcW w:w="2586" w:type="dxa"/>
            <w:shd w:val="clear" w:color="auto" w:fill="auto"/>
          </w:tcPr>
          <w:p w:rsidR="00291BC2" w:rsidRPr="00F7263B" w:rsidRDefault="00291BC2" w:rsidP="00291BC2">
            <w:pPr>
              <w:spacing w:beforeAutospacing="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2.6</w:t>
            </w:r>
            <w:r w:rsidR="00CD2766" w:rsidRPr="00F7263B">
              <w:rPr>
                <w:rFonts w:eastAsia="Times New Roman" w:cs="Times New Roman"/>
                <w:color w:val="000000"/>
                <w:sz w:val="20"/>
                <w:szCs w:val="20"/>
              </w:rPr>
              <w:t>0</w:t>
            </w:r>
          </w:p>
        </w:tc>
      </w:tr>
      <w:tr w:rsidR="00291BC2" w:rsidRPr="00F7263B">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4234" w:type="dxa"/>
            <w:shd w:val="clear" w:color="auto" w:fill="auto"/>
            <w:noWrap/>
          </w:tcPr>
          <w:p w:rsidR="00291BC2" w:rsidRPr="00F7263B" w:rsidRDefault="00291BC2" w:rsidP="00291BC2">
            <w:pPr>
              <w:spacing w:beforeAutospacing="0"/>
              <w:contextualSpacing/>
              <w:rPr>
                <w:rFonts w:eastAsia="Times New Roman" w:cs="Times New Roman"/>
                <w:b w:val="0"/>
                <w:bCs w:val="0"/>
                <w:color w:val="000000"/>
                <w:sz w:val="20"/>
                <w:szCs w:val="20"/>
              </w:rPr>
            </w:pPr>
            <w:r w:rsidRPr="00F7263B">
              <w:rPr>
                <w:rFonts w:eastAsia="Times New Roman" w:cs="Times New Roman"/>
                <w:b w:val="0"/>
                <w:color w:val="000000"/>
                <w:sz w:val="20"/>
                <w:szCs w:val="20"/>
              </w:rPr>
              <w:t>Kenya</w:t>
            </w:r>
          </w:p>
        </w:tc>
        <w:tc>
          <w:tcPr>
            <w:tcW w:w="2586" w:type="dxa"/>
            <w:shd w:val="clear" w:color="auto" w:fill="auto"/>
            <w:noWrap/>
          </w:tcPr>
          <w:p w:rsidR="00291BC2" w:rsidRPr="00F7263B" w:rsidRDefault="00291BC2" w:rsidP="00291BC2">
            <w:pPr>
              <w:spacing w:beforeAutospacing="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24</w:t>
            </w:r>
          </w:p>
        </w:tc>
        <w:tc>
          <w:tcPr>
            <w:tcW w:w="2586" w:type="dxa"/>
            <w:shd w:val="clear" w:color="auto" w:fill="auto"/>
          </w:tcPr>
          <w:p w:rsidR="00291BC2" w:rsidRPr="00F7263B" w:rsidRDefault="00291BC2" w:rsidP="00291BC2">
            <w:pPr>
              <w:spacing w:beforeAutospacing="0"/>
              <w:contextualSpacing/>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7263B">
              <w:rPr>
                <w:rFonts w:eastAsia="Times New Roman" w:cs="Times New Roman"/>
                <w:color w:val="000000"/>
                <w:sz w:val="20"/>
                <w:szCs w:val="20"/>
              </w:rPr>
              <w:t>4.36</w:t>
            </w:r>
          </w:p>
        </w:tc>
      </w:tr>
    </w:tbl>
    <w:p w:rsidR="000E2353" w:rsidRPr="00F7263B" w:rsidRDefault="000E2353" w:rsidP="00AF1EAD">
      <w:pPr>
        <w:rPr>
          <w:bCs/>
          <w:sz w:val="20"/>
          <w:szCs w:val="20"/>
        </w:rPr>
      </w:pPr>
      <w:r w:rsidRPr="00F7263B">
        <w:rPr>
          <w:i/>
          <w:sz w:val="20"/>
          <w:szCs w:val="20"/>
        </w:rPr>
        <w:t>Source:</w:t>
      </w:r>
      <w:r w:rsidRPr="00F7263B">
        <w:rPr>
          <w:bCs/>
          <w:sz w:val="20"/>
          <w:szCs w:val="20"/>
        </w:rPr>
        <w:t xml:space="preserve">United Nations.  2012.  </w:t>
      </w:r>
      <w:r w:rsidRPr="00F7263B">
        <w:rPr>
          <w:bCs/>
          <w:i/>
          <w:iCs/>
          <w:sz w:val="20"/>
          <w:szCs w:val="20"/>
        </w:rPr>
        <w:t xml:space="preserve">World Urbanization Prospects, the 2011 Revision.  </w:t>
      </w:r>
      <w:r w:rsidRPr="00F7263B">
        <w:rPr>
          <w:bCs/>
          <w:sz w:val="20"/>
          <w:szCs w:val="20"/>
        </w:rPr>
        <w:t>Department of Economic and Social Affairs, Population Division</w:t>
      </w:r>
      <w:r w:rsidR="005D1960" w:rsidRPr="00F7263B">
        <w:rPr>
          <w:bCs/>
          <w:sz w:val="20"/>
          <w:szCs w:val="20"/>
        </w:rPr>
        <w:t>.</w:t>
      </w:r>
    </w:p>
    <w:p w:rsidR="000E2353" w:rsidRPr="00F7263B" w:rsidRDefault="000E2353" w:rsidP="00556F1B">
      <w:pPr>
        <w:pStyle w:val="ListParagraph"/>
        <w:ind w:left="0"/>
        <w:jc w:val="both"/>
        <w:rPr>
          <w:rFonts w:cs="Times New Roman"/>
          <w:sz w:val="20"/>
          <w:szCs w:val="20"/>
        </w:rPr>
      </w:pPr>
    </w:p>
    <w:p w:rsidR="00E2410F" w:rsidRPr="00F7263B" w:rsidRDefault="001450B6" w:rsidP="00C851D1">
      <w:pPr>
        <w:pStyle w:val="ListParagraph"/>
        <w:numPr>
          <w:ilvl w:val="0"/>
          <w:numId w:val="9"/>
        </w:numPr>
        <w:spacing w:before="100" w:beforeAutospacing="1"/>
        <w:ind w:left="0" w:firstLine="0"/>
        <w:jc w:val="both"/>
        <w:rPr>
          <w:rFonts w:cs="Times New Roman"/>
          <w:b/>
          <w:sz w:val="20"/>
          <w:szCs w:val="20"/>
        </w:rPr>
      </w:pPr>
      <w:r w:rsidRPr="00F7263B">
        <w:rPr>
          <w:rFonts w:cs="Times New Roman"/>
          <w:b/>
          <w:sz w:val="20"/>
          <w:szCs w:val="20"/>
        </w:rPr>
        <w:t xml:space="preserve">However, </w:t>
      </w:r>
      <w:r w:rsidR="0015440E" w:rsidRPr="00F7263B">
        <w:rPr>
          <w:rFonts w:cs="Times New Roman"/>
          <w:b/>
          <w:sz w:val="20"/>
          <w:szCs w:val="20"/>
        </w:rPr>
        <w:t xml:space="preserve">the urban local government </w:t>
      </w:r>
      <w:r w:rsidRPr="00F7263B">
        <w:rPr>
          <w:rFonts w:cs="Times New Roman"/>
          <w:b/>
          <w:sz w:val="20"/>
          <w:szCs w:val="20"/>
        </w:rPr>
        <w:t xml:space="preserve">institutional systems and </w:t>
      </w:r>
      <w:r w:rsidR="0015440E" w:rsidRPr="00F7263B">
        <w:rPr>
          <w:rFonts w:cs="Times New Roman"/>
          <w:b/>
          <w:sz w:val="20"/>
          <w:szCs w:val="20"/>
        </w:rPr>
        <w:t xml:space="preserve">urban </w:t>
      </w:r>
      <w:r w:rsidRPr="00F7263B">
        <w:rPr>
          <w:rFonts w:cs="Times New Roman"/>
          <w:b/>
          <w:sz w:val="20"/>
          <w:szCs w:val="20"/>
        </w:rPr>
        <w:t>infrastructure have notkept pace with the rapid urbanization</w:t>
      </w:r>
      <w:r w:rsidR="00356F64" w:rsidRPr="00F7263B">
        <w:rPr>
          <w:rFonts w:cs="Times New Roman"/>
          <w:b/>
          <w:sz w:val="20"/>
          <w:szCs w:val="20"/>
        </w:rPr>
        <w:t xml:space="preserve">.  </w:t>
      </w:r>
      <w:r w:rsidR="00356F64" w:rsidRPr="00F7263B">
        <w:rPr>
          <w:rFonts w:cs="Times New Roman"/>
          <w:sz w:val="20"/>
          <w:szCs w:val="20"/>
        </w:rPr>
        <w:t>F</w:t>
      </w:r>
      <w:r w:rsidR="0015440E" w:rsidRPr="00F7263B">
        <w:rPr>
          <w:rFonts w:cs="Times New Roman"/>
          <w:sz w:val="20"/>
          <w:szCs w:val="20"/>
        </w:rPr>
        <w:t>or the opportunities presented by rapid urbanization to</w:t>
      </w:r>
      <w:r w:rsidR="00974C63" w:rsidRPr="00F7263B">
        <w:rPr>
          <w:rFonts w:cs="Times New Roman"/>
          <w:sz w:val="20"/>
          <w:szCs w:val="20"/>
        </w:rPr>
        <w:t xml:space="preserve"> contribute to economic growth, </w:t>
      </w:r>
      <w:r w:rsidRPr="00F7263B">
        <w:rPr>
          <w:rFonts w:cs="Times New Roman"/>
          <w:sz w:val="20"/>
          <w:szCs w:val="20"/>
        </w:rPr>
        <w:t xml:space="preserve">service delivery </w:t>
      </w:r>
      <w:r w:rsidR="00974C63" w:rsidRPr="00F7263B">
        <w:rPr>
          <w:rFonts w:cs="Times New Roman"/>
          <w:sz w:val="20"/>
          <w:szCs w:val="20"/>
        </w:rPr>
        <w:t>needs to be improved significantly and urban</w:t>
      </w:r>
      <w:r w:rsidRPr="00F7263B">
        <w:rPr>
          <w:rFonts w:cs="Times New Roman"/>
          <w:sz w:val="20"/>
          <w:szCs w:val="20"/>
        </w:rPr>
        <w:t xml:space="preserve"> infrastructure</w:t>
      </w:r>
      <w:r w:rsidR="00974C63" w:rsidRPr="00F7263B">
        <w:rPr>
          <w:rFonts w:cs="Times New Roman"/>
          <w:sz w:val="20"/>
          <w:szCs w:val="20"/>
        </w:rPr>
        <w:t xml:space="preserve"> needs to be </w:t>
      </w:r>
      <w:r w:rsidR="00E527A6" w:rsidRPr="00F7263B">
        <w:rPr>
          <w:rFonts w:cs="Times New Roman"/>
          <w:sz w:val="20"/>
          <w:szCs w:val="20"/>
        </w:rPr>
        <w:t xml:space="preserve">created and </w:t>
      </w:r>
      <w:r w:rsidR="00974C63" w:rsidRPr="00F7263B">
        <w:rPr>
          <w:rFonts w:cs="Times New Roman"/>
          <w:sz w:val="20"/>
          <w:szCs w:val="20"/>
        </w:rPr>
        <w:t>managed properly</w:t>
      </w:r>
      <w:r w:rsidR="00356F64" w:rsidRPr="00F7263B">
        <w:rPr>
          <w:rFonts w:cs="Times New Roman"/>
          <w:sz w:val="20"/>
          <w:szCs w:val="20"/>
        </w:rPr>
        <w:t xml:space="preserve">.  </w:t>
      </w:r>
      <w:r w:rsidR="00974C63" w:rsidRPr="00F7263B">
        <w:rPr>
          <w:rFonts w:cs="Times New Roman"/>
          <w:sz w:val="20"/>
          <w:szCs w:val="20"/>
        </w:rPr>
        <w:t>In Ethiopia, these mandates rest with urban local governments</w:t>
      </w:r>
      <w:r w:rsidR="00E527A6" w:rsidRPr="00F7263B">
        <w:rPr>
          <w:rFonts w:cs="Times New Roman"/>
          <w:sz w:val="20"/>
          <w:szCs w:val="20"/>
        </w:rPr>
        <w:t>.  However</w:t>
      </w:r>
      <w:r w:rsidR="00C54863" w:rsidRPr="00F7263B">
        <w:rPr>
          <w:rFonts w:cs="Times New Roman"/>
          <w:sz w:val="20"/>
          <w:szCs w:val="20"/>
        </w:rPr>
        <w:t xml:space="preserve">, a significant </w:t>
      </w:r>
      <w:r w:rsidR="002C5D4A" w:rsidRPr="00F7263B">
        <w:rPr>
          <w:rFonts w:cs="Times New Roman"/>
          <w:sz w:val="20"/>
          <w:szCs w:val="20"/>
        </w:rPr>
        <w:t xml:space="preserve">institutional and </w:t>
      </w:r>
      <w:r w:rsidR="00C54863" w:rsidRPr="00F7263B">
        <w:rPr>
          <w:rFonts w:cs="Times New Roman"/>
          <w:sz w:val="20"/>
          <w:szCs w:val="20"/>
        </w:rPr>
        <w:t xml:space="preserve">fiscal gap has emerged with respect to the </w:t>
      </w:r>
      <w:r w:rsidR="002C5D4A" w:rsidRPr="00F7263B">
        <w:rPr>
          <w:rFonts w:cs="Times New Roman"/>
          <w:sz w:val="20"/>
          <w:szCs w:val="20"/>
        </w:rPr>
        <w:t xml:space="preserve">provision of </w:t>
      </w:r>
      <w:r w:rsidR="00C54863" w:rsidRPr="00F7263B">
        <w:rPr>
          <w:rFonts w:cs="Times New Roman"/>
          <w:sz w:val="20"/>
          <w:szCs w:val="20"/>
        </w:rPr>
        <w:t>basic urban services and infrastructure</w:t>
      </w:r>
      <w:r w:rsidR="002C5D4A" w:rsidRPr="00F7263B">
        <w:rPr>
          <w:rFonts w:cs="Times New Roman"/>
          <w:sz w:val="20"/>
          <w:szCs w:val="20"/>
        </w:rPr>
        <w:t xml:space="preserve"> development in cities</w:t>
      </w:r>
      <w:r w:rsidR="00356F64" w:rsidRPr="00F7263B">
        <w:rPr>
          <w:rFonts w:cs="Times New Roman"/>
          <w:sz w:val="20"/>
          <w:szCs w:val="20"/>
        </w:rPr>
        <w:t xml:space="preserve">.  </w:t>
      </w:r>
    </w:p>
    <w:p w:rsidR="00E2410F" w:rsidRPr="00F7263B" w:rsidRDefault="00E2410F" w:rsidP="00380EF7">
      <w:pPr>
        <w:pStyle w:val="ListParagraph"/>
        <w:spacing w:before="100" w:beforeAutospacing="1"/>
        <w:ind w:left="0"/>
        <w:jc w:val="both"/>
        <w:rPr>
          <w:rFonts w:cs="Times New Roman"/>
          <w:b/>
          <w:sz w:val="20"/>
          <w:szCs w:val="20"/>
        </w:rPr>
      </w:pPr>
    </w:p>
    <w:p w:rsidR="00356F64" w:rsidRPr="00F7263B" w:rsidRDefault="00374751" w:rsidP="00380EF7">
      <w:pPr>
        <w:pStyle w:val="ListParagraph"/>
        <w:numPr>
          <w:ilvl w:val="0"/>
          <w:numId w:val="9"/>
        </w:numPr>
        <w:spacing w:before="100" w:beforeAutospacing="1"/>
        <w:ind w:left="0" w:firstLine="0"/>
        <w:jc w:val="both"/>
        <w:rPr>
          <w:rFonts w:cs="Times New Roman"/>
          <w:b/>
          <w:sz w:val="20"/>
          <w:szCs w:val="20"/>
        </w:rPr>
      </w:pPr>
      <w:r w:rsidRPr="00F7263B">
        <w:rPr>
          <w:rFonts w:cs="Times New Roman"/>
          <w:b/>
          <w:sz w:val="20"/>
          <w:szCs w:val="20"/>
        </w:rPr>
        <w:t>ULG</w:t>
      </w:r>
      <w:r w:rsidR="00D4796C" w:rsidRPr="00F7263B">
        <w:rPr>
          <w:rFonts w:cs="Times New Roman"/>
          <w:b/>
          <w:sz w:val="20"/>
          <w:szCs w:val="20"/>
        </w:rPr>
        <w:t>s face several institutional challenges.</w:t>
      </w:r>
      <w:r w:rsidR="004D2289">
        <w:rPr>
          <w:rFonts w:cs="Times New Roman"/>
          <w:b/>
          <w:sz w:val="20"/>
          <w:szCs w:val="20"/>
        </w:rPr>
        <w:t xml:space="preserve"> </w:t>
      </w:r>
      <w:r w:rsidR="00D4796C" w:rsidRPr="00F7263B">
        <w:rPr>
          <w:rFonts w:cs="Times New Roman"/>
          <w:sz w:val="20"/>
          <w:szCs w:val="20"/>
        </w:rPr>
        <w:t>These</w:t>
      </w:r>
      <w:r w:rsidRPr="00F7263B">
        <w:rPr>
          <w:rFonts w:cs="Times New Roman"/>
          <w:sz w:val="20"/>
          <w:szCs w:val="20"/>
        </w:rPr>
        <w:t xml:space="preserve"> pertain to</w:t>
      </w:r>
      <w:r w:rsidR="00356F64" w:rsidRPr="00F7263B">
        <w:rPr>
          <w:rFonts w:cs="Times New Roman"/>
          <w:sz w:val="20"/>
          <w:szCs w:val="20"/>
        </w:rPr>
        <w:t>:</w:t>
      </w:r>
    </w:p>
    <w:p w:rsidR="00356F64" w:rsidRPr="00F7263B" w:rsidRDefault="00356F64" w:rsidP="00356F64">
      <w:pPr>
        <w:pStyle w:val="ListParagraph"/>
        <w:rPr>
          <w:rFonts w:cs="Times New Roman"/>
          <w:b/>
          <w:sz w:val="20"/>
          <w:szCs w:val="20"/>
        </w:rPr>
      </w:pPr>
    </w:p>
    <w:p w:rsidR="00356F64" w:rsidRPr="00F7263B" w:rsidRDefault="00356F64" w:rsidP="00056FC8">
      <w:pPr>
        <w:pStyle w:val="ListParagraph"/>
        <w:numPr>
          <w:ilvl w:val="0"/>
          <w:numId w:val="79"/>
        </w:numPr>
        <w:spacing w:before="100" w:beforeAutospacing="1"/>
        <w:ind w:left="1440" w:hanging="720"/>
        <w:jc w:val="both"/>
        <w:rPr>
          <w:rFonts w:cs="Times New Roman"/>
          <w:b/>
          <w:sz w:val="20"/>
          <w:szCs w:val="20"/>
        </w:rPr>
      </w:pPr>
      <w:r w:rsidRPr="00F7263B">
        <w:rPr>
          <w:rFonts w:cs="Times New Roman"/>
          <w:sz w:val="20"/>
          <w:szCs w:val="20"/>
        </w:rPr>
        <w:t>L</w:t>
      </w:r>
      <w:r w:rsidR="00CD0EC9" w:rsidRPr="00F7263B">
        <w:rPr>
          <w:rFonts w:cs="Times New Roman"/>
          <w:sz w:val="20"/>
          <w:szCs w:val="20"/>
        </w:rPr>
        <w:t xml:space="preserve">ocal government planning and budgeting practices, which include the preparation and implementation of </w:t>
      </w:r>
      <w:r w:rsidRPr="00F7263B">
        <w:rPr>
          <w:rFonts w:cs="Times New Roman"/>
          <w:sz w:val="20"/>
          <w:szCs w:val="20"/>
        </w:rPr>
        <w:t xml:space="preserve">linked </w:t>
      </w:r>
      <w:r w:rsidR="00CD0EC9" w:rsidRPr="00F7263B">
        <w:rPr>
          <w:rFonts w:cs="Times New Roman"/>
          <w:sz w:val="20"/>
          <w:szCs w:val="20"/>
        </w:rPr>
        <w:t>revenue enhancement, asset management</w:t>
      </w:r>
      <w:r w:rsidR="00BD0463" w:rsidRPr="00F7263B">
        <w:rPr>
          <w:rFonts w:cs="Times New Roman"/>
          <w:sz w:val="20"/>
          <w:szCs w:val="20"/>
        </w:rPr>
        <w:t>,</w:t>
      </w:r>
      <w:r w:rsidR="00CD0EC9" w:rsidRPr="00F7263B">
        <w:rPr>
          <w:rFonts w:cs="Times New Roman"/>
          <w:sz w:val="20"/>
          <w:szCs w:val="20"/>
        </w:rPr>
        <w:t xml:space="preserve"> and capital investment plans</w:t>
      </w:r>
      <w:r w:rsidR="00374751" w:rsidRPr="00F7263B">
        <w:rPr>
          <w:rFonts w:cs="Times New Roman"/>
          <w:sz w:val="20"/>
          <w:szCs w:val="20"/>
        </w:rPr>
        <w:t xml:space="preserve"> to manage capital and recurrent expenditures</w:t>
      </w:r>
      <w:r w:rsidRPr="00F7263B">
        <w:rPr>
          <w:rFonts w:cs="Times New Roman"/>
          <w:sz w:val="20"/>
          <w:szCs w:val="20"/>
        </w:rPr>
        <w:t>.</w:t>
      </w:r>
    </w:p>
    <w:p w:rsidR="00356F64" w:rsidRPr="00F7263B" w:rsidRDefault="00356F64" w:rsidP="00056FC8">
      <w:pPr>
        <w:pStyle w:val="ListParagraph"/>
        <w:numPr>
          <w:ilvl w:val="0"/>
          <w:numId w:val="79"/>
        </w:numPr>
        <w:spacing w:before="100" w:beforeAutospacing="1"/>
        <w:ind w:left="1440" w:hanging="720"/>
        <w:jc w:val="both"/>
        <w:rPr>
          <w:rFonts w:cs="Times New Roman"/>
          <w:b/>
          <w:sz w:val="20"/>
          <w:szCs w:val="20"/>
        </w:rPr>
      </w:pPr>
      <w:r w:rsidRPr="00F7263B">
        <w:rPr>
          <w:rFonts w:cs="Times New Roman"/>
          <w:sz w:val="20"/>
          <w:szCs w:val="20"/>
        </w:rPr>
        <w:t>F</w:t>
      </w:r>
      <w:r w:rsidR="00374751" w:rsidRPr="00F7263B">
        <w:rPr>
          <w:rFonts w:cs="Times New Roman"/>
          <w:sz w:val="20"/>
          <w:szCs w:val="20"/>
        </w:rPr>
        <w:t>iduciary management</w:t>
      </w:r>
      <w:r w:rsidRPr="00F7263B">
        <w:rPr>
          <w:rFonts w:cs="Times New Roman"/>
          <w:sz w:val="20"/>
          <w:szCs w:val="20"/>
        </w:rPr>
        <w:t>, including accounting and internal audit functions.</w:t>
      </w:r>
    </w:p>
    <w:p w:rsidR="00356F64" w:rsidRPr="00F7263B" w:rsidRDefault="00356F64" w:rsidP="00056FC8">
      <w:pPr>
        <w:pStyle w:val="ListParagraph"/>
        <w:numPr>
          <w:ilvl w:val="0"/>
          <w:numId w:val="79"/>
        </w:numPr>
        <w:spacing w:before="100" w:beforeAutospacing="1"/>
        <w:ind w:left="1440" w:hanging="720"/>
        <w:jc w:val="both"/>
        <w:rPr>
          <w:rFonts w:cs="Times New Roman"/>
          <w:b/>
          <w:sz w:val="20"/>
          <w:szCs w:val="20"/>
        </w:rPr>
      </w:pPr>
      <w:r w:rsidRPr="00F7263B">
        <w:rPr>
          <w:rFonts w:cs="Times New Roman"/>
          <w:sz w:val="20"/>
          <w:szCs w:val="20"/>
        </w:rPr>
        <w:lastRenderedPageBreak/>
        <w:t>Recruiting and retaining s</w:t>
      </w:r>
      <w:r w:rsidR="009803A8" w:rsidRPr="00F7263B">
        <w:rPr>
          <w:rFonts w:cs="Times New Roman"/>
          <w:sz w:val="20"/>
          <w:szCs w:val="20"/>
        </w:rPr>
        <w:t>taff</w:t>
      </w:r>
      <w:r w:rsidRPr="00F7263B">
        <w:rPr>
          <w:rFonts w:cs="Times New Roman"/>
          <w:sz w:val="20"/>
          <w:szCs w:val="20"/>
        </w:rPr>
        <w:t xml:space="preserve"> with the necessary skills to fill </w:t>
      </w:r>
      <w:r w:rsidR="009803A8" w:rsidRPr="00F7263B">
        <w:rPr>
          <w:rFonts w:cs="Times New Roman"/>
          <w:sz w:val="20"/>
          <w:szCs w:val="20"/>
        </w:rPr>
        <w:t>key local government positions</w:t>
      </w:r>
      <w:r w:rsidR="00F711E2" w:rsidRPr="00F7263B">
        <w:rPr>
          <w:rFonts w:cs="Times New Roman"/>
          <w:sz w:val="20"/>
          <w:szCs w:val="20"/>
        </w:rPr>
        <w:t>.</w:t>
      </w:r>
    </w:p>
    <w:p w:rsidR="00F711E2" w:rsidRPr="00F7263B" w:rsidRDefault="00F711E2" w:rsidP="00056FC8">
      <w:pPr>
        <w:pStyle w:val="ListParagraph"/>
        <w:numPr>
          <w:ilvl w:val="0"/>
          <w:numId w:val="79"/>
        </w:numPr>
        <w:spacing w:before="100" w:beforeAutospacing="1"/>
        <w:ind w:left="1440" w:hanging="720"/>
        <w:jc w:val="both"/>
        <w:rPr>
          <w:rFonts w:cs="Times New Roman"/>
          <w:b/>
          <w:sz w:val="20"/>
          <w:szCs w:val="20"/>
        </w:rPr>
      </w:pPr>
      <w:r w:rsidRPr="00F7263B">
        <w:rPr>
          <w:rFonts w:cs="Times New Roman"/>
          <w:sz w:val="20"/>
          <w:szCs w:val="20"/>
        </w:rPr>
        <w:t>Establishing and operating</w:t>
      </w:r>
      <w:r w:rsidR="00FD7FC5" w:rsidRPr="00F7263B">
        <w:rPr>
          <w:rFonts w:cs="Times New Roman"/>
          <w:sz w:val="20"/>
          <w:szCs w:val="20"/>
        </w:rPr>
        <w:t xml:space="preserve"> systems for receiving and addressing complaints</w:t>
      </w:r>
      <w:r w:rsidRPr="00F7263B">
        <w:rPr>
          <w:rFonts w:cs="Times New Roman"/>
          <w:sz w:val="20"/>
          <w:szCs w:val="20"/>
        </w:rPr>
        <w:t>.</w:t>
      </w:r>
    </w:p>
    <w:p w:rsidR="00F711E2" w:rsidRPr="00F7263B" w:rsidRDefault="00F711E2" w:rsidP="00056FC8">
      <w:pPr>
        <w:pStyle w:val="ListParagraph"/>
        <w:numPr>
          <w:ilvl w:val="0"/>
          <w:numId w:val="79"/>
        </w:numPr>
        <w:spacing w:before="100" w:beforeAutospacing="1"/>
        <w:ind w:left="1440" w:hanging="720"/>
        <w:jc w:val="both"/>
        <w:rPr>
          <w:rFonts w:cs="Times New Roman"/>
          <w:b/>
          <w:sz w:val="20"/>
          <w:szCs w:val="20"/>
        </w:rPr>
      </w:pPr>
      <w:r w:rsidRPr="00F7263B">
        <w:rPr>
          <w:rFonts w:cs="Times New Roman"/>
          <w:sz w:val="20"/>
          <w:szCs w:val="20"/>
        </w:rPr>
        <w:t>Generating adequate own</w:t>
      </w:r>
      <w:r w:rsidR="004D2289">
        <w:rPr>
          <w:rFonts w:cs="Times New Roman"/>
          <w:sz w:val="20"/>
          <w:szCs w:val="20"/>
        </w:rPr>
        <w:t xml:space="preserve"> </w:t>
      </w:r>
      <w:r w:rsidRPr="00F7263B">
        <w:rPr>
          <w:rFonts w:cs="Times New Roman"/>
          <w:sz w:val="20"/>
          <w:szCs w:val="20"/>
        </w:rPr>
        <w:t>source reven</w:t>
      </w:r>
      <w:r w:rsidR="00BF50FC" w:rsidRPr="00F7263B">
        <w:rPr>
          <w:rFonts w:cs="Times New Roman"/>
          <w:sz w:val="20"/>
          <w:szCs w:val="20"/>
        </w:rPr>
        <w:t>ue</w:t>
      </w:r>
      <w:r w:rsidRPr="00F7263B">
        <w:rPr>
          <w:rFonts w:cs="Times New Roman"/>
          <w:sz w:val="20"/>
          <w:szCs w:val="20"/>
        </w:rPr>
        <w:t>s</w:t>
      </w:r>
      <w:r w:rsidR="00BF50FC" w:rsidRPr="00F7263B">
        <w:rPr>
          <w:rFonts w:cs="Times New Roman"/>
          <w:sz w:val="20"/>
          <w:szCs w:val="20"/>
        </w:rPr>
        <w:t xml:space="preserve"> to meet the extensive set of municipal mandates assigned to </w:t>
      </w:r>
      <w:r w:rsidR="00C851D1" w:rsidRPr="00F7263B">
        <w:rPr>
          <w:rFonts w:cs="Times New Roman"/>
          <w:sz w:val="20"/>
          <w:szCs w:val="20"/>
        </w:rPr>
        <w:t xml:space="preserve">urban </w:t>
      </w:r>
      <w:r w:rsidR="00BF50FC" w:rsidRPr="00F7263B">
        <w:rPr>
          <w:rFonts w:cs="Times New Roman"/>
          <w:sz w:val="20"/>
          <w:szCs w:val="20"/>
        </w:rPr>
        <w:t>local governments</w:t>
      </w:r>
      <w:r w:rsidRPr="00F7263B">
        <w:rPr>
          <w:rFonts w:cs="Times New Roman"/>
          <w:sz w:val="20"/>
          <w:szCs w:val="20"/>
        </w:rPr>
        <w:t>.</w:t>
      </w:r>
    </w:p>
    <w:p w:rsidR="00F711E2" w:rsidRPr="00F7263B" w:rsidRDefault="00F711E2" w:rsidP="008E1E28">
      <w:pPr>
        <w:pStyle w:val="ListParagraph"/>
        <w:numPr>
          <w:ilvl w:val="0"/>
          <w:numId w:val="79"/>
        </w:numPr>
        <w:spacing w:before="100" w:beforeAutospacing="1"/>
        <w:ind w:left="1440" w:hanging="720"/>
        <w:jc w:val="both"/>
        <w:rPr>
          <w:rFonts w:cs="Times New Roman"/>
          <w:b/>
          <w:sz w:val="20"/>
          <w:szCs w:val="20"/>
        </w:rPr>
      </w:pPr>
      <w:r w:rsidRPr="00F7263B">
        <w:rPr>
          <w:rFonts w:cs="Times New Roman"/>
          <w:sz w:val="20"/>
          <w:szCs w:val="20"/>
        </w:rPr>
        <w:t xml:space="preserve">Operating </w:t>
      </w:r>
      <w:r w:rsidR="00F176B7" w:rsidRPr="00F7263B">
        <w:rPr>
          <w:rFonts w:cs="Times New Roman"/>
          <w:sz w:val="20"/>
          <w:szCs w:val="20"/>
        </w:rPr>
        <w:t xml:space="preserve">land management </w:t>
      </w:r>
      <w:r w:rsidRPr="00F7263B">
        <w:rPr>
          <w:rFonts w:cs="Times New Roman"/>
          <w:sz w:val="20"/>
          <w:szCs w:val="20"/>
        </w:rPr>
        <w:t>system</w:t>
      </w:r>
      <w:r w:rsidR="000A35C0" w:rsidRPr="00F7263B">
        <w:rPr>
          <w:rFonts w:cs="Times New Roman"/>
          <w:sz w:val="20"/>
          <w:szCs w:val="20"/>
        </w:rPr>
        <w:t>s</w:t>
      </w:r>
      <w:r w:rsidR="00F176B7" w:rsidRPr="00F7263B">
        <w:rPr>
          <w:rFonts w:cs="Times New Roman"/>
          <w:sz w:val="20"/>
          <w:szCs w:val="20"/>
        </w:rPr>
        <w:t>, especially in</w:t>
      </w:r>
      <w:r w:rsidR="009803A8" w:rsidRPr="00F7263B">
        <w:rPr>
          <w:rFonts w:cs="Times New Roman"/>
          <w:sz w:val="20"/>
          <w:szCs w:val="20"/>
        </w:rPr>
        <w:t xml:space="preserve"> developing and maintaining </w:t>
      </w:r>
      <w:r w:rsidR="00356F64" w:rsidRPr="00F7263B">
        <w:rPr>
          <w:rFonts w:cs="Times New Roman"/>
          <w:sz w:val="20"/>
          <w:szCs w:val="20"/>
        </w:rPr>
        <w:t xml:space="preserve">an </w:t>
      </w:r>
      <w:r w:rsidR="009803A8" w:rsidRPr="00F7263B">
        <w:rPr>
          <w:rFonts w:cs="Times New Roman"/>
          <w:sz w:val="20"/>
          <w:szCs w:val="20"/>
        </w:rPr>
        <w:t>up-to-date inventory of land and in</w:t>
      </w:r>
      <w:r w:rsidR="00F176B7" w:rsidRPr="00F7263B">
        <w:rPr>
          <w:rFonts w:cs="Times New Roman"/>
          <w:sz w:val="20"/>
          <w:szCs w:val="20"/>
        </w:rPr>
        <w:t xml:space="preserve"> servicing leased land according to national and regional standards</w:t>
      </w:r>
      <w:r w:rsidRPr="00F7263B">
        <w:rPr>
          <w:rFonts w:cs="Times New Roman"/>
          <w:sz w:val="20"/>
          <w:szCs w:val="20"/>
        </w:rPr>
        <w:t>.</w:t>
      </w:r>
    </w:p>
    <w:p w:rsidR="00CD0EC9" w:rsidRPr="00F7263B" w:rsidRDefault="00F711E2" w:rsidP="00056FC8">
      <w:pPr>
        <w:pStyle w:val="ListParagraph"/>
        <w:numPr>
          <w:ilvl w:val="0"/>
          <w:numId w:val="79"/>
        </w:numPr>
        <w:spacing w:before="100" w:beforeAutospacing="1"/>
        <w:ind w:left="1440" w:hanging="720"/>
        <w:jc w:val="both"/>
        <w:rPr>
          <w:rFonts w:cs="Times New Roman"/>
          <w:b/>
          <w:sz w:val="20"/>
          <w:szCs w:val="20"/>
        </w:rPr>
      </w:pPr>
      <w:r w:rsidRPr="00F7263B">
        <w:rPr>
          <w:rFonts w:cs="Times New Roman"/>
          <w:sz w:val="20"/>
          <w:szCs w:val="20"/>
        </w:rPr>
        <w:t xml:space="preserve">Ensuring </w:t>
      </w:r>
      <w:r w:rsidR="00BF50FC" w:rsidRPr="00F7263B">
        <w:rPr>
          <w:rFonts w:cs="Times New Roman"/>
          <w:sz w:val="20"/>
          <w:szCs w:val="20"/>
        </w:rPr>
        <w:t>accountability and transparency</w:t>
      </w:r>
      <w:r w:rsidR="00356F64" w:rsidRPr="00F7263B">
        <w:rPr>
          <w:rFonts w:cs="Times New Roman"/>
          <w:sz w:val="20"/>
          <w:szCs w:val="20"/>
        </w:rPr>
        <w:t>,</w:t>
      </w:r>
      <w:r w:rsidR="00BF50FC" w:rsidRPr="00F7263B">
        <w:rPr>
          <w:rFonts w:cs="Times New Roman"/>
          <w:sz w:val="20"/>
          <w:szCs w:val="20"/>
        </w:rPr>
        <w:t xml:space="preserve"> particularly in measuring and making public </w:t>
      </w:r>
      <w:r w:rsidR="00C851D1" w:rsidRPr="00F7263B">
        <w:rPr>
          <w:rFonts w:cs="Times New Roman"/>
          <w:sz w:val="20"/>
          <w:szCs w:val="20"/>
        </w:rPr>
        <w:t xml:space="preserve">information on </w:t>
      </w:r>
      <w:r w:rsidR="00BF50FC" w:rsidRPr="00F7263B">
        <w:rPr>
          <w:rFonts w:cs="Times New Roman"/>
          <w:sz w:val="20"/>
          <w:szCs w:val="20"/>
        </w:rPr>
        <w:t xml:space="preserve">the </w:t>
      </w:r>
      <w:r w:rsidR="00C851D1" w:rsidRPr="00F7263B">
        <w:rPr>
          <w:rFonts w:cs="Times New Roman"/>
          <w:sz w:val="20"/>
          <w:szCs w:val="20"/>
        </w:rPr>
        <w:t>delivery</w:t>
      </w:r>
      <w:r w:rsidR="004D2289">
        <w:rPr>
          <w:rFonts w:cs="Times New Roman"/>
          <w:sz w:val="20"/>
          <w:szCs w:val="20"/>
        </w:rPr>
        <w:t xml:space="preserve"> </w:t>
      </w:r>
      <w:r w:rsidR="00BF50FC" w:rsidRPr="00F7263B">
        <w:rPr>
          <w:rFonts w:cs="Times New Roman"/>
          <w:sz w:val="20"/>
          <w:szCs w:val="20"/>
        </w:rPr>
        <w:t>of local service</w:t>
      </w:r>
      <w:r w:rsidR="00C851D1" w:rsidRPr="00F7263B">
        <w:rPr>
          <w:rFonts w:cs="Times New Roman"/>
          <w:sz w:val="20"/>
          <w:szCs w:val="20"/>
        </w:rPr>
        <w:t>s</w:t>
      </w:r>
      <w:r w:rsidR="004D2289">
        <w:rPr>
          <w:rFonts w:cs="Times New Roman"/>
          <w:sz w:val="20"/>
          <w:szCs w:val="20"/>
        </w:rPr>
        <w:t xml:space="preserve"> </w:t>
      </w:r>
      <w:r w:rsidR="00C851D1" w:rsidRPr="00F7263B">
        <w:rPr>
          <w:rFonts w:cs="Times New Roman"/>
          <w:sz w:val="20"/>
          <w:szCs w:val="20"/>
        </w:rPr>
        <w:t>compared with</w:t>
      </w:r>
      <w:r w:rsidR="004D2289">
        <w:rPr>
          <w:rFonts w:cs="Times New Roman"/>
          <w:sz w:val="20"/>
          <w:szCs w:val="20"/>
        </w:rPr>
        <w:t xml:space="preserve"> </w:t>
      </w:r>
      <w:r w:rsidR="00BF50FC" w:rsidRPr="00F7263B">
        <w:rPr>
          <w:rFonts w:cs="Times New Roman"/>
          <w:sz w:val="20"/>
          <w:szCs w:val="20"/>
        </w:rPr>
        <w:t>national and regional</w:t>
      </w:r>
      <w:r w:rsidR="004D2289">
        <w:rPr>
          <w:rFonts w:cs="Times New Roman"/>
          <w:sz w:val="20"/>
          <w:szCs w:val="20"/>
        </w:rPr>
        <w:t xml:space="preserve"> </w:t>
      </w:r>
      <w:r w:rsidR="00BF50FC" w:rsidRPr="00F7263B">
        <w:rPr>
          <w:rFonts w:cs="Times New Roman"/>
          <w:sz w:val="20"/>
          <w:szCs w:val="20"/>
        </w:rPr>
        <w:t>standards</w:t>
      </w:r>
      <w:r w:rsidR="00C851D1" w:rsidRPr="00F7263B">
        <w:rPr>
          <w:rFonts w:cs="Times New Roman"/>
          <w:sz w:val="20"/>
          <w:szCs w:val="20"/>
        </w:rPr>
        <w:t>,</w:t>
      </w:r>
      <w:r w:rsidR="004D2289">
        <w:rPr>
          <w:rFonts w:cs="Times New Roman"/>
          <w:sz w:val="20"/>
          <w:szCs w:val="20"/>
        </w:rPr>
        <w:t xml:space="preserve"> </w:t>
      </w:r>
      <w:r w:rsidR="00BF50FC" w:rsidRPr="00F7263B">
        <w:rPr>
          <w:rFonts w:cs="Times New Roman"/>
          <w:sz w:val="20"/>
          <w:szCs w:val="20"/>
        </w:rPr>
        <w:t>and in</w:t>
      </w:r>
      <w:r w:rsidR="00380D32" w:rsidRPr="00F7263B">
        <w:rPr>
          <w:rFonts w:cs="Times New Roman"/>
          <w:sz w:val="20"/>
          <w:szCs w:val="20"/>
        </w:rPr>
        <w:t xml:space="preserve"> publicly</w:t>
      </w:r>
      <w:r w:rsidR="00BF50FC" w:rsidRPr="00F7263B">
        <w:rPr>
          <w:rFonts w:cs="Times New Roman"/>
          <w:sz w:val="20"/>
          <w:szCs w:val="20"/>
        </w:rPr>
        <w:t xml:space="preserve"> disseminating annual local government budgets, approved projects, expenditures, audit </w:t>
      </w:r>
      <w:r w:rsidR="00C851D1" w:rsidRPr="00F7263B">
        <w:rPr>
          <w:rFonts w:cs="Times New Roman"/>
          <w:sz w:val="20"/>
          <w:szCs w:val="20"/>
        </w:rPr>
        <w:t>reports,</w:t>
      </w:r>
      <w:r w:rsidR="004D2289">
        <w:rPr>
          <w:rFonts w:cs="Times New Roman"/>
          <w:sz w:val="20"/>
          <w:szCs w:val="20"/>
        </w:rPr>
        <w:t xml:space="preserve"> </w:t>
      </w:r>
      <w:r w:rsidR="00BF50FC" w:rsidRPr="00F7263B">
        <w:rPr>
          <w:rFonts w:cs="Times New Roman"/>
          <w:sz w:val="20"/>
          <w:szCs w:val="20"/>
        </w:rPr>
        <w:t>and results of procurement decisions</w:t>
      </w:r>
      <w:r w:rsidR="00380D32" w:rsidRPr="00F7263B">
        <w:rPr>
          <w:rFonts w:cs="Times New Roman"/>
          <w:sz w:val="20"/>
          <w:szCs w:val="20"/>
        </w:rPr>
        <w:t xml:space="preserve">. </w:t>
      </w:r>
    </w:p>
    <w:p w:rsidR="00BF50FC" w:rsidRPr="00F7263B" w:rsidRDefault="00BF50FC" w:rsidP="00380EF7">
      <w:pPr>
        <w:pStyle w:val="ListParagraph"/>
        <w:spacing w:before="100" w:beforeAutospacing="1"/>
        <w:ind w:left="0"/>
        <w:jc w:val="both"/>
        <w:rPr>
          <w:rFonts w:cs="Times New Roman"/>
          <w:b/>
          <w:sz w:val="20"/>
          <w:szCs w:val="20"/>
        </w:rPr>
      </w:pPr>
    </w:p>
    <w:p w:rsidR="00C851D1" w:rsidRPr="00F7263B" w:rsidRDefault="00264DC6" w:rsidP="009F3E11">
      <w:pPr>
        <w:pStyle w:val="ListParagraph"/>
        <w:numPr>
          <w:ilvl w:val="0"/>
          <w:numId w:val="9"/>
        </w:numPr>
        <w:spacing w:before="100" w:beforeAutospacing="1"/>
        <w:ind w:left="0" w:firstLine="0"/>
        <w:jc w:val="both"/>
        <w:rPr>
          <w:rFonts w:cs="Times New Roman"/>
          <w:sz w:val="20"/>
          <w:szCs w:val="20"/>
        </w:rPr>
      </w:pPr>
      <w:r w:rsidRPr="00F7263B">
        <w:rPr>
          <w:rFonts w:cs="Times New Roman"/>
          <w:b/>
          <w:sz w:val="20"/>
          <w:szCs w:val="20"/>
        </w:rPr>
        <w:t xml:space="preserve">These institutional challenges, coupled </w:t>
      </w:r>
      <w:r w:rsidR="00DF1B7E" w:rsidRPr="00F7263B">
        <w:rPr>
          <w:rFonts w:cs="Times New Roman"/>
          <w:b/>
          <w:sz w:val="20"/>
          <w:szCs w:val="20"/>
        </w:rPr>
        <w:t xml:space="preserve">with rapid urbanization, </w:t>
      </w:r>
      <w:r w:rsidR="00C851D1" w:rsidRPr="00F7263B">
        <w:rPr>
          <w:rFonts w:cs="Times New Roman"/>
          <w:b/>
          <w:sz w:val="20"/>
          <w:szCs w:val="20"/>
        </w:rPr>
        <w:t>have resulted in</w:t>
      </w:r>
      <w:r w:rsidRPr="00F7263B">
        <w:rPr>
          <w:rFonts w:cs="Times New Roman"/>
          <w:b/>
          <w:sz w:val="20"/>
          <w:szCs w:val="20"/>
        </w:rPr>
        <w:t xml:space="preserve">significant gaps in provision </w:t>
      </w:r>
      <w:r w:rsidR="00610E2B" w:rsidRPr="00F7263B">
        <w:rPr>
          <w:rFonts w:cs="Times New Roman"/>
          <w:b/>
          <w:sz w:val="20"/>
          <w:szCs w:val="20"/>
        </w:rPr>
        <w:t xml:space="preserve">of infrastructure </w:t>
      </w:r>
      <w:r w:rsidRPr="00F7263B">
        <w:rPr>
          <w:rFonts w:cs="Times New Roman"/>
          <w:b/>
          <w:sz w:val="20"/>
          <w:szCs w:val="20"/>
        </w:rPr>
        <w:t>and basic urban services</w:t>
      </w:r>
      <w:r w:rsidR="006F2F90" w:rsidRPr="00F7263B">
        <w:rPr>
          <w:rFonts w:cs="Times New Roman"/>
          <w:b/>
          <w:sz w:val="20"/>
          <w:szCs w:val="20"/>
        </w:rPr>
        <w:t xml:space="preserve">.  </w:t>
      </w:r>
      <w:r w:rsidR="00C851D1" w:rsidRPr="00F7263B">
        <w:rPr>
          <w:rFonts w:cs="Times New Roman"/>
          <w:sz w:val="20"/>
          <w:szCs w:val="20"/>
        </w:rPr>
        <w:t>T</w:t>
      </w:r>
      <w:r w:rsidR="00617297" w:rsidRPr="00F7263B">
        <w:rPr>
          <w:rFonts w:cs="Times New Roman"/>
          <w:sz w:val="20"/>
          <w:szCs w:val="20"/>
        </w:rPr>
        <w:t xml:space="preserve">able </w:t>
      </w:r>
      <w:r w:rsidR="00C851D1" w:rsidRPr="00F7263B">
        <w:rPr>
          <w:rFonts w:cs="Times New Roman"/>
          <w:sz w:val="20"/>
          <w:szCs w:val="20"/>
        </w:rPr>
        <w:t xml:space="preserve">2 </w:t>
      </w:r>
      <w:r w:rsidR="00617297" w:rsidRPr="00F7263B">
        <w:rPr>
          <w:rFonts w:cs="Times New Roman"/>
          <w:sz w:val="20"/>
          <w:szCs w:val="20"/>
        </w:rPr>
        <w:t>below</w:t>
      </w:r>
      <w:r w:rsidR="00C851D1" w:rsidRPr="00F7263B">
        <w:rPr>
          <w:rFonts w:cs="Times New Roman"/>
          <w:sz w:val="20"/>
          <w:szCs w:val="20"/>
        </w:rPr>
        <w:t xml:space="preserve"> shows the coverage</w:t>
      </w:r>
      <w:r w:rsidR="00617297" w:rsidRPr="00F7263B">
        <w:rPr>
          <w:rFonts w:cs="Times New Roman"/>
          <w:sz w:val="20"/>
          <w:szCs w:val="20"/>
        </w:rPr>
        <w:t xml:space="preserve"> in</w:t>
      </w:r>
      <w:r w:rsidR="00C851D1" w:rsidRPr="00F7263B">
        <w:rPr>
          <w:rFonts w:cs="Times New Roman"/>
          <w:sz w:val="20"/>
          <w:szCs w:val="20"/>
        </w:rPr>
        <w:t xml:space="preserve"> delivery of urban</w:t>
      </w:r>
      <w:r w:rsidR="00617297" w:rsidRPr="00F7263B">
        <w:rPr>
          <w:rFonts w:cs="Times New Roman"/>
          <w:sz w:val="20"/>
          <w:szCs w:val="20"/>
        </w:rPr>
        <w:t xml:space="preserve"> services and infrastructure in Addis</w:t>
      </w:r>
      <w:r w:rsidR="001C07A4" w:rsidRPr="00F7263B">
        <w:rPr>
          <w:rFonts w:cs="Times New Roman"/>
          <w:sz w:val="20"/>
          <w:szCs w:val="20"/>
        </w:rPr>
        <w:t xml:space="preserve"> Ababa</w:t>
      </w:r>
      <w:r w:rsidR="00617297" w:rsidRPr="00F7263B">
        <w:rPr>
          <w:rFonts w:cs="Times New Roman"/>
          <w:sz w:val="20"/>
          <w:szCs w:val="20"/>
        </w:rPr>
        <w:t xml:space="preserve"> and 18 other </w:t>
      </w:r>
      <w:r w:rsidR="00C851D1" w:rsidRPr="00F7263B">
        <w:rPr>
          <w:rFonts w:cs="Times New Roman"/>
          <w:sz w:val="20"/>
          <w:szCs w:val="20"/>
        </w:rPr>
        <w:t xml:space="preserve">large cities in </w:t>
      </w:r>
      <w:r w:rsidR="00617297" w:rsidRPr="00F7263B">
        <w:rPr>
          <w:rFonts w:cs="Times New Roman"/>
          <w:sz w:val="20"/>
          <w:szCs w:val="20"/>
        </w:rPr>
        <w:t>Ethiopia</w:t>
      </w:r>
      <w:r w:rsidR="00C851D1" w:rsidRPr="00F7263B">
        <w:rPr>
          <w:rFonts w:cs="Times New Roman"/>
          <w:sz w:val="20"/>
          <w:szCs w:val="20"/>
        </w:rPr>
        <w:t>, as found in a 2013 independent study of urban infrastructure.</w:t>
      </w:r>
    </w:p>
    <w:p w:rsidR="00C851D1" w:rsidRPr="00F7263B" w:rsidRDefault="00C851D1" w:rsidP="00556F1B">
      <w:pPr>
        <w:pStyle w:val="ListParagraph"/>
        <w:autoSpaceDE w:val="0"/>
        <w:autoSpaceDN w:val="0"/>
        <w:adjustRightInd w:val="0"/>
        <w:spacing w:before="240"/>
        <w:ind w:left="0"/>
        <w:jc w:val="both"/>
        <w:rPr>
          <w:rFonts w:cs="Times New Roman"/>
          <w:sz w:val="20"/>
          <w:szCs w:val="20"/>
        </w:rPr>
      </w:pPr>
    </w:p>
    <w:p w:rsidR="000E2353" w:rsidRPr="00F7263B" w:rsidRDefault="000E2353" w:rsidP="00556F1B">
      <w:pPr>
        <w:pStyle w:val="Caption"/>
        <w:jc w:val="both"/>
        <w:rPr>
          <w:bCs w:val="0"/>
        </w:rPr>
      </w:pPr>
      <w:bookmarkStart w:id="5" w:name="_Toc380087103"/>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2</w:t>
      </w:r>
      <w:r w:rsidR="00B845BE" w:rsidRPr="00F7263B">
        <w:fldChar w:fldCharType="end"/>
      </w:r>
      <w:r w:rsidRPr="00F7263B">
        <w:t xml:space="preserve">: </w:t>
      </w:r>
      <w:r w:rsidRPr="00F7263B">
        <w:rPr>
          <w:bCs w:val="0"/>
        </w:rPr>
        <w:t>Level of access to urban services and infrastructure in the 19 largest ULGs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3543"/>
      </w:tblGrid>
      <w:tr w:rsidR="00164437" w:rsidRPr="00F7263B">
        <w:tc>
          <w:tcPr>
            <w:tcW w:w="3150" w:type="pct"/>
            <w:shd w:val="clear" w:color="auto" w:fill="D9D9D9" w:themeFill="background1" w:themeFillShade="D9"/>
          </w:tcPr>
          <w:p w:rsidR="00164437" w:rsidRPr="00F7263B" w:rsidRDefault="00164437" w:rsidP="00AF1EAD">
            <w:pPr>
              <w:pStyle w:val="ListParagraph"/>
              <w:ind w:left="0"/>
              <w:rPr>
                <w:rFonts w:cs="Times New Roman"/>
                <w:b/>
                <w:sz w:val="20"/>
                <w:szCs w:val="20"/>
              </w:rPr>
            </w:pPr>
            <w:r w:rsidRPr="00F7263B">
              <w:rPr>
                <w:rFonts w:cs="Times New Roman"/>
                <w:b/>
                <w:sz w:val="20"/>
                <w:szCs w:val="20"/>
              </w:rPr>
              <w:t>Service/Infrastructure</w:t>
            </w:r>
          </w:p>
        </w:tc>
        <w:tc>
          <w:tcPr>
            <w:tcW w:w="1850" w:type="pct"/>
            <w:shd w:val="clear" w:color="auto" w:fill="D9D9D9" w:themeFill="background1" w:themeFillShade="D9"/>
          </w:tcPr>
          <w:p w:rsidR="00164437" w:rsidRPr="00F7263B" w:rsidRDefault="00164437" w:rsidP="00E16B7E">
            <w:pPr>
              <w:pStyle w:val="ListParagraph"/>
              <w:ind w:left="0"/>
              <w:jc w:val="center"/>
              <w:rPr>
                <w:rFonts w:cs="Times New Roman"/>
                <w:b/>
                <w:sz w:val="20"/>
                <w:szCs w:val="20"/>
              </w:rPr>
            </w:pPr>
            <w:r w:rsidRPr="00F7263B">
              <w:rPr>
                <w:rFonts w:cs="Times New Roman"/>
                <w:b/>
                <w:sz w:val="20"/>
                <w:szCs w:val="20"/>
              </w:rPr>
              <w:t>Level of service Provision/Coverage</w:t>
            </w:r>
          </w:p>
        </w:tc>
      </w:tr>
      <w:tr w:rsidR="00164437" w:rsidRPr="00F7263B">
        <w:tc>
          <w:tcPr>
            <w:tcW w:w="3150" w:type="pct"/>
          </w:tcPr>
          <w:p w:rsidR="00164437" w:rsidRPr="00F7263B" w:rsidRDefault="009F3E11" w:rsidP="006F2F90">
            <w:pPr>
              <w:pStyle w:val="ListParagraph"/>
              <w:ind w:left="0"/>
              <w:rPr>
                <w:rFonts w:cs="Times New Roman"/>
                <w:sz w:val="20"/>
                <w:szCs w:val="20"/>
              </w:rPr>
            </w:pPr>
            <w:r w:rsidRPr="00F7263B">
              <w:rPr>
                <w:rFonts w:cs="Times New Roman"/>
                <w:sz w:val="20"/>
                <w:szCs w:val="20"/>
              </w:rPr>
              <w:t>R</w:t>
            </w:r>
            <w:r w:rsidR="006F2F90" w:rsidRPr="00F7263B">
              <w:rPr>
                <w:rFonts w:cs="Times New Roman"/>
                <w:sz w:val="20"/>
                <w:szCs w:val="20"/>
              </w:rPr>
              <w:t>esidents with access to piped w</w:t>
            </w:r>
            <w:r w:rsidR="00164437" w:rsidRPr="00F7263B">
              <w:rPr>
                <w:rFonts w:cs="Times New Roman"/>
                <w:sz w:val="20"/>
                <w:szCs w:val="20"/>
              </w:rPr>
              <w:t xml:space="preserve">ater </w:t>
            </w:r>
          </w:p>
        </w:tc>
        <w:tc>
          <w:tcPr>
            <w:tcW w:w="1850" w:type="pct"/>
          </w:tcPr>
          <w:p w:rsidR="00164437" w:rsidRPr="00F7263B" w:rsidRDefault="00164437" w:rsidP="00254260">
            <w:pPr>
              <w:pStyle w:val="ListParagraph"/>
              <w:ind w:left="0" w:right="1170"/>
              <w:jc w:val="right"/>
              <w:rPr>
                <w:rFonts w:cs="Times New Roman"/>
                <w:sz w:val="20"/>
                <w:szCs w:val="20"/>
              </w:rPr>
            </w:pPr>
            <w:r w:rsidRPr="00F7263B">
              <w:rPr>
                <w:rFonts w:cs="Times New Roman"/>
                <w:sz w:val="20"/>
                <w:szCs w:val="20"/>
              </w:rPr>
              <w:t>59.1%</w:t>
            </w:r>
          </w:p>
        </w:tc>
      </w:tr>
      <w:tr w:rsidR="00164437" w:rsidRPr="00F7263B">
        <w:tc>
          <w:tcPr>
            <w:tcW w:w="3150" w:type="pct"/>
          </w:tcPr>
          <w:p w:rsidR="00164437" w:rsidRPr="00F7263B" w:rsidRDefault="009F3E11" w:rsidP="006F2F90">
            <w:pPr>
              <w:pStyle w:val="ListParagraph"/>
              <w:ind w:left="0"/>
              <w:rPr>
                <w:rFonts w:cs="Times New Roman"/>
                <w:sz w:val="20"/>
                <w:szCs w:val="20"/>
              </w:rPr>
            </w:pPr>
            <w:r w:rsidRPr="00F7263B">
              <w:rPr>
                <w:rFonts w:cs="Times New Roman"/>
                <w:sz w:val="20"/>
                <w:szCs w:val="20"/>
              </w:rPr>
              <w:t>R</w:t>
            </w:r>
            <w:r w:rsidR="006F2F90" w:rsidRPr="00F7263B">
              <w:rPr>
                <w:rFonts w:cs="Times New Roman"/>
                <w:sz w:val="20"/>
                <w:szCs w:val="20"/>
              </w:rPr>
              <w:t>esidents with access to s</w:t>
            </w:r>
            <w:r w:rsidR="00164437" w:rsidRPr="00F7263B">
              <w:rPr>
                <w:rFonts w:cs="Times New Roman"/>
                <w:sz w:val="20"/>
                <w:szCs w:val="20"/>
              </w:rPr>
              <w:t>ewerage and sanitation</w:t>
            </w:r>
            <w:r w:rsidR="006F2F90" w:rsidRPr="00F7263B">
              <w:rPr>
                <w:rFonts w:cs="Times New Roman"/>
                <w:sz w:val="20"/>
                <w:szCs w:val="20"/>
              </w:rPr>
              <w:t xml:space="preserve"> services</w:t>
            </w:r>
          </w:p>
        </w:tc>
        <w:tc>
          <w:tcPr>
            <w:tcW w:w="1850" w:type="pct"/>
          </w:tcPr>
          <w:p w:rsidR="00164437" w:rsidRPr="00F7263B" w:rsidRDefault="00164437" w:rsidP="00254260">
            <w:pPr>
              <w:pStyle w:val="ListParagraph"/>
              <w:ind w:left="0" w:right="1170"/>
              <w:jc w:val="right"/>
              <w:rPr>
                <w:rFonts w:cs="Times New Roman"/>
                <w:sz w:val="20"/>
                <w:szCs w:val="20"/>
              </w:rPr>
            </w:pPr>
            <w:r w:rsidRPr="00F7263B">
              <w:rPr>
                <w:rFonts w:cs="Times New Roman"/>
                <w:sz w:val="20"/>
                <w:szCs w:val="20"/>
              </w:rPr>
              <w:t>57.3%</w:t>
            </w:r>
          </w:p>
        </w:tc>
      </w:tr>
      <w:tr w:rsidR="00164437" w:rsidRPr="00F7263B">
        <w:tc>
          <w:tcPr>
            <w:tcW w:w="3150" w:type="pct"/>
          </w:tcPr>
          <w:p w:rsidR="00164437" w:rsidRPr="00F7263B" w:rsidRDefault="009F3E11" w:rsidP="00CF62F7">
            <w:pPr>
              <w:pStyle w:val="ListParagraph"/>
              <w:ind w:left="0"/>
              <w:rPr>
                <w:rFonts w:cs="Times New Roman"/>
                <w:sz w:val="20"/>
                <w:szCs w:val="20"/>
              </w:rPr>
            </w:pPr>
            <w:r w:rsidRPr="00F7263B">
              <w:rPr>
                <w:rFonts w:cs="Times New Roman"/>
                <w:sz w:val="20"/>
                <w:szCs w:val="20"/>
              </w:rPr>
              <w:t>S</w:t>
            </w:r>
            <w:r w:rsidR="00AF1EAD" w:rsidRPr="00F7263B">
              <w:rPr>
                <w:rFonts w:cs="Times New Roman"/>
                <w:sz w:val="20"/>
                <w:szCs w:val="20"/>
              </w:rPr>
              <w:t xml:space="preserve">olid waste </w:t>
            </w:r>
            <w:r w:rsidR="006F2F90" w:rsidRPr="00F7263B">
              <w:rPr>
                <w:rFonts w:cs="Times New Roman"/>
                <w:sz w:val="20"/>
                <w:szCs w:val="20"/>
              </w:rPr>
              <w:t xml:space="preserve">collected and disposed of </w:t>
            </w:r>
          </w:p>
        </w:tc>
        <w:tc>
          <w:tcPr>
            <w:tcW w:w="1850" w:type="pct"/>
          </w:tcPr>
          <w:p w:rsidR="00164437" w:rsidRPr="00F7263B" w:rsidRDefault="00164437" w:rsidP="00254260">
            <w:pPr>
              <w:pStyle w:val="ListParagraph"/>
              <w:ind w:left="0" w:right="1170"/>
              <w:jc w:val="right"/>
              <w:rPr>
                <w:rFonts w:cs="Times New Roman"/>
                <w:sz w:val="20"/>
                <w:szCs w:val="20"/>
              </w:rPr>
            </w:pPr>
            <w:r w:rsidRPr="00F7263B">
              <w:rPr>
                <w:rFonts w:cs="Times New Roman"/>
                <w:sz w:val="20"/>
                <w:szCs w:val="20"/>
              </w:rPr>
              <w:t>52.0%</w:t>
            </w:r>
          </w:p>
        </w:tc>
      </w:tr>
      <w:tr w:rsidR="00164437" w:rsidRPr="00F7263B">
        <w:tc>
          <w:tcPr>
            <w:tcW w:w="3150" w:type="pct"/>
          </w:tcPr>
          <w:p w:rsidR="00164437" w:rsidRPr="00F7263B" w:rsidRDefault="009F3E11" w:rsidP="006F2F90">
            <w:pPr>
              <w:pStyle w:val="ListParagraph"/>
              <w:ind w:left="0"/>
              <w:rPr>
                <w:rFonts w:cs="Times New Roman"/>
                <w:sz w:val="20"/>
                <w:szCs w:val="20"/>
              </w:rPr>
            </w:pPr>
            <w:r w:rsidRPr="00F7263B">
              <w:rPr>
                <w:rFonts w:cs="Times New Roman"/>
                <w:sz w:val="20"/>
                <w:szCs w:val="20"/>
              </w:rPr>
              <w:t>L</w:t>
            </w:r>
            <w:r w:rsidR="00AF1EAD" w:rsidRPr="00F7263B">
              <w:rPr>
                <w:rFonts w:cs="Times New Roman"/>
                <w:sz w:val="20"/>
                <w:szCs w:val="20"/>
              </w:rPr>
              <w:t>iquid waste</w:t>
            </w:r>
            <w:r w:rsidR="006F2F90" w:rsidRPr="00F7263B">
              <w:rPr>
                <w:rFonts w:cs="Times New Roman"/>
                <w:sz w:val="20"/>
                <w:szCs w:val="20"/>
              </w:rPr>
              <w:t xml:space="preserve"> collected and</w:t>
            </w:r>
            <w:r w:rsidR="00AF1EAD" w:rsidRPr="00F7263B">
              <w:rPr>
                <w:rFonts w:cs="Times New Roman"/>
                <w:sz w:val="20"/>
                <w:szCs w:val="20"/>
              </w:rPr>
              <w:t xml:space="preserve"> d</w:t>
            </w:r>
            <w:r w:rsidR="006F2F90" w:rsidRPr="00F7263B">
              <w:rPr>
                <w:rFonts w:cs="Times New Roman"/>
                <w:sz w:val="20"/>
                <w:szCs w:val="20"/>
              </w:rPr>
              <w:t xml:space="preserve">isposed  </w:t>
            </w:r>
          </w:p>
        </w:tc>
        <w:tc>
          <w:tcPr>
            <w:tcW w:w="1850" w:type="pct"/>
          </w:tcPr>
          <w:p w:rsidR="00164437" w:rsidRPr="00F7263B" w:rsidRDefault="00164437" w:rsidP="00254260">
            <w:pPr>
              <w:pStyle w:val="ListParagraph"/>
              <w:ind w:left="0" w:right="1170"/>
              <w:jc w:val="right"/>
              <w:rPr>
                <w:rFonts w:cs="Times New Roman"/>
                <w:sz w:val="20"/>
                <w:szCs w:val="20"/>
              </w:rPr>
            </w:pPr>
            <w:r w:rsidRPr="00F7263B">
              <w:rPr>
                <w:rFonts w:cs="Times New Roman"/>
                <w:sz w:val="20"/>
                <w:szCs w:val="20"/>
              </w:rPr>
              <w:t>1.5%</w:t>
            </w:r>
          </w:p>
        </w:tc>
      </w:tr>
      <w:tr w:rsidR="00164437" w:rsidRPr="00F7263B">
        <w:tc>
          <w:tcPr>
            <w:tcW w:w="3150" w:type="pct"/>
          </w:tcPr>
          <w:p w:rsidR="00164437" w:rsidRPr="00F7263B" w:rsidRDefault="009F3E11" w:rsidP="006F2F90">
            <w:pPr>
              <w:pStyle w:val="ListParagraph"/>
              <w:ind w:left="0"/>
              <w:rPr>
                <w:rFonts w:cs="Times New Roman"/>
                <w:sz w:val="20"/>
                <w:szCs w:val="20"/>
              </w:rPr>
            </w:pPr>
            <w:r w:rsidRPr="00F7263B">
              <w:rPr>
                <w:rFonts w:cs="Times New Roman"/>
                <w:sz w:val="20"/>
                <w:szCs w:val="20"/>
              </w:rPr>
              <w:t>R</w:t>
            </w:r>
            <w:r w:rsidR="006F2F90" w:rsidRPr="00F7263B">
              <w:rPr>
                <w:rFonts w:cs="Times New Roman"/>
                <w:sz w:val="20"/>
                <w:szCs w:val="20"/>
              </w:rPr>
              <w:t>oads p</w:t>
            </w:r>
            <w:r w:rsidR="00AF1EAD" w:rsidRPr="00F7263B">
              <w:rPr>
                <w:rFonts w:cs="Times New Roman"/>
                <w:sz w:val="20"/>
                <w:szCs w:val="20"/>
              </w:rPr>
              <w:t>aved road</w:t>
            </w:r>
            <w:r w:rsidR="006F2F90" w:rsidRPr="00F7263B">
              <w:rPr>
                <w:rFonts w:cs="Times New Roman"/>
                <w:sz w:val="20"/>
                <w:szCs w:val="20"/>
              </w:rPr>
              <w:t>s</w:t>
            </w:r>
            <w:r w:rsidR="00AF1EAD" w:rsidRPr="00F7263B">
              <w:rPr>
                <w:rFonts w:cs="Times New Roman"/>
                <w:sz w:val="20"/>
                <w:szCs w:val="20"/>
              </w:rPr>
              <w:t xml:space="preserve"> (s</w:t>
            </w:r>
            <w:r w:rsidR="00164437" w:rsidRPr="00F7263B">
              <w:rPr>
                <w:rFonts w:cs="Times New Roman"/>
                <w:sz w:val="20"/>
                <w:szCs w:val="20"/>
              </w:rPr>
              <w:t xml:space="preserve">urfaced with </w:t>
            </w:r>
            <w:r w:rsidR="006F2F90" w:rsidRPr="00F7263B">
              <w:rPr>
                <w:rFonts w:cs="Times New Roman"/>
                <w:sz w:val="20"/>
                <w:szCs w:val="20"/>
              </w:rPr>
              <w:t>a</w:t>
            </w:r>
            <w:r w:rsidR="00164437" w:rsidRPr="00F7263B">
              <w:rPr>
                <w:rFonts w:cs="Times New Roman"/>
                <w:sz w:val="20"/>
                <w:szCs w:val="20"/>
              </w:rPr>
              <w:t>sphalt or cobblestone)</w:t>
            </w:r>
          </w:p>
        </w:tc>
        <w:tc>
          <w:tcPr>
            <w:tcW w:w="1850" w:type="pct"/>
          </w:tcPr>
          <w:p w:rsidR="00164437" w:rsidRPr="00F7263B" w:rsidRDefault="00164437" w:rsidP="00254260">
            <w:pPr>
              <w:pStyle w:val="ListParagraph"/>
              <w:ind w:left="0" w:right="1170"/>
              <w:jc w:val="right"/>
              <w:rPr>
                <w:rFonts w:cs="Times New Roman"/>
                <w:sz w:val="20"/>
                <w:szCs w:val="20"/>
              </w:rPr>
            </w:pPr>
            <w:r w:rsidRPr="00F7263B">
              <w:rPr>
                <w:rFonts w:cs="Times New Roman"/>
                <w:sz w:val="20"/>
                <w:szCs w:val="20"/>
              </w:rPr>
              <w:t>22.8%</w:t>
            </w:r>
          </w:p>
        </w:tc>
      </w:tr>
      <w:tr w:rsidR="00164437" w:rsidRPr="00F7263B">
        <w:tc>
          <w:tcPr>
            <w:tcW w:w="3150" w:type="pct"/>
          </w:tcPr>
          <w:p w:rsidR="00164437" w:rsidRPr="00F7263B" w:rsidRDefault="009F3E11" w:rsidP="006F2F90">
            <w:pPr>
              <w:pStyle w:val="ListParagraph"/>
              <w:ind w:left="0"/>
              <w:rPr>
                <w:rFonts w:cs="Times New Roman"/>
                <w:sz w:val="20"/>
                <w:szCs w:val="20"/>
              </w:rPr>
            </w:pPr>
            <w:r w:rsidRPr="00F7263B">
              <w:rPr>
                <w:rFonts w:cs="Times New Roman"/>
                <w:sz w:val="20"/>
                <w:szCs w:val="20"/>
              </w:rPr>
              <w:t>R</w:t>
            </w:r>
            <w:r w:rsidR="00AF1EAD" w:rsidRPr="00F7263B">
              <w:rPr>
                <w:rFonts w:cs="Times New Roman"/>
                <w:sz w:val="20"/>
                <w:szCs w:val="20"/>
              </w:rPr>
              <w:t>oads with pedestrian w</w:t>
            </w:r>
            <w:r w:rsidR="00164437" w:rsidRPr="00F7263B">
              <w:rPr>
                <w:rFonts w:cs="Times New Roman"/>
                <w:sz w:val="20"/>
                <w:szCs w:val="20"/>
              </w:rPr>
              <w:t>alkways</w:t>
            </w:r>
          </w:p>
        </w:tc>
        <w:tc>
          <w:tcPr>
            <w:tcW w:w="1850" w:type="pct"/>
          </w:tcPr>
          <w:p w:rsidR="00164437" w:rsidRPr="00F7263B" w:rsidRDefault="00164437" w:rsidP="00254260">
            <w:pPr>
              <w:pStyle w:val="ListParagraph"/>
              <w:ind w:left="0" w:right="1170"/>
              <w:jc w:val="right"/>
              <w:rPr>
                <w:rFonts w:cs="Times New Roman"/>
                <w:sz w:val="20"/>
                <w:szCs w:val="20"/>
              </w:rPr>
            </w:pPr>
            <w:r w:rsidRPr="00F7263B">
              <w:rPr>
                <w:rFonts w:cs="Times New Roman"/>
                <w:sz w:val="20"/>
                <w:szCs w:val="20"/>
              </w:rPr>
              <w:t>8%</w:t>
            </w:r>
          </w:p>
        </w:tc>
      </w:tr>
    </w:tbl>
    <w:p w:rsidR="000E2353" w:rsidRPr="00F7263B" w:rsidRDefault="000E2353" w:rsidP="006F2F90">
      <w:pPr>
        <w:pStyle w:val="ListParagraph"/>
        <w:spacing w:before="60"/>
        <w:ind w:left="0"/>
        <w:rPr>
          <w:rFonts w:cs="Times New Roman"/>
          <w:iCs/>
          <w:sz w:val="20"/>
          <w:szCs w:val="20"/>
        </w:rPr>
      </w:pPr>
      <w:r w:rsidRPr="00F7263B">
        <w:rPr>
          <w:rFonts w:cs="Times New Roman"/>
          <w:i/>
          <w:iCs/>
          <w:sz w:val="20"/>
          <w:szCs w:val="20"/>
        </w:rPr>
        <w:t xml:space="preserve">Source: </w:t>
      </w:r>
      <w:r w:rsidR="00C518AF" w:rsidRPr="00F7263B">
        <w:rPr>
          <w:rFonts w:cs="Times New Roman"/>
          <w:iCs/>
          <w:sz w:val="20"/>
          <w:szCs w:val="20"/>
        </w:rPr>
        <w:t>SUDCA</w:t>
      </w:r>
      <w:r w:rsidR="00131536" w:rsidRPr="00F7263B">
        <w:rPr>
          <w:rFonts w:cs="Times New Roman"/>
          <w:iCs/>
          <w:sz w:val="20"/>
          <w:szCs w:val="20"/>
        </w:rPr>
        <w:t>, 2013, “Evaluation of Municipal Service Delivery of Cities Participating in ULGDP, for EFY 2004</w:t>
      </w:r>
      <w:r w:rsidR="00AF1EAD" w:rsidRPr="00F7263B">
        <w:rPr>
          <w:rFonts w:cs="Times New Roman"/>
          <w:iCs/>
          <w:sz w:val="20"/>
          <w:szCs w:val="20"/>
        </w:rPr>
        <w:t>,</w:t>
      </w:r>
      <w:r w:rsidR="00131536" w:rsidRPr="00F7263B">
        <w:rPr>
          <w:rFonts w:cs="Times New Roman"/>
          <w:iCs/>
          <w:sz w:val="20"/>
          <w:szCs w:val="20"/>
        </w:rPr>
        <w:t>” August 2013, Addis Ababa.</w:t>
      </w:r>
    </w:p>
    <w:p w:rsidR="000E2353" w:rsidRPr="00F7263B" w:rsidRDefault="000E2353" w:rsidP="00556F1B">
      <w:pPr>
        <w:pStyle w:val="ListParagraph"/>
        <w:autoSpaceDE w:val="0"/>
        <w:autoSpaceDN w:val="0"/>
        <w:adjustRightInd w:val="0"/>
        <w:spacing w:before="240"/>
        <w:ind w:left="0"/>
        <w:jc w:val="both"/>
        <w:rPr>
          <w:rFonts w:cs="Times New Roman"/>
          <w:sz w:val="20"/>
          <w:szCs w:val="20"/>
        </w:rPr>
      </w:pPr>
    </w:p>
    <w:p w:rsidR="00E269A0" w:rsidRPr="00F7263B" w:rsidRDefault="00646BC2" w:rsidP="00D92D63">
      <w:pPr>
        <w:pStyle w:val="ListParagraph"/>
        <w:numPr>
          <w:ilvl w:val="0"/>
          <w:numId w:val="9"/>
        </w:numPr>
        <w:spacing w:before="240"/>
        <w:ind w:left="0" w:firstLine="0"/>
        <w:jc w:val="both"/>
        <w:rPr>
          <w:rFonts w:cs="Times New Roman"/>
          <w:b/>
          <w:bCs/>
          <w:sz w:val="20"/>
          <w:szCs w:val="20"/>
        </w:rPr>
      </w:pPr>
      <w:r w:rsidRPr="00F7263B">
        <w:rPr>
          <w:rFonts w:cs="Times New Roman"/>
          <w:b/>
          <w:sz w:val="20"/>
          <w:szCs w:val="20"/>
        </w:rPr>
        <w:t xml:space="preserve">The </w:t>
      </w:r>
      <w:r w:rsidR="00B90036" w:rsidRPr="00F7263B">
        <w:rPr>
          <w:rFonts w:cs="Times New Roman"/>
          <w:b/>
          <w:sz w:val="20"/>
          <w:szCs w:val="20"/>
        </w:rPr>
        <w:t>government</w:t>
      </w:r>
      <w:r w:rsidR="004D2289">
        <w:rPr>
          <w:rFonts w:cs="Times New Roman"/>
          <w:b/>
          <w:sz w:val="20"/>
          <w:szCs w:val="20"/>
        </w:rPr>
        <w:t xml:space="preserve"> </w:t>
      </w:r>
      <w:r w:rsidR="00B90036" w:rsidRPr="00F7263B">
        <w:rPr>
          <w:rFonts w:cs="Times New Roman"/>
          <w:b/>
          <w:sz w:val="20"/>
          <w:szCs w:val="20"/>
        </w:rPr>
        <w:t>recognizes</w:t>
      </w:r>
      <w:r w:rsidRPr="00F7263B">
        <w:rPr>
          <w:rFonts w:cs="Times New Roman"/>
          <w:b/>
          <w:sz w:val="20"/>
          <w:szCs w:val="20"/>
        </w:rPr>
        <w:t xml:space="preserve"> the </w:t>
      </w:r>
      <w:r w:rsidR="00315973" w:rsidRPr="00F7263B">
        <w:rPr>
          <w:rFonts w:cs="Times New Roman"/>
          <w:b/>
          <w:sz w:val="20"/>
          <w:szCs w:val="20"/>
        </w:rPr>
        <w:t xml:space="preserve">institutional </w:t>
      </w:r>
      <w:r w:rsidR="008E2C7A" w:rsidRPr="00F7263B">
        <w:rPr>
          <w:rFonts w:cs="Times New Roman"/>
          <w:b/>
          <w:sz w:val="20"/>
          <w:szCs w:val="20"/>
        </w:rPr>
        <w:t>and capacity challenges across Ethiopia’s cities</w:t>
      </w:r>
      <w:r w:rsidR="00947DA2" w:rsidRPr="00F7263B">
        <w:rPr>
          <w:rFonts w:cs="Times New Roman"/>
          <w:b/>
          <w:sz w:val="20"/>
          <w:szCs w:val="20"/>
        </w:rPr>
        <w:t xml:space="preserve">.  </w:t>
      </w:r>
      <w:r w:rsidR="008E2C7A" w:rsidRPr="00F7263B">
        <w:rPr>
          <w:rFonts w:cs="Times New Roman"/>
          <w:b/>
          <w:sz w:val="20"/>
          <w:szCs w:val="20"/>
        </w:rPr>
        <w:t xml:space="preserve">It is also acutely aware of the </w:t>
      </w:r>
      <w:r w:rsidRPr="00F7263B">
        <w:rPr>
          <w:rFonts w:cs="Times New Roman"/>
          <w:b/>
          <w:sz w:val="20"/>
          <w:szCs w:val="20"/>
        </w:rPr>
        <w:t xml:space="preserve">importance of cities for the country’s growth and </w:t>
      </w:r>
      <w:r w:rsidR="00C766F8" w:rsidRPr="00F7263B">
        <w:rPr>
          <w:rFonts w:cs="Times New Roman"/>
          <w:b/>
          <w:sz w:val="20"/>
          <w:szCs w:val="20"/>
        </w:rPr>
        <w:t>development</w:t>
      </w:r>
      <w:r w:rsidR="00947DA2" w:rsidRPr="00F7263B">
        <w:rPr>
          <w:rFonts w:cs="Times New Roman"/>
          <w:b/>
          <w:sz w:val="20"/>
          <w:szCs w:val="20"/>
        </w:rPr>
        <w:t xml:space="preserve">.  </w:t>
      </w:r>
      <w:r w:rsidR="00947DA2" w:rsidRPr="00F7263B">
        <w:rPr>
          <w:rFonts w:cs="Times New Roman"/>
          <w:sz w:val="20"/>
          <w:szCs w:val="20"/>
        </w:rPr>
        <w:t>The g</w:t>
      </w:r>
      <w:r w:rsidR="008D2EE6" w:rsidRPr="00F7263B">
        <w:rPr>
          <w:rFonts w:cs="Times New Roman"/>
          <w:sz w:val="20"/>
          <w:szCs w:val="20"/>
        </w:rPr>
        <w:t>overnment</w:t>
      </w:r>
      <w:r w:rsidR="008A3275" w:rsidRPr="00F7263B">
        <w:rPr>
          <w:rFonts w:cs="Times New Roman"/>
          <w:sz w:val="20"/>
          <w:szCs w:val="20"/>
        </w:rPr>
        <w:t xml:space="preserve"> issued</w:t>
      </w:r>
      <w:r w:rsidR="00C766F8" w:rsidRPr="00F7263B">
        <w:rPr>
          <w:rFonts w:cs="Times New Roman"/>
          <w:sz w:val="20"/>
          <w:szCs w:val="20"/>
        </w:rPr>
        <w:t xml:space="preserve"> its first Urban Development Policy Note </w:t>
      </w:r>
      <w:r w:rsidR="008A3275" w:rsidRPr="00F7263B">
        <w:rPr>
          <w:rFonts w:cs="Times New Roman"/>
          <w:sz w:val="20"/>
          <w:szCs w:val="20"/>
        </w:rPr>
        <w:t>in 2005</w:t>
      </w:r>
      <w:r w:rsidR="00947DA2" w:rsidRPr="00F7263B">
        <w:rPr>
          <w:rFonts w:cs="Times New Roman"/>
          <w:sz w:val="20"/>
          <w:szCs w:val="20"/>
        </w:rPr>
        <w:t xml:space="preserve">.  </w:t>
      </w:r>
      <w:r w:rsidR="008A3275" w:rsidRPr="00F7263B">
        <w:rPr>
          <w:rFonts w:cs="Times New Roman"/>
          <w:sz w:val="20"/>
          <w:szCs w:val="20"/>
        </w:rPr>
        <w:t>In addition,</w:t>
      </w:r>
      <w:r w:rsidR="00C766F8" w:rsidRPr="00F7263B">
        <w:rPr>
          <w:rFonts w:cs="Times New Roman"/>
          <w:sz w:val="20"/>
          <w:szCs w:val="20"/>
        </w:rPr>
        <w:t xml:space="preserve"> the second Poverty Reduction Strategy Paper</w:t>
      </w:r>
      <w:r w:rsidR="008A3275" w:rsidRPr="00F7263B">
        <w:rPr>
          <w:rFonts w:cs="Times New Roman"/>
          <w:sz w:val="20"/>
          <w:szCs w:val="20"/>
        </w:rPr>
        <w:t xml:space="preserve"> and</w:t>
      </w:r>
      <w:r w:rsidR="00C766F8" w:rsidRPr="00F7263B">
        <w:rPr>
          <w:rFonts w:cs="Times New Roman"/>
          <w:sz w:val="20"/>
          <w:szCs w:val="20"/>
        </w:rPr>
        <w:t xml:space="preserve"> the Growth and Transformation Plan (GTP) for 2010/11</w:t>
      </w:r>
      <w:r w:rsidR="00DF6725" w:rsidRPr="00F7263B">
        <w:rPr>
          <w:rFonts w:cs="Times New Roman"/>
          <w:bCs/>
          <w:sz w:val="20"/>
          <w:szCs w:val="20"/>
        </w:rPr>
        <w:t>–</w:t>
      </w:r>
      <w:r w:rsidR="00C766F8" w:rsidRPr="00F7263B">
        <w:rPr>
          <w:rFonts w:cs="Times New Roman"/>
          <w:sz w:val="20"/>
          <w:szCs w:val="20"/>
        </w:rPr>
        <w:t>2014/15</w:t>
      </w:r>
      <w:r w:rsidR="008A3275" w:rsidRPr="00F7263B">
        <w:rPr>
          <w:rFonts w:cs="Times New Roman"/>
          <w:sz w:val="20"/>
          <w:szCs w:val="20"/>
        </w:rPr>
        <w:t xml:space="preserve"> both emphasized the importance of urban for the country’s development</w:t>
      </w:r>
      <w:r w:rsidR="00947DA2" w:rsidRPr="00F7263B">
        <w:rPr>
          <w:rFonts w:cs="Times New Roman"/>
          <w:sz w:val="20"/>
          <w:szCs w:val="20"/>
        </w:rPr>
        <w:t xml:space="preserve">.  </w:t>
      </w:r>
      <w:r w:rsidR="00C766F8" w:rsidRPr="00F7263B">
        <w:rPr>
          <w:rFonts w:cs="Times New Roman"/>
          <w:sz w:val="20"/>
          <w:szCs w:val="20"/>
        </w:rPr>
        <w:t xml:space="preserve">Most recently, the government has further elaborated the importance of urban governance in its </w:t>
      </w:r>
      <w:r w:rsidR="008A3275" w:rsidRPr="00F7263B">
        <w:rPr>
          <w:rFonts w:cs="Times New Roman"/>
          <w:sz w:val="20"/>
          <w:szCs w:val="20"/>
        </w:rPr>
        <w:t>forthcoming</w:t>
      </w:r>
      <w:r w:rsidR="00E17CBE" w:rsidRPr="00F7263B">
        <w:rPr>
          <w:rFonts w:cs="Times New Roman"/>
          <w:sz w:val="20"/>
          <w:szCs w:val="20"/>
        </w:rPr>
        <w:t xml:space="preserve"> Ethiopian Cities Prosperity Initiative: Building Green, Resilient and Well Governed Cities</w:t>
      </w:r>
      <w:r w:rsidR="002E24C3" w:rsidRPr="00F7263B">
        <w:rPr>
          <w:rFonts w:cs="Times New Roman"/>
          <w:sz w:val="20"/>
          <w:szCs w:val="20"/>
        </w:rPr>
        <w:t>,</w:t>
      </w:r>
      <w:r w:rsidR="004D2289">
        <w:rPr>
          <w:rFonts w:cs="Times New Roman"/>
          <w:sz w:val="20"/>
          <w:szCs w:val="20"/>
        </w:rPr>
        <w:t xml:space="preserve"> </w:t>
      </w:r>
      <w:r w:rsidRPr="00F7263B">
        <w:rPr>
          <w:rFonts w:cs="Times New Roman"/>
          <w:sz w:val="20"/>
          <w:szCs w:val="20"/>
        </w:rPr>
        <w:t xml:space="preserve">which </w:t>
      </w:r>
      <w:r w:rsidR="00B90036" w:rsidRPr="00F7263B">
        <w:rPr>
          <w:rFonts w:cs="Times New Roman"/>
          <w:sz w:val="20"/>
          <w:szCs w:val="20"/>
        </w:rPr>
        <w:t>lays out its medium and long-term</w:t>
      </w:r>
      <w:r w:rsidR="008A3275" w:rsidRPr="00F7263B">
        <w:rPr>
          <w:rFonts w:cs="Times New Roman"/>
          <w:sz w:val="20"/>
          <w:szCs w:val="20"/>
        </w:rPr>
        <w:t xml:space="preserve"> strategy for urban development</w:t>
      </w:r>
      <w:r w:rsidR="00947DA2" w:rsidRPr="00F7263B">
        <w:rPr>
          <w:rFonts w:cs="Times New Roman"/>
          <w:sz w:val="20"/>
          <w:szCs w:val="20"/>
        </w:rPr>
        <w:t xml:space="preserve">.  </w:t>
      </w:r>
      <w:r w:rsidRPr="00F7263B">
        <w:rPr>
          <w:rFonts w:cs="Times New Roman"/>
          <w:sz w:val="20"/>
          <w:szCs w:val="20"/>
        </w:rPr>
        <w:t xml:space="preserve">Collectively, these </w:t>
      </w:r>
      <w:r w:rsidR="00B90036" w:rsidRPr="00F7263B">
        <w:rPr>
          <w:rFonts w:cs="Times New Roman"/>
          <w:sz w:val="20"/>
          <w:szCs w:val="20"/>
        </w:rPr>
        <w:t xml:space="preserve">documents </w:t>
      </w:r>
      <w:r w:rsidR="000508E3" w:rsidRPr="00F7263B">
        <w:rPr>
          <w:rFonts w:cs="Times New Roman"/>
          <w:sz w:val="20"/>
          <w:szCs w:val="20"/>
        </w:rPr>
        <w:t>focus on building the institutional capacity at the urban local government level</w:t>
      </w:r>
      <w:r w:rsidR="004D2289">
        <w:rPr>
          <w:rFonts w:cs="Times New Roman"/>
          <w:sz w:val="20"/>
          <w:szCs w:val="20"/>
        </w:rPr>
        <w:t xml:space="preserve"> </w:t>
      </w:r>
      <w:r w:rsidR="000508E3" w:rsidRPr="00F7263B">
        <w:rPr>
          <w:rFonts w:cs="Times New Roman"/>
          <w:sz w:val="20"/>
          <w:szCs w:val="20"/>
        </w:rPr>
        <w:t>to</w:t>
      </w:r>
      <w:r w:rsidR="004D2289">
        <w:rPr>
          <w:rFonts w:cs="Times New Roman"/>
          <w:sz w:val="20"/>
          <w:szCs w:val="20"/>
        </w:rPr>
        <w:t xml:space="preserve"> </w:t>
      </w:r>
      <w:r w:rsidR="00BA4E36" w:rsidRPr="00F7263B">
        <w:rPr>
          <w:rFonts w:cs="Times New Roman"/>
          <w:sz w:val="20"/>
          <w:szCs w:val="20"/>
        </w:rPr>
        <w:t>promot</w:t>
      </w:r>
      <w:r w:rsidR="000508E3" w:rsidRPr="00F7263B">
        <w:rPr>
          <w:rFonts w:cs="Times New Roman"/>
          <w:sz w:val="20"/>
          <w:szCs w:val="20"/>
        </w:rPr>
        <w:t>e</w:t>
      </w:r>
      <w:r w:rsidR="00BA4E36" w:rsidRPr="00F7263B">
        <w:rPr>
          <w:rFonts w:cs="Times New Roman"/>
          <w:sz w:val="20"/>
          <w:szCs w:val="20"/>
        </w:rPr>
        <w:t xml:space="preserve"> livable </w:t>
      </w:r>
      <w:r w:rsidRPr="00F7263B">
        <w:rPr>
          <w:rFonts w:cs="Times New Roman"/>
          <w:sz w:val="20"/>
          <w:szCs w:val="20"/>
        </w:rPr>
        <w:t xml:space="preserve">urban centers </w:t>
      </w:r>
      <w:r w:rsidR="00132B19" w:rsidRPr="00F7263B">
        <w:rPr>
          <w:rFonts w:cs="Times New Roman"/>
          <w:sz w:val="20"/>
          <w:szCs w:val="20"/>
        </w:rPr>
        <w:t>and</w:t>
      </w:r>
      <w:r w:rsidR="004D2289">
        <w:rPr>
          <w:rFonts w:cs="Times New Roman"/>
          <w:sz w:val="20"/>
          <w:szCs w:val="20"/>
        </w:rPr>
        <w:t xml:space="preserve"> </w:t>
      </w:r>
      <w:r w:rsidRPr="00F7263B">
        <w:rPr>
          <w:rFonts w:cs="Times New Roman"/>
          <w:sz w:val="20"/>
          <w:szCs w:val="20"/>
        </w:rPr>
        <w:t>stimulate overall development</w:t>
      </w:r>
      <w:r w:rsidR="00E55AD8" w:rsidRPr="00F7263B">
        <w:rPr>
          <w:rFonts w:cs="Times New Roman"/>
          <w:sz w:val="20"/>
          <w:szCs w:val="20"/>
        </w:rPr>
        <w:t>.</w:t>
      </w:r>
    </w:p>
    <w:p w:rsidR="00AB6B31" w:rsidRPr="00F7263B" w:rsidRDefault="00AB6B31" w:rsidP="00AB6B31">
      <w:pPr>
        <w:pStyle w:val="ListParagraph"/>
        <w:spacing w:before="240"/>
        <w:ind w:left="0"/>
        <w:jc w:val="both"/>
        <w:rPr>
          <w:rFonts w:cs="Times New Roman"/>
          <w:bCs/>
          <w:sz w:val="20"/>
          <w:szCs w:val="20"/>
        </w:rPr>
      </w:pPr>
    </w:p>
    <w:p w:rsidR="002F384A" w:rsidRPr="00F7263B" w:rsidRDefault="002D22A0" w:rsidP="00D92D63">
      <w:pPr>
        <w:pStyle w:val="ListParagraph"/>
        <w:numPr>
          <w:ilvl w:val="0"/>
          <w:numId w:val="9"/>
        </w:numPr>
        <w:spacing w:before="240" w:after="200"/>
        <w:ind w:left="0" w:firstLine="0"/>
        <w:jc w:val="both"/>
        <w:rPr>
          <w:rFonts w:cs="Times New Roman"/>
          <w:sz w:val="20"/>
          <w:szCs w:val="20"/>
        </w:rPr>
      </w:pPr>
      <w:r w:rsidRPr="00F7263B">
        <w:rPr>
          <w:rFonts w:cs="Times New Roman"/>
          <w:b/>
          <w:sz w:val="20"/>
          <w:szCs w:val="20"/>
        </w:rPr>
        <w:t xml:space="preserve">Since 2000, the </w:t>
      </w:r>
      <w:r w:rsidR="002F384A" w:rsidRPr="00F7263B">
        <w:rPr>
          <w:rFonts w:cs="Times New Roman"/>
          <w:b/>
          <w:sz w:val="20"/>
          <w:szCs w:val="20"/>
        </w:rPr>
        <w:t xml:space="preserve">World Bank and the international development community have been supporting the decentralized service delivery framework and </w:t>
      </w:r>
      <w:r w:rsidR="00112A34" w:rsidRPr="00F7263B">
        <w:rPr>
          <w:rFonts w:cs="Times New Roman"/>
          <w:b/>
          <w:sz w:val="20"/>
          <w:szCs w:val="20"/>
        </w:rPr>
        <w:t xml:space="preserve">urban </w:t>
      </w:r>
      <w:r w:rsidR="002F384A" w:rsidRPr="00F7263B">
        <w:rPr>
          <w:rFonts w:cs="Times New Roman"/>
          <w:b/>
          <w:sz w:val="20"/>
          <w:szCs w:val="20"/>
        </w:rPr>
        <w:t xml:space="preserve">policy of </w:t>
      </w:r>
      <w:r w:rsidR="00AF1EAD" w:rsidRPr="00F7263B">
        <w:rPr>
          <w:rFonts w:cs="Times New Roman"/>
          <w:b/>
          <w:sz w:val="20"/>
          <w:szCs w:val="20"/>
        </w:rPr>
        <w:t>the government</w:t>
      </w:r>
      <w:r w:rsidR="00947DA2" w:rsidRPr="00F7263B">
        <w:rPr>
          <w:rFonts w:cs="Times New Roman"/>
          <w:b/>
          <w:sz w:val="20"/>
          <w:szCs w:val="20"/>
        </w:rPr>
        <w:t xml:space="preserve">.  </w:t>
      </w:r>
      <w:r w:rsidR="002F384A" w:rsidRPr="00F7263B">
        <w:rPr>
          <w:rFonts w:cs="Times New Roman"/>
          <w:sz w:val="20"/>
          <w:szCs w:val="20"/>
        </w:rPr>
        <w:t xml:space="preserve">The Bank has been supporting the government’s efforts to build </w:t>
      </w:r>
      <w:r w:rsidR="002C5D4A" w:rsidRPr="00F7263B">
        <w:rPr>
          <w:rFonts w:cs="Times New Roman"/>
          <w:sz w:val="20"/>
          <w:szCs w:val="20"/>
        </w:rPr>
        <w:t xml:space="preserve">institutional </w:t>
      </w:r>
      <w:r w:rsidR="002F384A" w:rsidRPr="00F7263B">
        <w:rPr>
          <w:rFonts w:cs="Times New Roman"/>
          <w:sz w:val="20"/>
          <w:szCs w:val="20"/>
        </w:rPr>
        <w:t>capacity across the country’s ULGs</w:t>
      </w:r>
      <w:r w:rsidR="004D2289">
        <w:rPr>
          <w:rFonts w:cs="Times New Roman"/>
          <w:sz w:val="20"/>
          <w:szCs w:val="20"/>
        </w:rPr>
        <w:t xml:space="preserve"> </w:t>
      </w:r>
      <w:r w:rsidR="002F384A" w:rsidRPr="00F7263B">
        <w:rPr>
          <w:rFonts w:cs="Times New Roman"/>
          <w:sz w:val="20"/>
          <w:szCs w:val="20"/>
        </w:rPr>
        <w:t>to enable them to effectively meet their important responsibilities</w:t>
      </w:r>
      <w:r w:rsidR="00947DA2" w:rsidRPr="00F7263B">
        <w:rPr>
          <w:rFonts w:cs="Times New Roman"/>
          <w:sz w:val="20"/>
          <w:szCs w:val="20"/>
        </w:rPr>
        <w:t xml:space="preserve">.  </w:t>
      </w:r>
      <w:r w:rsidR="002F384A" w:rsidRPr="00F7263B">
        <w:rPr>
          <w:rFonts w:cs="Times New Roman"/>
          <w:sz w:val="20"/>
          <w:szCs w:val="20"/>
        </w:rPr>
        <w:t>This partnership has been ongoing through a series of projects, starting with the Capacity Building for Decentralized Service Delivery project (2003) and later the Public Sector Capacity Building program (2004)</w:t>
      </w:r>
      <w:r w:rsidR="00947DA2" w:rsidRPr="00F7263B">
        <w:rPr>
          <w:rFonts w:cs="Times New Roman"/>
          <w:sz w:val="20"/>
          <w:szCs w:val="20"/>
        </w:rPr>
        <w:t xml:space="preserve">.  </w:t>
      </w:r>
    </w:p>
    <w:p w:rsidR="002F384A" w:rsidRPr="00F7263B" w:rsidRDefault="002F384A" w:rsidP="006A280E">
      <w:pPr>
        <w:pStyle w:val="ListParagraph"/>
        <w:ind w:left="90"/>
        <w:rPr>
          <w:rFonts w:cs="Times New Roman"/>
          <w:sz w:val="20"/>
          <w:szCs w:val="20"/>
        </w:rPr>
      </w:pPr>
    </w:p>
    <w:p w:rsidR="00F035D2" w:rsidRPr="00F7263B" w:rsidRDefault="00947DA2" w:rsidP="00380EF7">
      <w:pPr>
        <w:pStyle w:val="ListParagraph"/>
        <w:numPr>
          <w:ilvl w:val="0"/>
          <w:numId w:val="9"/>
        </w:numPr>
        <w:spacing w:before="240" w:after="200"/>
        <w:ind w:left="0" w:firstLine="0"/>
        <w:jc w:val="both"/>
        <w:rPr>
          <w:rFonts w:cs="Times New Roman"/>
          <w:sz w:val="20"/>
          <w:szCs w:val="20"/>
        </w:rPr>
      </w:pPr>
      <w:r w:rsidRPr="00F7263B">
        <w:rPr>
          <w:rFonts w:cs="Times New Roman"/>
          <w:b/>
          <w:sz w:val="20"/>
          <w:szCs w:val="20"/>
        </w:rPr>
        <w:t>T</w:t>
      </w:r>
      <w:r w:rsidR="002F384A" w:rsidRPr="00F7263B">
        <w:rPr>
          <w:rFonts w:cs="Times New Roman"/>
          <w:b/>
          <w:sz w:val="20"/>
          <w:szCs w:val="20"/>
        </w:rPr>
        <w:t xml:space="preserve">he government introduced </w:t>
      </w:r>
      <w:r w:rsidR="002D22A0" w:rsidRPr="00F7263B">
        <w:rPr>
          <w:rFonts w:cs="Times New Roman"/>
          <w:b/>
          <w:sz w:val="20"/>
          <w:szCs w:val="20"/>
        </w:rPr>
        <w:t>its</w:t>
      </w:r>
      <w:r w:rsidR="004D2289">
        <w:rPr>
          <w:rFonts w:cs="Times New Roman"/>
          <w:b/>
          <w:sz w:val="20"/>
          <w:szCs w:val="20"/>
        </w:rPr>
        <w:t xml:space="preserve"> </w:t>
      </w:r>
      <w:r w:rsidR="002F384A" w:rsidRPr="00F7263B">
        <w:rPr>
          <w:rFonts w:cs="Times New Roman"/>
          <w:b/>
          <w:sz w:val="20"/>
          <w:szCs w:val="20"/>
        </w:rPr>
        <w:t xml:space="preserve">Urban Local Government Development </w:t>
      </w:r>
      <w:r w:rsidR="00CF62F7" w:rsidRPr="00F7263B">
        <w:rPr>
          <w:rFonts w:cs="Times New Roman"/>
          <w:b/>
          <w:sz w:val="20"/>
          <w:szCs w:val="20"/>
        </w:rPr>
        <w:t xml:space="preserve">Program </w:t>
      </w:r>
      <w:r w:rsidR="002F384A" w:rsidRPr="00F7263B">
        <w:rPr>
          <w:rFonts w:cs="Times New Roman"/>
          <w:b/>
          <w:sz w:val="20"/>
          <w:szCs w:val="20"/>
        </w:rPr>
        <w:t>(ULGDP</w:t>
      </w:r>
      <w:r w:rsidR="002D22A0" w:rsidRPr="00F7263B">
        <w:rPr>
          <w:rFonts w:cs="Times New Roman"/>
          <w:b/>
          <w:sz w:val="20"/>
          <w:szCs w:val="20"/>
        </w:rPr>
        <w:t xml:space="preserve">, </w:t>
      </w:r>
      <w:r w:rsidR="002D22A0" w:rsidRPr="00F7263B">
        <w:rPr>
          <w:rFonts w:cs="Times New Roman"/>
          <w:b/>
          <w:i/>
          <w:sz w:val="20"/>
          <w:szCs w:val="20"/>
        </w:rPr>
        <w:t>the government program</w:t>
      </w:r>
      <w:r w:rsidR="002D22A0" w:rsidRPr="00F7263B">
        <w:rPr>
          <w:rFonts w:cs="Times New Roman"/>
          <w:b/>
          <w:sz w:val="20"/>
          <w:szCs w:val="20"/>
        </w:rPr>
        <w:t>) in 2008</w:t>
      </w:r>
      <w:r w:rsidRPr="00F7263B">
        <w:rPr>
          <w:rFonts w:cs="Times New Roman"/>
          <w:b/>
          <w:sz w:val="20"/>
          <w:szCs w:val="20"/>
        </w:rPr>
        <w:t xml:space="preserve">.  </w:t>
      </w:r>
      <w:r w:rsidR="00580106" w:rsidRPr="00F7263B">
        <w:rPr>
          <w:rFonts w:cs="Times New Roman"/>
          <w:sz w:val="20"/>
          <w:szCs w:val="20"/>
        </w:rPr>
        <w:t xml:space="preserve">Defined in further </w:t>
      </w:r>
      <w:r w:rsidR="00D56502" w:rsidRPr="00F7263B">
        <w:rPr>
          <w:rFonts w:cs="Times New Roman"/>
          <w:sz w:val="20"/>
          <w:szCs w:val="20"/>
        </w:rPr>
        <w:t xml:space="preserve">detail in </w:t>
      </w:r>
      <w:r w:rsidR="00580106" w:rsidRPr="00F7263B">
        <w:rPr>
          <w:rFonts w:cs="Times New Roman"/>
          <w:sz w:val="20"/>
          <w:szCs w:val="20"/>
        </w:rPr>
        <w:t>this document, the government program</w:t>
      </w:r>
      <w:r w:rsidR="00D56502" w:rsidRPr="00F7263B">
        <w:rPr>
          <w:rFonts w:cs="Times New Roman"/>
          <w:sz w:val="20"/>
          <w:szCs w:val="20"/>
        </w:rPr>
        <w:t>’s main thrust is to leverage</w:t>
      </w:r>
      <w:r w:rsidR="00580106" w:rsidRPr="00F7263B">
        <w:rPr>
          <w:rFonts w:cs="Times New Roman"/>
          <w:sz w:val="20"/>
          <w:szCs w:val="20"/>
        </w:rPr>
        <w:t xml:space="preserve"> institutional capacity </w:t>
      </w:r>
      <w:r w:rsidR="00D56502" w:rsidRPr="00F7263B">
        <w:rPr>
          <w:rFonts w:cs="Times New Roman"/>
          <w:sz w:val="20"/>
          <w:szCs w:val="20"/>
        </w:rPr>
        <w:t>at the urban local government level</w:t>
      </w:r>
      <w:r w:rsidR="004D2289">
        <w:rPr>
          <w:rFonts w:cs="Times New Roman"/>
          <w:sz w:val="20"/>
          <w:szCs w:val="20"/>
        </w:rPr>
        <w:t xml:space="preserve"> </w:t>
      </w:r>
      <w:r w:rsidR="00D56502" w:rsidRPr="00F7263B">
        <w:rPr>
          <w:rFonts w:cs="Times New Roman"/>
          <w:sz w:val="20"/>
          <w:szCs w:val="20"/>
        </w:rPr>
        <w:t xml:space="preserve">to improve service delivery and urban </w:t>
      </w:r>
      <w:r w:rsidR="00F035D2" w:rsidRPr="00F7263B">
        <w:rPr>
          <w:rFonts w:cs="Times New Roman"/>
          <w:sz w:val="20"/>
          <w:szCs w:val="20"/>
        </w:rPr>
        <w:t xml:space="preserve">infrastructure and its </w:t>
      </w:r>
      <w:r w:rsidR="00580106" w:rsidRPr="00F7263B">
        <w:rPr>
          <w:rFonts w:cs="Times New Roman"/>
          <w:sz w:val="20"/>
          <w:szCs w:val="20"/>
        </w:rPr>
        <w:t xml:space="preserve">overall objective is to support improved </w:t>
      </w:r>
      <w:r w:rsidR="00F035D2" w:rsidRPr="00F7263B">
        <w:rPr>
          <w:rFonts w:cs="Times New Roman"/>
          <w:sz w:val="20"/>
          <w:szCs w:val="20"/>
        </w:rPr>
        <w:t xml:space="preserve">institutional </w:t>
      </w:r>
      <w:r w:rsidR="00580106" w:rsidRPr="00F7263B">
        <w:rPr>
          <w:rFonts w:cs="Times New Roman"/>
          <w:sz w:val="20"/>
          <w:szCs w:val="20"/>
        </w:rPr>
        <w:t>performance in the planning, delivery, and sustained provision of urban services and infrastructure by local governments</w:t>
      </w:r>
      <w:r w:rsidRPr="00F7263B">
        <w:rPr>
          <w:rFonts w:cs="Times New Roman"/>
          <w:sz w:val="20"/>
          <w:szCs w:val="20"/>
        </w:rPr>
        <w:t xml:space="preserve">.  </w:t>
      </w:r>
      <w:r w:rsidR="00F035D2" w:rsidRPr="00F7263B">
        <w:rPr>
          <w:rFonts w:cs="Times New Roman"/>
          <w:sz w:val="20"/>
          <w:szCs w:val="20"/>
        </w:rPr>
        <w:t xml:space="preserve">Under ULGDP, grants to ULGs are provided based on their performance </w:t>
      </w:r>
      <w:r w:rsidRPr="00F7263B">
        <w:rPr>
          <w:rFonts w:cs="Times New Roman"/>
          <w:sz w:val="20"/>
          <w:szCs w:val="20"/>
        </w:rPr>
        <w:t>in</w:t>
      </w:r>
      <w:r w:rsidR="00F035D2" w:rsidRPr="00F7263B">
        <w:rPr>
          <w:rFonts w:cs="Times New Roman"/>
          <w:sz w:val="20"/>
          <w:szCs w:val="20"/>
        </w:rPr>
        <w:t xml:space="preserve"> a range of key urban institutional areas</w:t>
      </w:r>
      <w:r w:rsidRPr="00F7263B">
        <w:rPr>
          <w:rFonts w:cs="Times New Roman"/>
          <w:sz w:val="20"/>
          <w:szCs w:val="20"/>
        </w:rPr>
        <w:t>,</w:t>
      </w:r>
      <w:r w:rsidR="00F035D2" w:rsidRPr="00F7263B">
        <w:rPr>
          <w:rFonts w:cs="Times New Roman"/>
          <w:sz w:val="20"/>
          <w:szCs w:val="20"/>
        </w:rPr>
        <w:t xml:space="preserve"> such as participatory budgeting, fiduciary management,</w:t>
      </w:r>
      <w:r w:rsidR="004D2289">
        <w:rPr>
          <w:rFonts w:cs="Times New Roman"/>
          <w:sz w:val="20"/>
          <w:szCs w:val="20"/>
        </w:rPr>
        <w:t xml:space="preserve"> </w:t>
      </w:r>
      <w:r w:rsidR="00493770" w:rsidRPr="00F7263B">
        <w:rPr>
          <w:rFonts w:cs="Times New Roman"/>
          <w:sz w:val="20"/>
          <w:szCs w:val="20"/>
        </w:rPr>
        <w:t>and social</w:t>
      </w:r>
      <w:r w:rsidR="00F035D2" w:rsidRPr="00F7263B">
        <w:rPr>
          <w:rFonts w:cs="Times New Roman"/>
          <w:sz w:val="20"/>
          <w:szCs w:val="20"/>
        </w:rPr>
        <w:t xml:space="preserve"> and environmental systems management, among others</w:t>
      </w:r>
      <w:r w:rsidRPr="00F7263B">
        <w:rPr>
          <w:rFonts w:cs="Times New Roman"/>
          <w:sz w:val="20"/>
          <w:szCs w:val="20"/>
        </w:rPr>
        <w:t xml:space="preserve">.  </w:t>
      </w:r>
      <w:r w:rsidR="00F035D2" w:rsidRPr="00F7263B">
        <w:rPr>
          <w:rFonts w:cs="Times New Roman"/>
          <w:sz w:val="20"/>
          <w:szCs w:val="20"/>
        </w:rPr>
        <w:t xml:space="preserve">The local governments use these funds on urban infrastructure </w:t>
      </w:r>
      <w:r w:rsidRPr="00F7263B">
        <w:rPr>
          <w:rFonts w:cs="Times New Roman"/>
          <w:sz w:val="20"/>
          <w:szCs w:val="20"/>
        </w:rPr>
        <w:t xml:space="preserve">and services.  </w:t>
      </w:r>
    </w:p>
    <w:p w:rsidR="00F035D2" w:rsidRPr="00F7263B" w:rsidRDefault="00F035D2" w:rsidP="00947DA2">
      <w:pPr>
        <w:pStyle w:val="ListParagraph"/>
        <w:spacing w:before="240"/>
        <w:ind w:left="0"/>
        <w:jc w:val="both"/>
        <w:rPr>
          <w:rFonts w:cs="Times New Roman"/>
          <w:sz w:val="20"/>
          <w:szCs w:val="20"/>
        </w:rPr>
      </w:pPr>
    </w:p>
    <w:p w:rsidR="00EB2490" w:rsidRPr="00F7263B" w:rsidRDefault="00F035D2" w:rsidP="00380EF7">
      <w:pPr>
        <w:pStyle w:val="ListParagraph"/>
        <w:numPr>
          <w:ilvl w:val="0"/>
          <w:numId w:val="9"/>
        </w:numPr>
        <w:spacing w:before="240" w:after="200"/>
        <w:ind w:left="0" w:firstLine="0"/>
        <w:jc w:val="both"/>
        <w:rPr>
          <w:rFonts w:cs="Times New Roman"/>
          <w:sz w:val="20"/>
          <w:szCs w:val="20"/>
        </w:rPr>
      </w:pPr>
      <w:r w:rsidRPr="00F7263B">
        <w:rPr>
          <w:rFonts w:cs="Times New Roman"/>
          <w:b/>
          <w:sz w:val="20"/>
          <w:szCs w:val="20"/>
        </w:rPr>
        <w:t>The government intends to</w:t>
      </w:r>
      <w:r w:rsidR="00947DA2" w:rsidRPr="00F7263B">
        <w:rPr>
          <w:rFonts w:cs="Times New Roman"/>
          <w:b/>
          <w:sz w:val="20"/>
          <w:szCs w:val="20"/>
        </w:rPr>
        <w:t xml:space="preserve"> gradually</w:t>
      </w:r>
      <w:r w:rsidRPr="00F7263B">
        <w:rPr>
          <w:rFonts w:cs="Times New Roman"/>
          <w:b/>
          <w:sz w:val="20"/>
          <w:szCs w:val="20"/>
        </w:rPr>
        <w:t xml:space="preserve"> roll out this institutional </w:t>
      </w:r>
      <w:r w:rsidR="00D0377C" w:rsidRPr="00F7263B">
        <w:rPr>
          <w:rFonts w:cs="Times New Roman"/>
          <w:b/>
          <w:sz w:val="20"/>
          <w:szCs w:val="20"/>
        </w:rPr>
        <w:t>performance-based</w:t>
      </w:r>
      <w:r w:rsidRPr="00F7263B">
        <w:rPr>
          <w:rFonts w:cs="Times New Roman"/>
          <w:b/>
          <w:sz w:val="20"/>
          <w:szCs w:val="20"/>
        </w:rPr>
        <w:t xml:space="preserve"> fiscal transfer system to all 84 ULGs in the country with population</w:t>
      </w:r>
      <w:r w:rsidR="008E2B78" w:rsidRPr="00F7263B">
        <w:rPr>
          <w:rFonts w:cs="Times New Roman"/>
          <w:b/>
          <w:sz w:val="20"/>
          <w:szCs w:val="20"/>
        </w:rPr>
        <w:t>s</w:t>
      </w:r>
      <w:r w:rsidRPr="00F7263B">
        <w:rPr>
          <w:rFonts w:cs="Times New Roman"/>
          <w:b/>
          <w:sz w:val="20"/>
          <w:szCs w:val="20"/>
        </w:rPr>
        <w:t xml:space="preserve"> over 20,000</w:t>
      </w:r>
      <w:r w:rsidR="008E2B78" w:rsidRPr="00F7263B">
        <w:rPr>
          <w:rFonts w:cs="Times New Roman"/>
          <w:b/>
          <w:sz w:val="20"/>
          <w:szCs w:val="20"/>
        </w:rPr>
        <w:t>.</w:t>
      </w:r>
      <w:r w:rsidR="00947DA2" w:rsidRPr="00F7263B">
        <w:rPr>
          <w:rFonts w:cs="Times New Roman"/>
          <w:sz w:val="20"/>
          <w:szCs w:val="20"/>
        </w:rPr>
        <w:t xml:space="preserve">It also plans to </w:t>
      </w:r>
      <w:r w:rsidRPr="00F7263B">
        <w:rPr>
          <w:rFonts w:cs="Times New Roman"/>
          <w:sz w:val="20"/>
          <w:szCs w:val="20"/>
        </w:rPr>
        <w:t xml:space="preserve">gradually expand the scope </w:t>
      </w:r>
      <w:r w:rsidR="008E2B78" w:rsidRPr="00F7263B">
        <w:rPr>
          <w:rFonts w:cs="Times New Roman"/>
          <w:sz w:val="20"/>
          <w:szCs w:val="20"/>
        </w:rPr>
        <w:t>of</w:t>
      </w:r>
      <w:r w:rsidRPr="00F7263B">
        <w:rPr>
          <w:rFonts w:cs="Times New Roman"/>
          <w:sz w:val="20"/>
          <w:szCs w:val="20"/>
        </w:rPr>
        <w:t xml:space="preserve"> the federal and regional governments in capacity building and program administration</w:t>
      </w:r>
      <w:r w:rsidR="008E2B78" w:rsidRPr="00F7263B">
        <w:rPr>
          <w:rFonts w:cs="Times New Roman"/>
          <w:sz w:val="20"/>
          <w:szCs w:val="20"/>
        </w:rPr>
        <w:t xml:space="preserve">.  </w:t>
      </w:r>
      <w:r w:rsidRPr="00F7263B">
        <w:rPr>
          <w:rFonts w:cs="Times New Roman"/>
          <w:sz w:val="20"/>
          <w:szCs w:val="20"/>
        </w:rPr>
        <w:t>The first phaseof the program included 18 ULGs and Addis Ababa with a budget envelope of US$416 million</w:t>
      </w:r>
      <w:r w:rsidR="008E2B78" w:rsidRPr="00F7263B">
        <w:rPr>
          <w:rFonts w:cs="Times New Roman"/>
          <w:sz w:val="20"/>
          <w:szCs w:val="20"/>
        </w:rPr>
        <w:t xml:space="preserve">.  </w:t>
      </w:r>
      <w:r w:rsidRPr="00F7263B">
        <w:rPr>
          <w:rFonts w:cs="Times New Roman"/>
          <w:sz w:val="20"/>
          <w:szCs w:val="20"/>
        </w:rPr>
        <w:t xml:space="preserve">The World Bank has been supporting the first phase of the program </w:t>
      </w:r>
      <w:r w:rsidR="00EB2490" w:rsidRPr="00F7263B">
        <w:rPr>
          <w:rFonts w:cs="Times New Roman"/>
          <w:sz w:val="20"/>
          <w:szCs w:val="20"/>
        </w:rPr>
        <w:t xml:space="preserve">since its initiation in 2008 </w:t>
      </w:r>
      <w:r w:rsidRPr="00F7263B">
        <w:rPr>
          <w:rFonts w:cs="Times New Roman"/>
          <w:sz w:val="20"/>
          <w:szCs w:val="20"/>
        </w:rPr>
        <w:t>by providing US$300 million of the program budget in the form of a Specific Investment Loan</w:t>
      </w:r>
      <w:r w:rsidR="003D487F" w:rsidRPr="00F7263B">
        <w:rPr>
          <w:rFonts w:cs="Times New Roman"/>
          <w:sz w:val="20"/>
          <w:szCs w:val="20"/>
        </w:rPr>
        <w:t xml:space="preserve"> (an original credit supplemented by additional financing)</w:t>
      </w:r>
      <w:r w:rsidR="008E2B78" w:rsidRPr="00F7263B">
        <w:rPr>
          <w:rFonts w:cs="Times New Roman"/>
          <w:sz w:val="20"/>
          <w:szCs w:val="20"/>
        </w:rPr>
        <w:t xml:space="preserve">.  </w:t>
      </w:r>
    </w:p>
    <w:p w:rsidR="00EB2490" w:rsidRPr="00F7263B" w:rsidRDefault="00EB2490" w:rsidP="00947DA2">
      <w:pPr>
        <w:pStyle w:val="ListParagraph"/>
        <w:spacing w:before="240"/>
        <w:ind w:left="0"/>
        <w:jc w:val="both"/>
        <w:rPr>
          <w:rFonts w:cs="Times New Roman"/>
          <w:sz w:val="20"/>
          <w:szCs w:val="20"/>
        </w:rPr>
      </w:pPr>
    </w:p>
    <w:p w:rsidR="00EB2490" w:rsidRPr="00F7263B" w:rsidRDefault="00291B2D" w:rsidP="00380EF7">
      <w:pPr>
        <w:pStyle w:val="ListParagraph"/>
        <w:numPr>
          <w:ilvl w:val="0"/>
          <w:numId w:val="9"/>
        </w:numPr>
        <w:spacing w:before="240" w:after="200"/>
        <w:ind w:left="0" w:firstLine="0"/>
        <w:jc w:val="both"/>
        <w:rPr>
          <w:rFonts w:cs="Times New Roman"/>
          <w:sz w:val="20"/>
          <w:szCs w:val="20"/>
        </w:rPr>
      </w:pPr>
      <w:r w:rsidRPr="00F7263B">
        <w:rPr>
          <w:rFonts w:cs="Times New Roman"/>
          <w:b/>
          <w:sz w:val="20"/>
          <w:szCs w:val="20"/>
        </w:rPr>
        <w:t xml:space="preserve">The </w:t>
      </w:r>
      <w:r w:rsidR="00EB2490" w:rsidRPr="00F7263B">
        <w:rPr>
          <w:rFonts w:cs="Times New Roman"/>
          <w:b/>
          <w:sz w:val="20"/>
          <w:szCs w:val="20"/>
        </w:rPr>
        <w:t xml:space="preserve">government now wishes to embark on the second phase of the program and </w:t>
      </w:r>
      <w:r w:rsidRPr="00F7263B">
        <w:rPr>
          <w:rFonts w:cs="Times New Roman"/>
          <w:b/>
          <w:sz w:val="20"/>
          <w:szCs w:val="20"/>
        </w:rPr>
        <w:t>is seeking continued</w:t>
      </w:r>
      <w:r w:rsidR="00EB2490" w:rsidRPr="00F7263B">
        <w:rPr>
          <w:rFonts w:cs="Times New Roman"/>
          <w:b/>
          <w:sz w:val="20"/>
          <w:szCs w:val="20"/>
        </w:rPr>
        <w:t xml:space="preserve"> World Bank support through the use of the Program </w:t>
      </w:r>
      <w:r w:rsidRPr="00F7263B">
        <w:rPr>
          <w:rFonts w:cs="Times New Roman"/>
          <w:b/>
          <w:sz w:val="20"/>
          <w:szCs w:val="20"/>
        </w:rPr>
        <w:t>for Results (PforR) instrument</w:t>
      </w:r>
      <w:r w:rsidR="000A1A16" w:rsidRPr="00F7263B">
        <w:rPr>
          <w:rFonts w:cs="Times New Roman"/>
          <w:b/>
          <w:sz w:val="20"/>
          <w:szCs w:val="20"/>
        </w:rPr>
        <w:t>.</w:t>
      </w:r>
      <w:r w:rsidR="009E3481" w:rsidRPr="00F7263B">
        <w:rPr>
          <w:rFonts w:cs="Times New Roman"/>
          <w:b/>
          <w:sz w:val="20"/>
          <w:szCs w:val="20"/>
        </w:rPr>
        <w:t xml:space="preserve"> </w:t>
      </w:r>
      <w:r w:rsidR="000A1A16" w:rsidRPr="00F7263B">
        <w:rPr>
          <w:rFonts w:cs="Times New Roman"/>
          <w:sz w:val="20"/>
          <w:szCs w:val="20"/>
        </w:rPr>
        <w:t>This second phase</w:t>
      </w:r>
      <w:r w:rsidR="000A1A16" w:rsidRPr="00F7263B">
        <w:rPr>
          <w:sz w:val="20"/>
          <w:szCs w:val="20"/>
        </w:rPr>
        <w:t>—</w:t>
      </w:r>
      <w:r w:rsidR="00EB2490" w:rsidRPr="00F7263B">
        <w:rPr>
          <w:rFonts w:cs="Times New Roman"/>
          <w:sz w:val="20"/>
          <w:szCs w:val="20"/>
        </w:rPr>
        <w:t>ULGDP II</w:t>
      </w:r>
      <w:r w:rsidR="000A1A16" w:rsidRPr="00F7263B">
        <w:rPr>
          <w:sz w:val="20"/>
          <w:szCs w:val="20"/>
        </w:rPr>
        <w:t>—</w:t>
      </w:r>
      <w:r w:rsidR="00EB2490" w:rsidRPr="00F7263B">
        <w:rPr>
          <w:rFonts w:cs="Times New Roman"/>
          <w:sz w:val="20"/>
          <w:szCs w:val="20"/>
        </w:rPr>
        <w:t xml:space="preserve">will cover </w:t>
      </w:r>
      <w:r w:rsidRPr="00F7263B">
        <w:rPr>
          <w:rFonts w:cs="Times New Roman"/>
          <w:sz w:val="20"/>
          <w:szCs w:val="20"/>
        </w:rPr>
        <w:t xml:space="preserve">26 new ULGs (for a total of </w:t>
      </w:r>
      <w:r w:rsidR="00EB2490" w:rsidRPr="00F7263B">
        <w:rPr>
          <w:rFonts w:cs="Times New Roman"/>
          <w:sz w:val="20"/>
          <w:szCs w:val="20"/>
        </w:rPr>
        <w:t>44 ULGs</w:t>
      </w:r>
      <w:r w:rsidR="000A1A16" w:rsidRPr="00F7263B">
        <w:rPr>
          <w:rFonts w:cs="Times New Roman"/>
          <w:sz w:val="20"/>
          <w:szCs w:val="20"/>
        </w:rPr>
        <w:t xml:space="preserve">) </w:t>
      </w:r>
      <w:r w:rsidR="00FF3E9C" w:rsidRPr="00F7263B">
        <w:rPr>
          <w:rFonts w:cs="Times New Roman"/>
          <w:sz w:val="20"/>
          <w:szCs w:val="20"/>
        </w:rPr>
        <w:t xml:space="preserve">across </w:t>
      </w:r>
      <w:r w:rsidR="000A1A16" w:rsidRPr="00F7263B">
        <w:rPr>
          <w:rFonts w:cs="Times New Roman"/>
          <w:sz w:val="20"/>
          <w:szCs w:val="20"/>
        </w:rPr>
        <w:t>nine</w:t>
      </w:r>
      <w:r w:rsidR="00EB2490" w:rsidRPr="00F7263B">
        <w:rPr>
          <w:rFonts w:cs="Times New Roman"/>
          <w:sz w:val="20"/>
          <w:szCs w:val="20"/>
        </w:rPr>
        <w:t xml:space="preserve"> regional governments</w:t>
      </w:r>
      <w:r w:rsidR="000A1A16" w:rsidRPr="00F7263B">
        <w:rPr>
          <w:rFonts w:cs="Times New Roman"/>
          <w:sz w:val="20"/>
          <w:szCs w:val="20"/>
        </w:rPr>
        <w:t>.  It</w:t>
      </w:r>
      <w:r w:rsidR="004D2289">
        <w:rPr>
          <w:rFonts w:cs="Times New Roman"/>
          <w:sz w:val="20"/>
          <w:szCs w:val="20"/>
        </w:rPr>
        <w:t xml:space="preserve"> </w:t>
      </w:r>
      <w:r w:rsidR="000A1A16" w:rsidRPr="00F7263B">
        <w:rPr>
          <w:rFonts w:cs="Times New Roman"/>
          <w:sz w:val="20"/>
          <w:szCs w:val="20"/>
        </w:rPr>
        <w:t xml:space="preserve">will maintain the </w:t>
      </w:r>
      <w:r w:rsidR="00EB2490" w:rsidRPr="00F7263B">
        <w:rPr>
          <w:rFonts w:cs="Times New Roman"/>
          <w:sz w:val="20"/>
          <w:szCs w:val="20"/>
        </w:rPr>
        <w:t>performance-based disbursement</w:t>
      </w:r>
      <w:r w:rsidR="000A1A16" w:rsidRPr="00F7263B">
        <w:rPr>
          <w:rFonts w:cs="Times New Roman"/>
          <w:sz w:val="20"/>
          <w:szCs w:val="20"/>
        </w:rPr>
        <w:t>s</w:t>
      </w:r>
      <w:r w:rsidR="00EB2490" w:rsidRPr="00F7263B">
        <w:rPr>
          <w:rFonts w:cs="Times New Roman"/>
          <w:sz w:val="20"/>
          <w:szCs w:val="20"/>
        </w:rPr>
        <w:t xml:space="preserve"> modality </w:t>
      </w:r>
      <w:r w:rsidR="000A1A16" w:rsidRPr="00F7263B">
        <w:rPr>
          <w:rFonts w:cs="Times New Roman"/>
          <w:sz w:val="20"/>
          <w:szCs w:val="20"/>
        </w:rPr>
        <w:t xml:space="preserve">to ULGs </w:t>
      </w:r>
      <w:r w:rsidR="00EB2490" w:rsidRPr="00F7263B">
        <w:rPr>
          <w:rFonts w:cs="Times New Roman"/>
          <w:sz w:val="20"/>
          <w:szCs w:val="20"/>
        </w:rPr>
        <w:t>established under phase</w:t>
      </w:r>
      <w:r w:rsidR="009E3481" w:rsidRPr="00F7263B">
        <w:rPr>
          <w:rFonts w:cs="Times New Roman"/>
          <w:sz w:val="20"/>
          <w:szCs w:val="20"/>
        </w:rPr>
        <w:t xml:space="preserve"> </w:t>
      </w:r>
      <w:r w:rsidRPr="00F7263B">
        <w:rPr>
          <w:rFonts w:cs="Times New Roman"/>
          <w:sz w:val="20"/>
          <w:szCs w:val="20"/>
        </w:rPr>
        <w:t>one</w:t>
      </w:r>
      <w:r w:rsidR="000A1A16" w:rsidRPr="00F7263B">
        <w:rPr>
          <w:rFonts w:cs="Times New Roman"/>
          <w:sz w:val="20"/>
          <w:szCs w:val="20"/>
        </w:rPr>
        <w:t xml:space="preserve">.  </w:t>
      </w:r>
      <w:r w:rsidR="00A6280A" w:rsidRPr="00F7263B">
        <w:rPr>
          <w:rFonts w:cs="Times New Roman"/>
          <w:sz w:val="20"/>
          <w:szCs w:val="20"/>
        </w:rPr>
        <w:t>Under phase two, t</w:t>
      </w:r>
      <w:r w:rsidR="00EB2490" w:rsidRPr="00F7263B">
        <w:rPr>
          <w:rFonts w:cs="Times New Roman"/>
          <w:sz w:val="20"/>
          <w:szCs w:val="20"/>
        </w:rPr>
        <w:t>he scope and boundaries of the PforR</w:t>
      </w:r>
      <w:r w:rsidR="009E3481" w:rsidRPr="00F7263B">
        <w:rPr>
          <w:rFonts w:cs="Times New Roman"/>
          <w:sz w:val="20"/>
          <w:szCs w:val="20"/>
        </w:rPr>
        <w:t xml:space="preserve"> </w:t>
      </w:r>
      <w:r w:rsidR="00A6280A" w:rsidRPr="00F7263B">
        <w:rPr>
          <w:rFonts w:cs="Times New Roman"/>
          <w:sz w:val="20"/>
          <w:szCs w:val="20"/>
        </w:rPr>
        <w:t xml:space="preserve">will be identical to the scope and boundaries of the </w:t>
      </w:r>
      <w:r w:rsidR="00C16694" w:rsidRPr="00F7263B">
        <w:rPr>
          <w:rFonts w:cs="Times New Roman"/>
          <w:sz w:val="20"/>
          <w:szCs w:val="20"/>
        </w:rPr>
        <w:t>government program</w:t>
      </w:r>
      <w:r w:rsidR="000A1A16" w:rsidRPr="00F7263B">
        <w:rPr>
          <w:rFonts w:cs="Times New Roman"/>
          <w:sz w:val="20"/>
          <w:szCs w:val="20"/>
        </w:rPr>
        <w:t>. T</w:t>
      </w:r>
      <w:r w:rsidR="00C16694" w:rsidRPr="00F7263B">
        <w:rPr>
          <w:rFonts w:cs="Times New Roman"/>
          <w:sz w:val="20"/>
          <w:szCs w:val="20"/>
        </w:rPr>
        <w:t>hus</w:t>
      </w:r>
      <w:r w:rsidR="000A1A16" w:rsidRPr="00F7263B">
        <w:rPr>
          <w:rFonts w:cs="Times New Roman"/>
          <w:sz w:val="20"/>
          <w:szCs w:val="20"/>
        </w:rPr>
        <w:t>,</w:t>
      </w:r>
      <w:r w:rsidR="00C16694" w:rsidRPr="00F7263B">
        <w:rPr>
          <w:rFonts w:cs="Times New Roman"/>
          <w:sz w:val="20"/>
          <w:szCs w:val="20"/>
        </w:rPr>
        <w:t xml:space="preserve"> ULGDP II is</w:t>
      </w:r>
      <w:r w:rsidR="009E3481" w:rsidRPr="00F7263B">
        <w:rPr>
          <w:rFonts w:cs="Times New Roman"/>
          <w:sz w:val="20"/>
          <w:szCs w:val="20"/>
        </w:rPr>
        <w:t xml:space="preserve"> </w:t>
      </w:r>
      <w:r w:rsidR="0068255C" w:rsidRPr="00F7263B">
        <w:rPr>
          <w:rFonts w:cs="Times New Roman"/>
          <w:sz w:val="20"/>
          <w:szCs w:val="20"/>
        </w:rPr>
        <w:t xml:space="preserve">supporting ULGs </w:t>
      </w:r>
      <w:r w:rsidR="00650C0D" w:rsidRPr="00F7263B">
        <w:rPr>
          <w:rFonts w:cs="Times New Roman"/>
          <w:sz w:val="20"/>
          <w:szCs w:val="20"/>
        </w:rPr>
        <w:t>with financing provided partly by t</w:t>
      </w:r>
      <w:r w:rsidR="000F1677" w:rsidRPr="00F7263B">
        <w:rPr>
          <w:rFonts w:cs="Times New Roman"/>
          <w:sz w:val="20"/>
          <w:szCs w:val="20"/>
        </w:rPr>
        <w:t xml:space="preserve">he World Bank and partly by </w:t>
      </w:r>
      <w:r w:rsidR="000A1A16" w:rsidRPr="00F7263B">
        <w:rPr>
          <w:rFonts w:cs="Times New Roman"/>
          <w:sz w:val="20"/>
          <w:szCs w:val="20"/>
        </w:rPr>
        <w:t>g</w:t>
      </w:r>
      <w:r w:rsidR="008D2EE6" w:rsidRPr="00F7263B">
        <w:rPr>
          <w:rFonts w:cs="Times New Roman"/>
          <w:sz w:val="20"/>
          <w:szCs w:val="20"/>
        </w:rPr>
        <w:t>overnment</w:t>
      </w:r>
      <w:r w:rsidR="000F1677" w:rsidRPr="00F7263B">
        <w:rPr>
          <w:rFonts w:cs="Times New Roman"/>
          <w:sz w:val="20"/>
          <w:szCs w:val="20"/>
        </w:rPr>
        <w:t xml:space="preserve"> as explained in detail below</w:t>
      </w:r>
      <w:r w:rsidR="000A1A16" w:rsidRPr="00F7263B">
        <w:rPr>
          <w:rFonts w:cs="Times New Roman"/>
          <w:sz w:val="20"/>
          <w:szCs w:val="20"/>
        </w:rPr>
        <w:t xml:space="preserve">.  </w:t>
      </w:r>
    </w:p>
    <w:p w:rsidR="003A382D" w:rsidRPr="00F7263B" w:rsidRDefault="003A382D" w:rsidP="00380EF7">
      <w:pPr>
        <w:pStyle w:val="ListParagraph"/>
        <w:ind w:left="0"/>
        <w:jc w:val="both"/>
        <w:rPr>
          <w:sz w:val="20"/>
          <w:szCs w:val="20"/>
        </w:rPr>
      </w:pPr>
    </w:p>
    <w:p w:rsidR="004E4895" w:rsidRPr="00F7263B" w:rsidRDefault="001D2940" w:rsidP="003A382D">
      <w:pPr>
        <w:pStyle w:val="Heading2"/>
        <w:tabs>
          <w:tab w:val="left" w:pos="720"/>
        </w:tabs>
        <w:ind w:left="720" w:hanging="720"/>
        <w:jc w:val="both"/>
        <w:rPr>
          <w:sz w:val="20"/>
          <w:szCs w:val="20"/>
        </w:rPr>
      </w:pPr>
      <w:bookmarkStart w:id="6" w:name="_Toc380167568"/>
      <w:r w:rsidRPr="00F7263B">
        <w:rPr>
          <w:sz w:val="20"/>
          <w:szCs w:val="20"/>
        </w:rPr>
        <w:t>Relationship to the C</w:t>
      </w:r>
      <w:r w:rsidR="00B21A7A" w:rsidRPr="00F7263B">
        <w:rPr>
          <w:sz w:val="20"/>
          <w:szCs w:val="20"/>
        </w:rPr>
        <w:t xml:space="preserve">ountry </w:t>
      </w:r>
      <w:r w:rsidRPr="00F7263B">
        <w:rPr>
          <w:sz w:val="20"/>
          <w:szCs w:val="20"/>
        </w:rPr>
        <w:t>P</w:t>
      </w:r>
      <w:r w:rsidR="00B21A7A" w:rsidRPr="00F7263B">
        <w:rPr>
          <w:sz w:val="20"/>
          <w:szCs w:val="20"/>
        </w:rPr>
        <w:t xml:space="preserve">artnership </w:t>
      </w:r>
      <w:r w:rsidRPr="00F7263B">
        <w:rPr>
          <w:sz w:val="20"/>
          <w:szCs w:val="20"/>
        </w:rPr>
        <w:t>S</w:t>
      </w:r>
      <w:r w:rsidR="00B21A7A" w:rsidRPr="00F7263B">
        <w:rPr>
          <w:sz w:val="20"/>
          <w:szCs w:val="20"/>
        </w:rPr>
        <w:t>trategy</w:t>
      </w:r>
      <w:r w:rsidR="009E3481" w:rsidRPr="00F7263B">
        <w:rPr>
          <w:sz w:val="20"/>
          <w:szCs w:val="20"/>
        </w:rPr>
        <w:t xml:space="preserve"> </w:t>
      </w:r>
      <w:r w:rsidR="008D6081" w:rsidRPr="00F7263B">
        <w:rPr>
          <w:sz w:val="20"/>
          <w:szCs w:val="20"/>
        </w:rPr>
        <w:t>and Rationale for Use of Instrument</w:t>
      </w:r>
      <w:bookmarkEnd w:id="6"/>
    </w:p>
    <w:p w:rsidR="004E4895" w:rsidRPr="00F7263B" w:rsidRDefault="004E4895" w:rsidP="00556F1B">
      <w:pPr>
        <w:pStyle w:val="NoSpacing"/>
        <w:jc w:val="both"/>
        <w:rPr>
          <w:rFonts w:ascii="Times New Roman" w:hAnsi="Times New Roman" w:cs="Times New Roman"/>
          <w:sz w:val="20"/>
          <w:szCs w:val="20"/>
        </w:rPr>
      </w:pPr>
    </w:p>
    <w:p w:rsidR="00F038FC" w:rsidRPr="00F7263B" w:rsidRDefault="00F038FC" w:rsidP="006018D8">
      <w:pPr>
        <w:pStyle w:val="ListParagraph"/>
        <w:numPr>
          <w:ilvl w:val="0"/>
          <w:numId w:val="9"/>
        </w:numPr>
        <w:ind w:left="0" w:firstLine="0"/>
        <w:jc w:val="both"/>
        <w:rPr>
          <w:rFonts w:cs="Times New Roman"/>
          <w:sz w:val="20"/>
          <w:szCs w:val="20"/>
        </w:rPr>
      </w:pPr>
      <w:r w:rsidRPr="00F7263B">
        <w:rPr>
          <w:b/>
          <w:sz w:val="20"/>
          <w:szCs w:val="20"/>
        </w:rPr>
        <w:t>The World Bank Group’s Country Partnership Strategy</w:t>
      </w:r>
      <w:r w:rsidR="00006DD6" w:rsidRPr="00F7263B">
        <w:rPr>
          <w:b/>
          <w:sz w:val="20"/>
          <w:szCs w:val="20"/>
        </w:rPr>
        <w:t>(CPS)for FY</w:t>
      </w:r>
      <w:r w:rsidRPr="00F7263B">
        <w:rPr>
          <w:b/>
          <w:sz w:val="20"/>
          <w:szCs w:val="20"/>
        </w:rPr>
        <w:t>13</w:t>
      </w:r>
      <w:r w:rsidR="00006DD6" w:rsidRPr="00F7263B">
        <w:rPr>
          <w:b/>
          <w:sz w:val="20"/>
          <w:szCs w:val="20"/>
        </w:rPr>
        <w:t xml:space="preserve">–FY16 </w:t>
      </w:r>
      <w:r w:rsidRPr="00F7263B">
        <w:rPr>
          <w:b/>
          <w:sz w:val="20"/>
          <w:szCs w:val="20"/>
        </w:rPr>
        <w:t xml:space="preserve"> builds on the progress achieved by Ethiopia in recent years and aims to help </w:t>
      </w:r>
      <w:r w:rsidR="00DA2BBC" w:rsidRPr="00F7263B">
        <w:rPr>
          <w:b/>
          <w:sz w:val="20"/>
          <w:szCs w:val="20"/>
        </w:rPr>
        <w:t>the government</w:t>
      </w:r>
      <w:r w:rsidRPr="00F7263B">
        <w:rPr>
          <w:b/>
          <w:sz w:val="20"/>
          <w:szCs w:val="20"/>
        </w:rPr>
        <w:t xml:space="preserve"> address structural transformation and assist in the implementation of the GTP</w:t>
      </w:r>
      <w:r w:rsidRPr="00F7263B">
        <w:rPr>
          <w:sz w:val="20"/>
          <w:szCs w:val="20"/>
        </w:rPr>
        <w:t>. The CPS framework includes two pillars. Pillar One, “Fostering competitiveness and employment”, aims to support Ethiopia in achieving: (</w:t>
      </w:r>
      <w:r w:rsidR="00006DD6" w:rsidRPr="00F7263B">
        <w:rPr>
          <w:sz w:val="20"/>
          <w:szCs w:val="20"/>
        </w:rPr>
        <w:t>a</w:t>
      </w:r>
      <w:r w:rsidRPr="00F7263B">
        <w:rPr>
          <w:sz w:val="20"/>
          <w:szCs w:val="20"/>
        </w:rPr>
        <w:t>) a stable macroeconomic environment</w:t>
      </w:r>
      <w:r w:rsidR="00006DD6" w:rsidRPr="00F7263B">
        <w:rPr>
          <w:sz w:val="20"/>
          <w:szCs w:val="20"/>
        </w:rPr>
        <w:t>,</w:t>
      </w:r>
      <w:r w:rsidRPr="00F7263B">
        <w:rPr>
          <w:sz w:val="20"/>
          <w:szCs w:val="20"/>
        </w:rPr>
        <w:t xml:space="preserve"> (</w:t>
      </w:r>
      <w:r w:rsidR="00006DD6" w:rsidRPr="00F7263B">
        <w:rPr>
          <w:sz w:val="20"/>
          <w:szCs w:val="20"/>
        </w:rPr>
        <w:t>b</w:t>
      </w:r>
      <w:r w:rsidRPr="00F7263B">
        <w:rPr>
          <w:sz w:val="20"/>
          <w:szCs w:val="20"/>
        </w:rPr>
        <w:t>) increased competitiveness and productivity</w:t>
      </w:r>
      <w:r w:rsidR="00006DD6" w:rsidRPr="00F7263B">
        <w:rPr>
          <w:sz w:val="20"/>
          <w:szCs w:val="20"/>
        </w:rPr>
        <w:t>,</w:t>
      </w:r>
      <w:r w:rsidRPr="00F7263B">
        <w:rPr>
          <w:sz w:val="20"/>
          <w:szCs w:val="20"/>
        </w:rPr>
        <w:t xml:space="preserve"> (</w:t>
      </w:r>
      <w:r w:rsidR="00006DD6" w:rsidRPr="00F7263B">
        <w:rPr>
          <w:sz w:val="20"/>
          <w:szCs w:val="20"/>
        </w:rPr>
        <w:t>c</w:t>
      </w:r>
      <w:r w:rsidRPr="00F7263B">
        <w:rPr>
          <w:sz w:val="20"/>
          <w:szCs w:val="20"/>
        </w:rPr>
        <w:t>) increased and improved delivery of infrastructure</w:t>
      </w:r>
      <w:r w:rsidR="00006DD6" w:rsidRPr="00F7263B">
        <w:rPr>
          <w:sz w:val="20"/>
          <w:szCs w:val="20"/>
        </w:rPr>
        <w:t>,</w:t>
      </w:r>
      <w:r w:rsidRPr="00F7263B">
        <w:rPr>
          <w:sz w:val="20"/>
          <w:szCs w:val="20"/>
        </w:rPr>
        <w:t xml:space="preserve"> and (</w:t>
      </w:r>
      <w:r w:rsidR="00006DD6" w:rsidRPr="00F7263B">
        <w:rPr>
          <w:sz w:val="20"/>
          <w:szCs w:val="20"/>
        </w:rPr>
        <w:t>d</w:t>
      </w:r>
      <w:r w:rsidRPr="00F7263B">
        <w:rPr>
          <w:sz w:val="20"/>
          <w:szCs w:val="20"/>
        </w:rPr>
        <w:t>) enhanced regional integration.  Pillar Two, “Enhancing resilience and reducing vulnerabilities</w:t>
      </w:r>
      <w:r w:rsidR="00006DD6" w:rsidRPr="00F7263B">
        <w:rPr>
          <w:sz w:val="20"/>
          <w:szCs w:val="20"/>
        </w:rPr>
        <w:t>,</w:t>
      </w:r>
      <w:r w:rsidRPr="00F7263B">
        <w:rPr>
          <w:sz w:val="20"/>
          <w:szCs w:val="20"/>
        </w:rPr>
        <w:t>” aims to support Ethiopia in improving the delivery of social services and developing a comprehensive approach to social protection and risk management. Good governance and state building form the foundation of the CPS. In line with the GTP, gender and climate change have been included as cross-cutting issues to strengthen their mainstreaming across the portfolio. The programs of IFC and MIGA are well aligned with the CPS framework, contributing mainly to the strategic objectives under Pillar One.</w:t>
      </w:r>
    </w:p>
    <w:p w:rsidR="00F038FC" w:rsidRPr="00F7263B" w:rsidRDefault="00F038FC" w:rsidP="00254260">
      <w:pPr>
        <w:pStyle w:val="ListParagraph"/>
        <w:ind w:left="0"/>
        <w:jc w:val="both"/>
        <w:rPr>
          <w:rFonts w:cs="Times New Roman"/>
          <w:sz w:val="20"/>
          <w:szCs w:val="20"/>
        </w:rPr>
      </w:pPr>
    </w:p>
    <w:p w:rsidR="001B4D34" w:rsidRPr="00F7263B" w:rsidRDefault="00006DD6" w:rsidP="006018D8">
      <w:pPr>
        <w:pStyle w:val="ListParagraph"/>
        <w:numPr>
          <w:ilvl w:val="0"/>
          <w:numId w:val="9"/>
        </w:numPr>
        <w:ind w:left="0" w:firstLine="0"/>
        <w:jc w:val="both"/>
        <w:rPr>
          <w:rFonts w:cs="Times New Roman"/>
          <w:sz w:val="20"/>
          <w:szCs w:val="20"/>
        </w:rPr>
      </w:pPr>
      <w:r w:rsidRPr="00F7263B">
        <w:rPr>
          <w:b/>
          <w:sz w:val="20"/>
          <w:szCs w:val="20"/>
        </w:rPr>
        <w:t>ULGDP II</w:t>
      </w:r>
      <w:r w:rsidR="007C4386" w:rsidRPr="00F7263B">
        <w:rPr>
          <w:b/>
          <w:sz w:val="20"/>
          <w:szCs w:val="20"/>
        </w:rPr>
        <w:t>’s</w:t>
      </w:r>
      <w:r w:rsidRPr="00F7263B">
        <w:rPr>
          <w:b/>
          <w:sz w:val="20"/>
          <w:szCs w:val="20"/>
        </w:rPr>
        <w:t xml:space="preserve"> r</w:t>
      </w:r>
      <w:r w:rsidR="0003445A" w:rsidRPr="00F7263B">
        <w:rPr>
          <w:b/>
          <w:sz w:val="20"/>
          <w:szCs w:val="20"/>
        </w:rPr>
        <w:t>elationship to the Country Partnership Strategy</w:t>
      </w:r>
      <w:r w:rsidR="003A382D" w:rsidRPr="00F7263B">
        <w:rPr>
          <w:b/>
          <w:sz w:val="20"/>
          <w:szCs w:val="20"/>
        </w:rPr>
        <w:t xml:space="preserve">.  </w:t>
      </w:r>
      <w:r w:rsidR="00B84F6D" w:rsidRPr="00F7263B">
        <w:rPr>
          <w:rFonts w:cs="Times New Roman"/>
          <w:sz w:val="20"/>
          <w:szCs w:val="20"/>
        </w:rPr>
        <w:t xml:space="preserve">The </w:t>
      </w:r>
      <w:r w:rsidR="00603EDF" w:rsidRPr="00F7263B">
        <w:rPr>
          <w:rFonts w:cs="Times New Roman"/>
          <w:sz w:val="20"/>
          <w:szCs w:val="20"/>
        </w:rPr>
        <w:t>Program</w:t>
      </w:r>
      <w:r w:rsidR="00B84F6D" w:rsidRPr="00F7263B">
        <w:rPr>
          <w:rFonts w:cs="Times New Roman"/>
          <w:sz w:val="20"/>
          <w:szCs w:val="20"/>
        </w:rPr>
        <w:t xml:space="preserve"> is an integral element of the Country Partnership Strategy (CPS), discussed by the Board on September 24, 2012</w:t>
      </w:r>
      <w:r w:rsidR="003A382D" w:rsidRPr="00F7263B">
        <w:rPr>
          <w:rFonts w:cs="Times New Roman"/>
          <w:sz w:val="20"/>
          <w:szCs w:val="20"/>
        </w:rPr>
        <w:t xml:space="preserve">.  </w:t>
      </w:r>
      <w:r w:rsidR="00B84F6D" w:rsidRPr="00F7263B">
        <w:rPr>
          <w:rFonts w:cs="Times New Roman"/>
          <w:sz w:val="20"/>
          <w:szCs w:val="20"/>
        </w:rPr>
        <w:t>The CPS</w:t>
      </w:r>
      <w:r w:rsidR="00514F66" w:rsidRPr="00F7263B">
        <w:rPr>
          <w:rFonts w:cs="Times New Roman"/>
          <w:sz w:val="20"/>
          <w:szCs w:val="20"/>
        </w:rPr>
        <w:t xml:space="preserve"> ha</w:t>
      </w:r>
      <w:r w:rsidR="003A382D" w:rsidRPr="00F7263B">
        <w:rPr>
          <w:rFonts w:cs="Times New Roman"/>
          <w:sz w:val="20"/>
          <w:szCs w:val="20"/>
        </w:rPr>
        <w:t>s two main areas of focus: (a</w:t>
      </w:r>
      <w:r w:rsidR="00514F66" w:rsidRPr="00F7263B">
        <w:rPr>
          <w:rFonts w:cs="Times New Roman"/>
          <w:sz w:val="20"/>
          <w:szCs w:val="20"/>
        </w:rPr>
        <w:t xml:space="preserve">) </w:t>
      </w:r>
      <w:r w:rsidR="00B84F6D" w:rsidRPr="00F7263B">
        <w:rPr>
          <w:rFonts w:cs="Times New Roman"/>
          <w:sz w:val="20"/>
          <w:szCs w:val="20"/>
        </w:rPr>
        <w:t>fostering competitiveness and employment, including improved de</w:t>
      </w:r>
      <w:r w:rsidR="00514F66" w:rsidRPr="00F7263B">
        <w:rPr>
          <w:rFonts w:cs="Times New Roman"/>
          <w:sz w:val="20"/>
          <w:szCs w:val="20"/>
        </w:rPr>
        <w:t>l</w:t>
      </w:r>
      <w:r w:rsidR="003A382D" w:rsidRPr="00F7263B">
        <w:rPr>
          <w:rFonts w:cs="Times New Roman"/>
          <w:sz w:val="20"/>
          <w:szCs w:val="20"/>
        </w:rPr>
        <w:t>ivery of infrastructure; and (b</w:t>
      </w:r>
      <w:r w:rsidR="00B84F6D" w:rsidRPr="00F7263B">
        <w:rPr>
          <w:rFonts w:cs="Times New Roman"/>
          <w:sz w:val="20"/>
          <w:szCs w:val="20"/>
        </w:rPr>
        <w:t>) enhancing resilience and reducing vulnerabilities, including developing a comprehensive approach to social protection and risk management</w:t>
      </w:r>
      <w:r w:rsidR="003A382D" w:rsidRPr="00F7263B">
        <w:rPr>
          <w:rFonts w:cs="Times New Roman"/>
          <w:sz w:val="20"/>
          <w:szCs w:val="20"/>
        </w:rPr>
        <w:t xml:space="preserve">.  </w:t>
      </w:r>
      <w:r w:rsidR="00B84F6D" w:rsidRPr="00F7263B">
        <w:rPr>
          <w:rFonts w:cs="Times New Roman"/>
          <w:sz w:val="20"/>
          <w:szCs w:val="20"/>
        </w:rPr>
        <w:t>The CPS has</w:t>
      </w:r>
      <w:r w:rsidR="00514F66" w:rsidRPr="00F7263B">
        <w:rPr>
          <w:rFonts w:cs="Times New Roman"/>
          <w:sz w:val="20"/>
          <w:szCs w:val="20"/>
        </w:rPr>
        <w:t>,</w:t>
      </w:r>
      <w:r w:rsidR="00B84F6D" w:rsidRPr="00F7263B">
        <w:rPr>
          <w:rFonts w:cs="Times New Roman"/>
          <w:sz w:val="20"/>
          <w:szCs w:val="20"/>
        </w:rPr>
        <w:t xml:space="preserve"> as its foundation</w:t>
      </w:r>
      <w:r w:rsidR="00514F66" w:rsidRPr="00F7263B">
        <w:rPr>
          <w:rFonts w:cs="Times New Roman"/>
          <w:sz w:val="20"/>
          <w:szCs w:val="20"/>
        </w:rPr>
        <w:t>,</w:t>
      </w:r>
      <w:r w:rsidR="00B84F6D" w:rsidRPr="00F7263B">
        <w:rPr>
          <w:rFonts w:cs="Times New Roman"/>
          <w:sz w:val="20"/>
          <w:szCs w:val="20"/>
        </w:rPr>
        <w:t xml:space="preserve"> good governance and state building</w:t>
      </w:r>
      <w:r w:rsidR="003A382D" w:rsidRPr="00F7263B">
        <w:rPr>
          <w:rFonts w:cs="Times New Roman"/>
          <w:sz w:val="20"/>
          <w:szCs w:val="20"/>
        </w:rPr>
        <w:t xml:space="preserve">.  </w:t>
      </w:r>
      <w:r w:rsidR="00B84F6D" w:rsidRPr="00F7263B">
        <w:rPr>
          <w:rFonts w:cs="Times New Roman"/>
          <w:sz w:val="20"/>
          <w:szCs w:val="20"/>
        </w:rPr>
        <w:t>It stresses gender and climate change as cross-cutting issues</w:t>
      </w:r>
      <w:r w:rsidR="003A382D" w:rsidRPr="00F7263B">
        <w:rPr>
          <w:rFonts w:cs="Times New Roman"/>
          <w:sz w:val="20"/>
          <w:szCs w:val="20"/>
        </w:rPr>
        <w:t xml:space="preserve">.  </w:t>
      </w:r>
      <w:r w:rsidR="00B84F6D" w:rsidRPr="00F7263B">
        <w:rPr>
          <w:rFonts w:cs="Times New Roman"/>
          <w:sz w:val="20"/>
          <w:szCs w:val="20"/>
        </w:rPr>
        <w:t xml:space="preserve">The proposed ULGDP </w:t>
      </w:r>
      <w:r w:rsidR="008D0193" w:rsidRPr="00F7263B">
        <w:rPr>
          <w:rFonts w:cs="Times New Roman"/>
          <w:sz w:val="20"/>
          <w:szCs w:val="20"/>
        </w:rPr>
        <w:t>II</w:t>
      </w:r>
      <w:r w:rsidR="00B84F6D" w:rsidRPr="00F7263B">
        <w:rPr>
          <w:rFonts w:cs="Times New Roman"/>
          <w:sz w:val="20"/>
          <w:szCs w:val="20"/>
        </w:rPr>
        <w:t xml:space="preserve"> directly supports the first pillar of the CPS by financing urban infrastructure and services</w:t>
      </w:r>
      <w:r w:rsidR="003A382D" w:rsidRPr="00F7263B">
        <w:rPr>
          <w:rFonts w:cs="Times New Roman"/>
          <w:sz w:val="20"/>
          <w:szCs w:val="20"/>
        </w:rPr>
        <w:t xml:space="preserve">.  </w:t>
      </w:r>
      <w:r w:rsidR="00B84F6D" w:rsidRPr="00F7263B">
        <w:rPr>
          <w:rFonts w:cs="Times New Roman"/>
          <w:sz w:val="20"/>
          <w:szCs w:val="20"/>
        </w:rPr>
        <w:t>These are essential to foster Ethiopia’s competitiveness</w:t>
      </w:r>
      <w:r w:rsidR="003A382D" w:rsidRPr="00F7263B">
        <w:rPr>
          <w:rFonts w:cs="Times New Roman"/>
          <w:sz w:val="20"/>
          <w:szCs w:val="20"/>
        </w:rPr>
        <w:t xml:space="preserve">.  </w:t>
      </w:r>
      <w:r w:rsidR="00FE1137" w:rsidRPr="00F7263B">
        <w:rPr>
          <w:rFonts w:cs="Times New Roman"/>
          <w:sz w:val="20"/>
          <w:szCs w:val="20"/>
        </w:rPr>
        <w:t xml:space="preserve">It will also assist in reducing vulnerability by encouraging cities to use labor-intensive construction practices that generate significant numbers of jobs, especially for women, youth, and vulnerable people.  </w:t>
      </w:r>
      <w:r w:rsidR="00B84F6D" w:rsidRPr="00F7263B">
        <w:rPr>
          <w:rFonts w:cs="Times New Roman"/>
          <w:sz w:val="20"/>
          <w:szCs w:val="20"/>
        </w:rPr>
        <w:t xml:space="preserve">The </w:t>
      </w:r>
      <w:r w:rsidR="008D0193" w:rsidRPr="00F7263B">
        <w:rPr>
          <w:rFonts w:cs="Times New Roman"/>
          <w:sz w:val="20"/>
          <w:szCs w:val="20"/>
        </w:rPr>
        <w:t>ULGDP II</w:t>
      </w:r>
      <w:r w:rsidR="00B84F6D" w:rsidRPr="00F7263B">
        <w:rPr>
          <w:rFonts w:cs="Times New Roman"/>
          <w:sz w:val="20"/>
          <w:szCs w:val="20"/>
        </w:rPr>
        <w:t xml:space="preserve"> will also directly contribute to the CPS’s objective of supporting good governance by providing resources on the basis of performance in participatory planning, financial management, procurement, execution of infrastructure projects, and sustainable delivery of services.</w:t>
      </w:r>
    </w:p>
    <w:p w:rsidR="001B4D34" w:rsidRPr="00F7263B" w:rsidRDefault="001B4D34" w:rsidP="003A382D">
      <w:pPr>
        <w:pStyle w:val="NoSpacing"/>
        <w:jc w:val="both"/>
        <w:rPr>
          <w:rFonts w:ascii="Times New Roman" w:hAnsi="Times New Roman" w:cs="Times New Roman"/>
          <w:sz w:val="20"/>
          <w:szCs w:val="20"/>
        </w:rPr>
      </w:pPr>
    </w:p>
    <w:p w:rsidR="00A47420" w:rsidRPr="00F7263B" w:rsidRDefault="00B84F6D" w:rsidP="00380EF7">
      <w:pPr>
        <w:pStyle w:val="ListParagraph"/>
        <w:numPr>
          <w:ilvl w:val="0"/>
          <w:numId w:val="9"/>
        </w:numPr>
        <w:ind w:left="0" w:firstLine="0"/>
        <w:jc w:val="both"/>
        <w:rPr>
          <w:rFonts w:cs="Times New Roman"/>
          <w:sz w:val="20"/>
          <w:szCs w:val="20"/>
        </w:rPr>
      </w:pPr>
      <w:r w:rsidRPr="00F7263B">
        <w:rPr>
          <w:rFonts w:cs="Times New Roman"/>
          <w:b/>
          <w:sz w:val="20"/>
          <w:szCs w:val="20"/>
        </w:rPr>
        <w:t>R</w:t>
      </w:r>
      <w:r w:rsidR="007E1C9D" w:rsidRPr="00F7263B">
        <w:rPr>
          <w:rFonts w:cs="Times New Roman"/>
          <w:b/>
          <w:sz w:val="20"/>
          <w:szCs w:val="20"/>
        </w:rPr>
        <w:t xml:space="preserve">ationale for use of </w:t>
      </w:r>
      <w:r w:rsidR="008E2B78" w:rsidRPr="00F7263B">
        <w:rPr>
          <w:rFonts w:cs="Times New Roman"/>
          <w:b/>
          <w:sz w:val="20"/>
          <w:szCs w:val="20"/>
        </w:rPr>
        <w:t xml:space="preserve">the </w:t>
      </w:r>
      <w:r w:rsidR="007E1C9D" w:rsidRPr="00F7263B">
        <w:rPr>
          <w:rFonts w:cs="Times New Roman"/>
          <w:b/>
          <w:sz w:val="20"/>
          <w:szCs w:val="20"/>
        </w:rPr>
        <w:t>P</w:t>
      </w:r>
      <w:r w:rsidR="00027BB1">
        <w:rPr>
          <w:rFonts w:cs="Times New Roman"/>
          <w:b/>
          <w:sz w:val="20"/>
          <w:szCs w:val="20"/>
        </w:rPr>
        <w:t xml:space="preserve"> </w:t>
      </w:r>
      <w:r w:rsidR="007E1C9D" w:rsidRPr="00F7263B">
        <w:rPr>
          <w:rFonts w:cs="Times New Roman"/>
          <w:b/>
          <w:sz w:val="20"/>
          <w:szCs w:val="20"/>
        </w:rPr>
        <w:t>for</w:t>
      </w:r>
      <w:r w:rsidR="00027BB1">
        <w:rPr>
          <w:rFonts w:cs="Times New Roman"/>
          <w:b/>
          <w:sz w:val="20"/>
          <w:szCs w:val="20"/>
        </w:rPr>
        <w:t xml:space="preserve"> </w:t>
      </w:r>
      <w:bookmarkStart w:id="7" w:name="_GoBack"/>
      <w:bookmarkEnd w:id="7"/>
      <w:r w:rsidR="007E1C9D" w:rsidRPr="00F7263B">
        <w:rPr>
          <w:rFonts w:cs="Times New Roman"/>
          <w:b/>
          <w:sz w:val="20"/>
          <w:szCs w:val="20"/>
        </w:rPr>
        <w:t>R</w:t>
      </w:r>
      <w:r w:rsidR="008E2B78" w:rsidRPr="00F7263B">
        <w:rPr>
          <w:rFonts w:cs="Times New Roman"/>
          <w:b/>
          <w:sz w:val="20"/>
          <w:szCs w:val="20"/>
        </w:rPr>
        <w:t xml:space="preserve"> instrument.</w:t>
      </w:r>
      <w:r w:rsidR="009E3481" w:rsidRPr="00F7263B">
        <w:rPr>
          <w:rFonts w:cs="Times New Roman"/>
          <w:b/>
          <w:sz w:val="20"/>
          <w:szCs w:val="20"/>
        </w:rPr>
        <w:t xml:space="preserve"> </w:t>
      </w:r>
      <w:r w:rsidR="00637E0B" w:rsidRPr="00F7263B">
        <w:rPr>
          <w:rFonts w:cs="Times New Roman"/>
          <w:sz w:val="20"/>
          <w:szCs w:val="20"/>
        </w:rPr>
        <w:t>Financing for</w:t>
      </w:r>
      <w:r w:rsidR="008E2B78" w:rsidRPr="00F7263B">
        <w:rPr>
          <w:rFonts w:cs="Times New Roman"/>
          <w:sz w:val="20"/>
          <w:szCs w:val="20"/>
        </w:rPr>
        <w:t xml:space="preserve"> the </w:t>
      </w:r>
      <w:r w:rsidR="007E1C9D" w:rsidRPr="00F7263B">
        <w:rPr>
          <w:rFonts w:cs="Times New Roman"/>
          <w:sz w:val="20"/>
          <w:szCs w:val="20"/>
        </w:rPr>
        <w:t>first phase of the government’s program</w:t>
      </w:r>
      <w:r w:rsidR="00637E0B" w:rsidRPr="00F7263B">
        <w:rPr>
          <w:rFonts w:cs="Times New Roman"/>
          <w:sz w:val="20"/>
          <w:szCs w:val="20"/>
        </w:rPr>
        <w:t xml:space="preserve"> employed the Specific Investment Loan</w:t>
      </w:r>
      <w:r w:rsidR="00DD45B3" w:rsidRPr="00F7263B">
        <w:rPr>
          <w:rFonts w:cs="Times New Roman"/>
          <w:sz w:val="20"/>
          <w:szCs w:val="20"/>
        </w:rPr>
        <w:t>,</w:t>
      </w:r>
      <w:r w:rsidR="00637E0B" w:rsidRPr="00F7263B">
        <w:rPr>
          <w:rFonts w:cs="Times New Roman"/>
          <w:sz w:val="20"/>
          <w:szCs w:val="20"/>
        </w:rPr>
        <w:t xml:space="preserve"> as </w:t>
      </w:r>
      <w:r w:rsidR="008E2B78" w:rsidRPr="00F7263B">
        <w:rPr>
          <w:rFonts w:cs="Times New Roman"/>
          <w:sz w:val="20"/>
          <w:szCs w:val="20"/>
        </w:rPr>
        <w:t xml:space="preserve">the PforR instrument was not yet available. </w:t>
      </w:r>
      <w:r w:rsidR="00637E0B" w:rsidRPr="00F7263B">
        <w:rPr>
          <w:rFonts w:cs="Times New Roman"/>
          <w:sz w:val="20"/>
          <w:szCs w:val="20"/>
        </w:rPr>
        <w:t>In this first phase, m</w:t>
      </w:r>
      <w:r w:rsidR="000A1A16" w:rsidRPr="00F7263B">
        <w:rPr>
          <w:rFonts w:cs="Times New Roman"/>
          <w:sz w:val="20"/>
          <w:szCs w:val="20"/>
        </w:rPr>
        <w:t>ost of</w:t>
      </w:r>
      <w:r w:rsidR="008E2B78" w:rsidRPr="00F7263B">
        <w:rPr>
          <w:rFonts w:cs="Times New Roman"/>
          <w:sz w:val="20"/>
          <w:szCs w:val="20"/>
        </w:rPr>
        <w:t xml:space="preserve"> the resources </w:t>
      </w:r>
      <w:r w:rsidR="000A1A16" w:rsidRPr="00F7263B">
        <w:rPr>
          <w:rFonts w:cs="Times New Roman"/>
          <w:sz w:val="20"/>
          <w:szCs w:val="20"/>
        </w:rPr>
        <w:t xml:space="preserve">were </w:t>
      </w:r>
      <w:r w:rsidR="00637E0B" w:rsidRPr="00F7263B">
        <w:rPr>
          <w:rFonts w:cs="Times New Roman"/>
          <w:sz w:val="20"/>
          <w:szCs w:val="20"/>
        </w:rPr>
        <w:t xml:space="preserve">dedicated to </w:t>
      </w:r>
      <w:r w:rsidR="000A1A16" w:rsidRPr="00F7263B">
        <w:rPr>
          <w:rFonts w:cs="Times New Roman"/>
          <w:sz w:val="20"/>
          <w:szCs w:val="20"/>
        </w:rPr>
        <w:t>performance</w:t>
      </w:r>
      <w:r w:rsidR="00DD45B3" w:rsidRPr="00F7263B">
        <w:rPr>
          <w:rFonts w:cs="Times New Roman"/>
          <w:sz w:val="20"/>
          <w:szCs w:val="20"/>
        </w:rPr>
        <w:t>-</w:t>
      </w:r>
      <w:r w:rsidR="000A1A16" w:rsidRPr="00F7263B">
        <w:rPr>
          <w:rFonts w:cs="Times New Roman"/>
          <w:sz w:val="20"/>
          <w:szCs w:val="20"/>
        </w:rPr>
        <w:t xml:space="preserve">based grants </w:t>
      </w:r>
      <w:r w:rsidR="00637E0B" w:rsidRPr="00F7263B">
        <w:rPr>
          <w:rFonts w:cs="Times New Roman"/>
          <w:sz w:val="20"/>
          <w:szCs w:val="20"/>
        </w:rPr>
        <w:t>for</w:t>
      </w:r>
      <w:r w:rsidR="000A1A16" w:rsidRPr="00F7263B">
        <w:rPr>
          <w:rFonts w:cs="Times New Roman"/>
          <w:sz w:val="20"/>
          <w:szCs w:val="20"/>
        </w:rPr>
        <w:t xml:space="preserve"> ULGs </w:t>
      </w:r>
      <w:r w:rsidR="00637E0B" w:rsidRPr="00F7263B">
        <w:rPr>
          <w:rFonts w:cs="Times New Roman"/>
          <w:sz w:val="20"/>
          <w:szCs w:val="20"/>
        </w:rPr>
        <w:t xml:space="preserve">which </w:t>
      </w:r>
      <w:r w:rsidR="000A1A16" w:rsidRPr="00F7263B">
        <w:rPr>
          <w:rFonts w:cs="Times New Roman"/>
          <w:sz w:val="20"/>
          <w:szCs w:val="20"/>
        </w:rPr>
        <w:t xml:space="preserve">achieved institutional </w:t>
      </w:r>
      <w:r w:rsidR="007E1C9D" w:rsidRPr="00F7263B">
        <w:rPr>
          <w:rFonts w:cs="Times New Roman"/>
          <w:sz w:val="20"/>
          <w:szCs w:val="20"/>
        </w:rPr>
        <w:t>results and implementation performance</w:t>
      </w:r>
      <w:r w:rsidR="008E2B78" w:rsidRPr="00F7263B">
        <w:rPr>
          <w:rFonts w:cs="Times New Roman"/>
          <w:sz w:val="20"/>
          <w:szCs w:val="20"/>
        </w:rPr>
        <w:t xml:space="preserve">. </w:t>
      </w:r>
      <w:r w:rsidR="00637E0B" w:rsidRPr="00F7263B">
        <w:rPr>
          <w:rFonts w:cs="Times New Roman"/>
          <w:sz w:val="20"/>
          <w:szCs w:val="20"/>
        </w:rPr>
        <w:t>W</w:t>
      </w:r>
      <w:r w:rsidR="007E1C9D" w:rsidRPr="00F7263B">
        <w:rPr>
          <w:rFonts w:cs="Times New Roman"/>
          <w:sz w:val="20"/>
          <w:szCs w:val="20"/>
        </w:rPr>
        <w:t xml:space="preserve">hen the government requested the Bank’s support for phase two, the PforR instrument </w:t>
      </w:r>
      <w:r w:rsidR="00637E0B" w:rsidRPr="00F7263B">
        <w:rPr>
          <w:rFonts w:cs="Times New Roman"/>
          <w:sz w:val="20"/>
          <w:szCs w:val="20"/>
        </w:rPr>
        <w:t>became</w:t>
      </w:r>
      <w:r w:rsidR="009E3481" w:rsidRPr="00F7263B">
        <w:rPr>
          <w:rFonts w:cs="Times New Roman"/>
          <w:sz w:val="20"/>
          <w:szCs w:val="20"/>
        </w:rPr>
        <w:t xml:space="preserve"> </w:t>
      </w:r>
      <w:r w:rsidR="007E1C9D" w:rsidRPr="00F7263B">
        <w:rPr>
          <w:rFonts w:cs="Times New Roman"/>
          <w:sz w:val="20"/>
          <w:szCs w:val="20"/>
        </w:rPr>
        <w:t>a natural choice</w:t>
      </w:r>
      <w:r w:rsidR="004973D6" w:rsidRPr="00F7263B">
        <w:rPr>
          <w:rFonts w:cs="Times New Roman"/>
          <w:sz w:val="20"/>
          <w:szCs w:val="20"/>
        </w:rPr>
        <w:t>,</w:t>
      </w:r>
      <w:r w:rsidR="00637E0B" w:rsidRPr="00F7263B">
        <w:rPr>
          <w:rFonts w:cs="Times New Roman"/>
          <w:sz w:val="20"/>
          <w:szCs w:val="20"/>
        </w:rPr>
        <w:t xml:space="preserve"> as its mechanisms are highly</w:t>
      </w:r>
      <w:r w:rsidR="009E3481" w:rsidRPr="00F7263B">
        <w:rPr>
          <w:rFonts w:cs="Times New Roman"/>
          <w:sz w:val="20"/>
          <w:szCs w:val="20"/>
        </w:rPr>
        <w:t xml:space="preserve"> </w:t>
      </w:r>
      <w:r w:rsidR="002B26EE" w:rsidRPr="00F7263B">
        <w:rPr>
          <w:rFonts w:cs="Times New Roman"/>
          <w:sz w:val="20"/>
          <w:szCs w:val="20"/>
        </w:rPr>
        <w:t>complementary to</w:t>
      </w:r>
      <w:r w:rsidR="007E1C9D" w:rsidRPr="00F7263B">
        <w:rPr>
          <w:rFonts w:cs="Times New Roman"/>
          <w:sz w:val="20"/>
          <w:szCs w:val="20"/>
        </w:rPr>
        <w:t xml:space="preserve"> the program intention and design</w:t>
      </w:r>
      <w:r w:rsidR="008E2B78" w:rsidRPr="00F7263B">
        <w:rPr>
          <w:rFonts w:cs="Times New Roman"/>
          <w:sz w:val="20"/>
          <w:szCs w:val="20"/>
        </w:rPr>
        <w:t xml:space="preserve">. </w:t>
      </w:r>
      <w:r w:rsidR="007E1C9D" w:rsidRPr="00F7263B">
        <w:rPr>
          <w:rFonts w:cs="Times New Roman"/>
          <w:sz w:val="20"/>
          <w:szCs w:val="20"/>
        </w:rPr>
        <w:t>The PforR instrument provides a superior modality because it allows the Bank’s support to: (</w:t>
      </w:r>
      <w:r w:rsidR="000A1A16" w:rsidRPr="00F7263B">
        <w:rPr>
          <w:rFonts w:cs="Times New Roman"/>
          <w:sz w:val="20"/>
          <w:szCs w:val="20"/>
        </w:rPr>
        <w:t>a</w:t>
      </w:r>
      <w:r w:rsidR="007E1C9D" w:rsidRPr="00F7263B">
        <w:rPr>
          <w:rFonts w:cs="Times New Roman"/>
          <w:sz w:val="20"/>
          <w:szCs w:val="20"/>
        </w:rPr>
        <w:t xml:space="preserve">) focus on </w:t>
      </w:r>
      <w:r w:rsidR="00637E0B" w:rsidRPr="00F7263B">
        <w:rPr>
          <w:rFonts w:cs="Times New Roman"/>
          <w:sz w:val="20"/>
          <w:szCs w:val="20"/>
        </w:rPr>
        <w:t>improving results</w:t>
      </w:r>
      <w:r w:rsidR="00DD45B3" w:rsidRPr="00F7263B">
        <w:rPr>
          <w:rFonts w:cs="Times New Roman"/>
          <w:sz w:val="20"/>
          <w:szCs w:val="20"/>
        </w:rPr>
        <w:t>,</w:t>
      </w:r>
      <w:r w:rsidR="00637E0B" w:rsidRPr="00F7263B">
        <w:rPr>
          <w:rFonts w:cs="Times New Roman"/>
          <w:sz w:val="20"/>
          <w:szCs w:val="20"/>
        </w:rPr>
        <w:t xml:space="preserve"> in addition to scaling up</w:t>
      </w:r>
      <w:r w:rsidR="009E3481" w:rsidRPr="00F7263B">
        <w:rPr>
          <w:rFonts w:cs="Times New Roman"/>
          <w:sz w:val="20"/>
          <w:szCs w:val="20"/>
        </w:rPr>
        <w:t xml:space="preserve"> </w:t>
      </w:r>
      <w:r w:rsidR="000A1A16" w:rsidRPr="00F7263B">
        <w:rPr>
          <w:rFonts w:cs="Times New Roman"/>
          <w:sz w:val="20"/>
          <w:szCs w:val="20"/>
        </w:rPr>
        <w:t>the g</w:t>
      </w:r>
      <w:r w:rsidR="008D2EE6" w:rsidRPr="00F7263B">
        <w:rPr>
          <w:rFonts w:cs="Times New Roman"/>
          <w:sz w:val="20"/>
          <w:szCs w:val="20"/>
        </w:rPr>
        <w:t>overnment</w:t>
      </w:r>
      <w:r w:rsidR="00637E0B" w:rsidRPr="00F7263B">
        <w:rPr>
          <w:rFonts w:cs="Times New Roman"/>
          <w:sz w:val="20"/>
          <w:szCs w:val="20"/>
        </w:rPr>
        <w:t>’s existing program (the ULGDP)</w:t>
      </w:r>
      <w:r w:rsidR="007E1C9D" w:rsidRPr="00F7263B">
        <w:rPr>
          <w:rFonts w:cs="Times New Roman"/>
          <w:sz w:val="20"/>
          <w:szCs w:val="20"/>
        </w:rPr>
        <w:t xml:space="preserve"> without unnecessary duplication; (</w:t>
      </w:r>
      <w:r w:rsidR="000A1A16" w:rsidRPr="00F7263B">
        <w:rPr>
          <w:rFonts w:cs="Times New Roman"/>
          <w:sz w:val="20"/>
          <w:szCs w:val="20"/>
        </w:rPr>
        <w:t>b</w:t>
      </w:r>
      <w:r w:rsidR="007E1C9D" w:rsidRPr="00F7263B">
        <w:rPr>
          <w:rFonts w:cs="Times New Roman"/>
          <w:sz w:val="20"/>
          <w:szCs w:val="20"/>
        </w:rPr>
        <w:t>) make use of</w:t>
      </w:r>
      <w:r w:rsidR="009E3481" w:rsidRPr="00F7263B">
        <w:rPr>
          <w:rFonts w:cs="Times New Roman"/>
          <w:sz w:val="20"/>
          <w:szCs w:val="20"/>
        </w:rPr>
        <w:t xml:space="preserve"> </w:t>
      </w:r>
      <w:r w:rsidR="007E1C9D" w:rsidRPr="00F7263B">
        <w:rPr>
          <w:rFonts w:cs="Times New Roman"/>
          <w:sz w:val="20"/>
          <w:szCs w:val="20"/>
        </w:rPr>
        <w:t xml:space="preserve">existing federal, regional, and local government systems </w:t>
      </w:r>
      <w:r w:rsidR="00637E0B" w:rsidRPr="00F7263B">
        <w:rPr>
          <w:rFonts w:cs="Times New Roman"/>
          <w:sz w:val="20"/>
          <w:szCs w:val="20"/>
        </w:rPr>
        <w:t>(</w:t>
      </w:r>
      <w:r w:rsidR="007E1C9D" w:rsidRPr="00F7263B">
        <w:rPr>
          <w:rFonts w:cs="Times New Roman"/>
          <w:sz w:val="20"/>
          <w:szCs w:val="20"/>
        </w:rPr>
        <w:t>including public financial management, social and environmental systems management, and procurement management</w:t>
      </w:r>
      <w:r w:rsidR="00637E0B" w:rsidRPr="00F7263B">
        <w:rPr>
          <w:rFonts w:cs="Times New Roman"/>
          <w:sz w:val="20"/>
          <w:szCs w:val="20"/>
        </w:rPr>
        <w:t>)</w:t>
      </w:r>
      <w:r w:rsidR="00DD45B3" w:rsidRPr="00F7263B">
        <w:rPr>
          <w:rFonts w:cs="Times New Roman"/>
          <w:sz w:val="20"/>
          <w:szCs w:val="20"/>
        </w:rPr>
        <w:t>,</w:t>
      </w:r>
      <w:r w:rsidR="00637E0B" w:rsidRPr="00F7263B">
        <w:rPr>
          <w:rFonts w:cs="Times New Roman"/>
          <w:sz w:val="20"/>
          <w:szCs w:val="20"/>
        </w:rPr>
        <w:t>while further strengthening and integrating them</w:t>
      </w:r>
      <w:r w:rsidR="007E1C9D" w:rsidRPr="00F7263B">
        <w:rPr>
          <w:rFonts w:cs="Times New Roman"/>
          <w:sz w:val="20"/>
          <w:szCs w:val="20"/>
        </w:rPr>
        <w:t>; and (</w:t>
      </w:r>
      <w:r w:rsidR="000A1A16" w:rsidRPr="00F7263B">
        <w:rPr>
          <w:rFonts w:cs="Times New Roman"/>
          <w:sz w:val="20"/>
          <w:szCs w:val="20"/>
        </w:rPr>
        <w:t>c</w:t>
      </w:r>
      <w:r w:rsidR="007E1C9D" w:rsidRPr="00F7263B">
        <w:rPr>
          <w:rFonts w:cs="Times New Roman"/>
          <w:sz w:val="20"/>
          <w:szCs w:val="20"/>
        </w:rPr>
        <w:t>) adopt a direct, incentive-driven approach to achieve the development objectives</w:t>
      </w:r>
      <w:r w:rsidR="002B26EE" w:rsidRPr="00F7263B">
        <w:rPr>
          <w:rFonts w:cs="Times New Roman"/>
          <w:sz w:val="20"/>
          <w:szCs w:val="20"/>
        </w:rPr>
        <w:t>.</w:t>
      </w:r>
    </w:p>
    <w:p w:rsidR="001B4D34" w:rsidRPr="00F7263B" w:rsidRDefault="001B4D34" w:rsidP="00380EF7">
      <w:pPr>
        <w:pStyle w:val="ListParagraph"/>
        <w:ind w:left="0"/>
        <w:jc w:val="both"/>
        <w:rPr>
          <w:rFonts w:cs="Times New Roman"/>
          <w:sz w:val="20"/>
          <w:szCs w:val="20"/>
        </w:rPr>
      </w:pPr>
    </w:p>
    <w:p w:rsidR="004E4895" w:rsidRPr="00F7263B" w:rsidRDefault="001D2940" w:rsidP="003A382D">
      <w:pPr>
        <w:pStyle w:val="Heading1"/>
        <w:jc w:val="both"/>
        <w:rPr>
          <w:sz w:val="20"/>
          <w:szCs w:val="20"/>
        </w:rPr>
      </w:pPr>
      <w:bookmarkStart w:id="8" w:name="_Toc380167569"/>
      <w:r w:rsidRPr="00F7263B">
        <w:rPr>
          <w:sz w:val="20"/>
          <w:szCs w:val="20"/>
        </w:rPr>
        <w:t xml:space="preserve">PROGRAM </w:t>
      </w:r>
      <w:r w:rsidR="00FC3897" w:rsidRPr="00F7263B">
        <w:rPr>
          <w:sz w:val="20"/>
          <w:szCs w:val="20"/>
        </w:rPr>
        <w:t>DESCRIPTION</w:t>
      </w:r>
      <w:bookmarkEnd w:id="8"/>
    </w:p>
    <w:p w:rsidR="004E4895" w:rsidRPr="00F7263B" w:rsidRDefault="004E4895" w:rsidP="003A382D">
      <w:pPr>
        <w:pStyle w:val="NoSpacing"/>
        <w:jc w:val="both"/>
        <w:rPr>
          <w:rFonts w:ascii="Times New Roman" w:hAnsi="Times New Roman" w:cs="Times New Roman"/>
          <w:sz w:val="20"/>
          <w:szCs w:val="20"/>
        </w:rPr>
      </w:pPr>
    </w:p>
    <w:p w:rsidR="000C4985" w:rsidRPr="00F7263B" w:rsidRDefault="000C4985" w:rsidP="00BB6224">
      <w:pPr>
        <w:pStyle w:val="Heading2"/>
        <w:ind w:left="0"/>
        <w:jc w:val="both"/>
        <w:rPr>
          <w:sz w:val="20"/>
          <w:szCs w:val="20"/>
        </w:rPr>
      </w:pPr>
      <w:bookmarkStart w:id="9" w:name="_Toc380167570"/>
      <w:r w:rsidRPr="00F7263B">
        <w:rPr>
          <w:sz w:val="20"/>
          <w:szCs w:val="20"/>
        </w:rPr>
        <w:t xml:space="preserve">Program </w:t>
      </w:r>
      <w:r w:rsidR="005B1E3B" w:rsidRPr="00F7263B">
        <w:rPr>
          <w:sz w:val="20"/>
          <w:szCs w:val="20"/>
        </w:rPr>
        <w:t>Scope</w:t>
      </w:r>
      <w:bookmarkEnd w:id="9"/>
    </w:p>
    <w:p w:rsidR="000C4985" w:rsidRPr="00F7263B" w:rsidRDefault="000C4985" w:rsidP="003A382D">
      <w:pPr>
        <w:pStyle w:val="NoSpacing"/>
        <w:jc w:val="both"/>
        <w:rPr>
          <w:rFonts w:ascii="Times New Roman" w:hAnsi="Times New Roman" w:cs="Times New Roman"/>
          <w:i/>
          <w:sz w:val="20"/>
          <w:szCs w:val="20"/>
        </w:rPr>
      </w:pPr>
    </w:p>
    <w:p w:rsidR="00A51142" w:rsidRPr="00F7263B" w:rsidRDefault="008D0193" w:rsidP="003A382D">
      <w:pPr>
        <w:pStyle w:val="NoSpacing"/>
        <w:jc w:val="both"/>
        <w:rPr>
          <w:rFonts w:ascii="Times New Roman" w:eastAsia="Calibri" w:hAnsi="Times New Roman" w:cs="Times New Roman"/>
          <w:bCs/>
          <w:i/>
          <w:sz w:val="20"/>
          <w:szCs w:val="20"/>
        </w:rPr>
      </w:pPr>
      <w:r w:rsidRPr="00F7263B">
        <w:rPr>
          <w:rFonts w:ascii="Times New Roman" w:eastAsia="Calibri" w:hAnsi="Times New Roman" w:cs="Times New Roman"/>
          <w:bCs/>
          <w:i/>
          <w:sz w:val="20"/>
          <w:szCs w:val="20"/>
        </w:rPr>
        <w:t>Existing G</w:t>
      </w:r>
      <w:r w:rsidR="00A51142" w:rsidRPr="00F7263B">
        <w:rPr>
          <w:rFonts w:ascii="Times New Roman" w:eastAsia="Calibri" w:hAnsi="Times New Roman" w:cs="Times New Roman"/>
          <w:bCs/>
          <w:i/>
          <w:sz w:val="20"/>
          <w:szCs w:val="20"/>
        </w:rPr>
        <w:t>overnment Program</w:t>
      </w:r>
      <w:r w:rsidR="00514F66" w:rsidRPr="00F7263B">
        <w:rPr>
          <w:rFonts w:ascii="Times New Roman" w:hAnsi="Times New Roman" w:cs="Times New Roman"/>
          <w:i/>
          <w:color w:val="000000"/>
          <w:sz w:val="20"/>
          <w:szCs w:val="20"/>
        </w:rPr>
        <w:t>–</w:t>
      </w:r>
      <w:r w:rsidR="00514F66" w:rsidRPr="00F7263B">
        <w:rPr>
          <w:rFonts w:ascii="Times New Roman" w:eastAsia="Calibri" w:hAnsi="Times New Roman" w:cs="Times New Roman"/>
          <w:bCs/>
          <w:i/>
          <w:sz w:val="20"/>
          <w:szCs w:val="20"/>
        </w:rPr>
        <w:t>the</w:t>
      </w:r>
      <w:r w:rsidR="009E3481" w:rsidRPr="00F7263B">
        <w:rPr>
          <w:rFonts w:ascii="Times New Roman" w:eastAsia="Calibri" w:hAnsi="Times New Roman" w:cs="Times New Roman"/>
          <w:bCs/>
          <w:i/>
          <w:sz w:val="20"/>
          <w:szCs w:val="20"/>
        </w:rPr>
        <w:t xml:space="preserve"> </w:t>
      </w:r>
      <w:r w:rsidR="00514F66" w:rsidRPr="00F7263B">
        <w:rPr>
          <w:rFonts w:ascii="Times New Roman" w:eastAsia="Calibri" w:hAnsi="Times New Roman" w:cs="Times New Roman"/>
          <w:bCs/>
          <w:i/>
          <w:sz w:val="20"/>
          <w:szCs w:val="20"/>
        </w:rPr>
        <w:t>ULGDP</w:t>
      </w:r>
    </w:p>
    <w:p w:rsidR="003A382D" w:rsidRPr="00F7263B" w:rsidRDefault="003A382D" w:rsidP="003A382D">
      <w:pPr>
        <w:pStyle w:val="NoSpacing"/>
        <w:jc w:val="both"/>
        <w:rPr>
          <w:rFonts w:ascii="Times New Roman" w:hAnsi="Times New Roman" w:cs="Times New Roman"/>
          <w:i/>
          <w:sz w:val="20"/>
          <w:szCs w:val="20"/>
        </w:rPr>
      </w:pPr>
    </w:p>
    <w:p w:rsidR="006C1CFB" w:rsidRPr="00F7263B" w:rsidRDefault="00833CB8" w:rsidP="00791E6A">
      <w:pPr>
        <w:pStyle w:val="ListParagraph"/>
        <w:numPr>
          <w:ilvl w:val="0"/>
          <w:numId w:val="9"/>
        </w:numPr>
        <w:ind w:left="0" w:firstLine="0"/>
        <w:jc w:val="both"/>
        <w:rPr>
          <w:rFonts w:cs="Times New Roman"/>
          <w:sz w:val="20"/>
          <w:szCs w:val="20"/>
        </w:rPr>
      </w:pPr>
      <w:r w:rsidRPr="00F7263B">
        <w:rPr>
          <w:rFonts w:cs="Times New Roman"/>
          <w:b/>
          <w:sz w:val="20"/>
          <w:szCs w:val="20"/>
        </w:rPr>
        <w:t>In 2008,</w:t>
      </w:r>
      <w:r w:rsidR="00B4531B" w:rsidRPr="00F7263B">
        <w:rPr>
          <w:rFonts w:cs="Times New Roman"/>
          <w:b/>
          <w:sz w:val="20"/>
          <w:szCs w:val="20"/>
        </w:rPr>
        <w:t xml:space="preserve"> </w:t>
      </w:r>
      <w:r w:rsidRPr="00F7263B">
        <w:rPr>
          <w:rFonts w:cs="Times New Roman"/>
          <w:b/>
          <w:sz w:val="20"/>
          <w:szCs w:val="20"/>
        </w:rPr>
        <w:t>t</w:t>
      </w:r>
      <w:r w:rsidR="00D802FA" w:rsidRPr="00F7263B">
        <w:rPr>
          <w:rFonts w:cs="Times New Roman"/>
          <w:b/>
          <w:sz w:val="20"/>
          <w:szCs w:val="20"/>
        </w:rPr>
        <w:t xml:space="preserve">he government introduced the Urban Local Government Development </w:t>
      </w:r>
      <w:r w:rsidR="00201439" w:rsidRPr="00F7263B">
        <w:rPr>
          <w:rFonts w:cs="Times New Roman"/>
          <w:b/>
          <w:sz w:val="20"/>
          <w:szCs w:val="20"/>
        </w:rPr>
        <w:t>p</w:t>
      </w:r>
      <w:r w:rsidR="00D802FA" w:rsidRPr="00F7263B">
        <w:rPr>
          <w:rFonts w:cs="Times New Roman"/>
          <w:b/>
          <w:sz w:val="20"/>
          <w:szCs w:val="20"/>
        </w:rPr>
        <w:t>rogram (ULGDP)</w:t>
      </w:r>
      <w:r w:rsidR="00942650" w:rsidRPr="00F7263B">
        <w:rPr>
          <w:rFonts w:cs="Times New Roman"/>
          <w:sz w:val="20"/>
          <w:szCs w:val="20"/>
        </w:rPr>
        <w:t xml:space="preserve">.  </w:t>
      </w:r>
      <w:r w:rsidR="00981780" w:rsidRPr="00F7263B">
        <w:rPr>
          <w:rFonts w:cs="Times New Roman"/>
          <w:sz w:val="20"/>
          <w:szCs w:val="20"/>
        </w:rPr>
        <w:t>In response to the institutional and fiscal gap at the urban local government level as highlighted above, the p</w:t>
      </w:r>
      <w:r w:rsidR="00A51142" w:rsidRPr="00F7263B">
        <w:rPr>
          <w:rFonts w:cs="Times New Roman"/>
          <w:sz w:val="20"/>
          <w:szCs w:val="20"/>
        </w:rPr>
        <w:t>rogram’s</w:t>
      </w:r>
      <w:r w:rsidR="009E3481" w:rsidRPr="00F7263B">
        <w:rPr>
          <w:rFonts w:cs="Times New Roman"/>
          <w:sz w:val="20"/>
          <w:szCs w:val="20"/>
        </w:rPr>
        <w:t xml:space="preserve"> </w:t>
      </w:r>
      <w:r w:rsidR="006C1CFB" w:rsidRPr="00F7263B">
        <w:rPr>
          <w:rFonts w:cs="Times New Roman"/>
          <w:sz w:val="20"/>
          <w:szCs w:val="20"/>
        </w:rPr>
        <w:t>overall objective</w:t>
      </w:r>
      <w:r w:rsidR="00D802FA" w:rsidRPr="00F7263B">
        <w:rPr>
          <w:rFonts w:cs="Times New Roman"/>
          <w:sz w:val="20"/>
          <w:szCs w:val="20"/>
        </w:rPr>
        <w:t xml:space="preserve"> is to support improved </w:t>
      </w:r>
      <w:r w:rsidR="00981780" w:rsidRPr="00F7263B">
        <w:rPr>
          <w:rFonts w:cs="Times New Roman"/>
          <w:sz w:val="20"/>
          <w:szCs w:val="20"/>
        </w:rPr>
        <w:t xml:space="preserve">institutional </w:t>
      </w:r>
      <w:r w:rsidR="00D802FA" w:rsidRPr="00F7263B">
        <w:rPr>
          <w:rFonts w:cs="Times New Roman"/>
          <w:sz w:val="20"/>
          <w:szCs w:val="20"/>
        </w:rPr>
        <w:t>performance in the planning, delivery, and sustained provision of urban services and infrastructure by local governments</w:t>
      </w:r>
      <w:r w:rsidR="00942650" w:rsidRPr="00F7263B">
        <w:rPr>
          <w:rFonts w:cs="Times New Roman"/>
          <w:sz w:val="20"/>
          <w:szCs w:val="20"/>
        </w:rPr>
        <w:t xml:space="preserve">.  </w:t>
      </w:r>
      <w:r w:rsidR="006C1CFB" w:rsidRPr="00F7263B">
        <w:rPr>
          <w:rFonts w:cs="Times New Roman"/>
          <w:sz w:val="20"/>
          <w:szCs w:val="20"/>
        </w:rPr>
        <w:t>It aims to fulfill this goal by providing grants to urban local governments based on their performance across a range of areas including fiduciary management, management of environmental and social systems,</w:t>
      </w:r>
      <w:r w:rsidR="00F46534" w:rsidRPr="00F7263B">
        <w:rPr>
          <w:rFonts w:cs="Times New Roman"/>
          <w:sz w:val="20"/>
          <w:szCs w:val="20"/>
        </w:rPr>
        <w:t xml:space="preserve"> revenue mobilization,</w:t>
      </w:r>
      <w:r w:rsidR="006C1CFB" w:rsidRPr="00F7263B">
        <w:rPr>
          <w:rFonts w:cs="Times New Roman"/>
          <w:sz w:val="20"/>
          <w:szCs w:val="20"/>
        </w:rPr>
        <w:t xml:space="preserve"> budgeting practices, </w:t>
      </w:r>
      <w:r w:rsidR="00F46534" w:rsidRPr="00F7263B">
        <w:rPr>
          <w:rFonts w:cs="Times New Roman"/>
          <w:sz w:val="20"/>
          <w:szCs w:val="20"/>
        </w:rPr>
        <w:t xml:space="preserve">execution of planned </w:t>
      </w:r>
      <w:r w:rsidR="00F46534" w:rsidRPr="00F7263B">
        <w:rPr>
          <w:rFonts w:cs="Times New Roman"/>
          <w:sz w:val="20"/>
          <w:szCs w:val="20"/>
        </w:rPr>
        <w:lastRenderedPageBreak/>
        <w:t>operations and maintenance,</w:t>
      </w:r>
      <w:r w:rsidR="009E3481" w:rsidRPr="00F7263B">
        <w:rPr>
          <w:rFonts w:cs="Times New Roman"/>
          <w:sz w:val="20"/>
          <w:szCs w:val="20"/>
        </w:rPr>
        <w:t xml:space="preserve"> </w:t>
      </w:r>
      <w:r w:rsidR="006C1CFB" w:rsidRPr="00F7263B">
        <w:rPr>
          <w:rFonts w:cs="Times New Roman"/>
          <w:sz w:val="20"/>
          <w:szCs w:val="20"/>
        </w:rPr>
        <w:t>governance, transparency and participation, among others</w:t>
      </w:r>
      <w:r w:rsidR="00942650" w:rsidRPr="00F7263B">
        <w:rPr>
          <w:rFonts w:cs="Times New Roman"/>
          <w:sz w:val="20"/>
          <w:szCs w:val="20"/>
        </w:rPr>
        <w:t xml:space="preserve">.  </w:t>
      </w:r>
      <w:r w:rsidR="006C1CFB" w:rsidRPr="00F7263B">
        <w:rPr>
          <w:rFonts w:cs="Times New Roman"/>
          <w:sz w:val="20"/>
          <w:szCs w:val="20"/>
        </w:rPr>
        <w:t xml:space="preserve">The </w:t>
      </w:r>
      <w:r w:rsidR="00942650" w:rsidRPr="00F7263B">
        <w:rPr>
          <w:rFonts w:cs="Times New Roman"/>
          <w:sz w:val="20"/>
          <w:szCs w:val="20"/>
        </w:rPr>
        <w:t>P</w:t>
      </w:r>
      <w:r w:rsidR="006C1CFB" w:rsidRPr="00F7263B">
        <w:rPr>
          <w:rFonts w:cs="Times New Roman"/>
          <w:sz w:val="20"/>
          <w:szCs w:val="20"/>
        </w:rPr>
        <w:t>rogram funds are disbursed on the basis of performance of the participating local governments and are earmarked for investment in urban infrastructure and services</w:t>
      </w:r>
      <w:r w:rsidR="00942650" w:rsidRPr="00F7263B">
        <w:rPr>
          <w:rFonts w:cs="Times New Roman"/>
          <w:sz w:val="20"/>
          <w:szCs w:val="20"/>
        </w:rPr>
        <w:t xml:space="preserve">.  </w:t>
      </w:r>
      <w:r w:rsidR="00011EC3" w:rsidRPr="00F7263B">
        <w:rPr>
          <w:rFonts w:cs="Times New Roman"/>
          <w:sz w:val="20"/>
          <w:szCs w:val="20"/>
        </w:rPr>
        <w:t xml:space="preserve">As mentioned earlier, the government program comprises a phased approach as the </w:t>
      </w:r>
      <w:r w:rsidR="008D2EE6" w:rsidRPr="00F7263B">
        <w:rPr>
          <w:rFonts w:cs="Times New Roman"/>
          <w:sz w:val="20"/>
          <w:szCs w:val="20"/>
        </w:rPr>
        <w:t>Government</w:t>
      </w:r>
      <w:r w:rsidR="00011EC3" w:rsidRPr="00F7263B">
        <w:rPr>
          <w:rFonts w:cs="Times New Roman"/>
          <w:sz w:val="20"/>
          <w:szCs w:val="20"/>
        </w:rPr>
        <w:t xml:space="preserve"> intends to roll out the </w:t>
      </w:r>
      <w:r w:rsidR="00D0377C" w:rsidRPr="00F7263B">
        <w:rPr>
          <w:rFonts w:cs="Times New Roman"/>
          <w:sz w:val="20"/>
          <w:szCs w:val="20"/>
        </w:rPr>
        <w:t>performance-based</w:t>
      </w:r>
      <w:r w:rsidR="00011EC3" w:rsidRPr="00F7263B">
        <w:rPr>
          <w:rFonts w:cs="Times New Roman"/>
          <w:sz w:val="20"/>
          <w:szCs w:val="20"/>
        </w:rPr>
        <w:t xml:space="preserve"> fiscal transfer system ultimately to all 84 ULGs in the country, while gradually expanding the scope and evolving roles for the federal and regional governments in capacity building and program administration</w:t>
      </w:r>
      <w:r w:rsidR="00942650" w:rsidRPr="00F7263B">
        <w:rPr>
          <w:rFonts w:cs="Times New Roman"/>
          <w:sz w:val="20"/>
          <w:szCs w:val="20"/>
        </w:rPr>
        <w:t xml:space="preserve">.  </w:t>
      </w:r>
    </w:p>
    <w:p w:rsidR="006C1CFB" w:rsidRPr="00F7263B" w:rsidRDefault="006C1CFB" w:rsidP="003A382D">
      <w:pPr>
        <w:pStyle w:val="ListParagraph"/>
        <w:ind w:left="0"/>
        <w:jc w:val="both"/>
        <w:rPr>
          <w:rFonts w:cs="Times New Roman"/>
          <w:sz w:val="20"/>
          <w:szCs w:val="20"/>
        </w:rPr>
      </w:pPr>
    </w:p>
    <w:p w:rsidR="00AF250A" w:rsidRPr="00F7263B" w:rsidRDefault="00E54836" w:rsidP="00380EF7">
      <w:pPr>
        <w:pStyle w:val="ListParagraph"/>
        <w:numPr>
          <w:ilvl w:val="0"/>
          <w:numId w:val="9"/>
        </w:numPr>
        <w:ind w:left="0" w:firstLine="0"/>
        <w:jc w:val="both"/>
        <w:rPr>
          <w:rFonts w:cs="Times New Roman"/>
          <w:color w:val="000000"/>
          <w:sz w:val="20"/>
          <w:szCs w:val="20"/>
        </w:rPr>
      </w:pPr>
      <w:r w:rsidRPr="00F7263B">
        <w:rPr>
          <w:rFonts w:cs="Times New Roman"/>
          <w:b/>
          <w:color w:val="000000"/>
          <w:sz w:val="20"/>
          <w:szCs w:val="20"/>
        </w:rPr>
        <w:t xml:space="preserve">Phase one of the </w:t>
      </w:r>
      <w:r w:rsidR="00942650" w:rsidRPr="00F7263B">
        <w:rPr>
          <w:rFonts w:cs="Times New Roman"/>
          <w:b/>
          <w:color w:val="000000"/>
          <w:sz w:val="20"/>
          <w:szCs w:val="20"/>
        </w:rPr>
        <w:t>P</w:t>
      </w:r>
      <w:r w:rsidRPr="00F7263B">
        <w:rPr>
          <w:rFonts w:cs="Times New Roman"/>
          <w:b/>
          <w:color w:val="000000"/>
          <w:sz w:val="20"/>
          <w:szCs w:val="20"/>
        </w:rPr>
        <w:t xml:space="preserve">rogram </w:t>
      </w:r>
      <w:r w:rsidR="00607CBA" w:rsidRPr="00F7263B">
        <w:rPr>
          <w:rFonts w:cs="Times New Roman"/>
          <w:b/>
          <w:color w:val="000000"/>
          <w:sz w:val="20"/>
          <w:szCs w:val="20"/>
        </w:rPr>
        <w:t>focused on addressing the capacity and infrastructure deficits of 36 ULGs in total</w:t>
      </w:r>
      <w:r w:rsidR="00942650" w:rsidRPr="00F7263B">
        <w:rPr>
          <w:rFonts w:cs="Times New Roman"/>
          <w:color w:val="000000"/>
          <w:sz w:val="20"/>
          <w:szCs w:val="20"/>
        </w:rPr>
        <w:t>.  T</w:t>
      </w:r>
      <w:r w:rsidR="00607CBA" w:rsidRPr="00F7263B">
        <w:rPr>
          <w:rFonts w:cs="Times New Roman"/>
          <w:color w:val="000000"/>
          <w:sz w:val="20"/>
          <w:szCs w:val="20"/>
        </w:rPr>
        <w:t xml:space="preserve">he emphasis </w:t>
      </w:r>
      <w:r w:rsidR="00942650" w:rsidRPr="00F7263B">
        <w:rPr>
          <w:rFonts w:cs="Times New Roman"/>
          <w:color w:val="000000"/>
          <w:sz w:val="20"/>
          <w:szCs w:val="20"/>
        </w:rPr>
        <w:t>was</w:t>
      </w:r>
      <w:r w:rsidR="00607CBA" w:rsidRPr="00F7263B">
        <w:rPr>
          <w:rFonts w:cs="Times New Roman"/>
          <w:color w:val="000000"/>
          <w:sz w:val="20"/>
          <w:szCs w:val="20"/>
        </w:rPr>
        <w:t xml:space="preserve"> on 18 major cities</w:t>
      </w:r>
      <w:r w:rsidR="009521AC" w:rsidRPr="00F7263B">
        <w:rPr>
          <w:rFonts w:cs="Times New Roman"/>
          <w:color w:val="000000"/>
          <w:sz w:val="20"/>
          <w:szCs w:val="20"/>
        </w:rPr>
        <w:t>—</w:t>
      </w:r>
      <w:r w:rsidR="00D4174B" w:rsidRPr="00F7263B">
        <w:rPr>
          <w:rFonts w:cs="Times New Roman"/>
          <w:color w:val="000000"/>
          <w:sz w:val="20"/>
          <w:szCs w:val="20"/>
        </w:rPr>
        <w:t xml:space="preserve">which received </w:t>
      </w:r>
      <w:r w:rsidR="00D0377C" w:rsidRPr="00F7263B">
        <w:rPr>
          <w:rFonts w:cs="Times New Roman"/>
          <w:color w:val="000000"/>
          <w:sz w:val="20"/>
          <w:szCs w:val="20"/>
        </w:rPr>
        <w:t>performance-based</w:t>
      </w:r>
      <w:r w:rsidR="00D4174B" w:rsidRPr="00F7263B">
        <w:rPr>
          <w:rFonts w:cs="Times New Roman"/>
          <w:color w:val="000000"/>
          <w:sz w:val="20"/>
          <w:szCs w:val="20"/>
        </w:rPr>
        <w:t xml:space="preserve"> grants for infrastructure </w:t>
      </w:r>
      <w:r w:rsidR="009521AC" w:rsidRPr="00F7263B">
        <w:rPr>
          <w:rFonts w:cs="Times New Roman"/>
          <w:color w:val="000000"/>
          <w:sz w:val="20"/>
          <w:szCs w:val="20"/>
        </w:rPr>
        <w:t>and service delivery—</w:t>
      </w:r>
      <w:r w:rsidR="004C53E5" w:rsidRPr="00F7263B">
        <w:rPr>
          <w:rFonts w:cs="Times New Roman"/>
          <w:color w:val="000000"/>
          <w:sz w:val="20"/>
          <w:szCs w:val="20"/>
        </w:rPr>
        <w:t xml:space="preserve">to start systematically addressing the institutional gaps </w:t>
      </w:r>
      <w:r w:rsidR="00D4174B" w:rsidRPr="00F7263B">
        <w:rPr>
          <w:rFonts w:cs="Times New Roman"/>
          <w:color w:val="000000"/>
          <w:sz w:val="20"/>
          <w:szCs w:val="20"/>
        </w:rPr>
        <w:t>mentioned</w:t>
      </w:r>
      <w:r w:rsidR="004C53E5" w:rsidRPr="00F7263B">
        <w:rPr>
          <w:rFonts w:cs="Times New Roman"/>
          <w:color w:val="000000"/>
          <w:sz w:val="20"/>
          <w:szCs w:val="20"/>
        </w:rPr>
        <w:t xml:space="preserve"> above in these cities. Phase one h</w:t>
      </w:r>
      <w:r w:rsidR="00AF250A" w:rsidRPr="00F7263B">
        <w:rPr>
          <w:rFonts w:cs="Times New Roman"/>
          <w:color w:val="000000"/>
          <w:sz w:val="20"/>
          <w:szCs w:val="20"/>
        </w:rPr>
        <w:t>a</w:t>
      </w:r>
      <w:r w:rsidRPr="00F7263B">
        <w:rPr>
          <w:rFonts w:cs="Times New Roman"/>
          <w:color w:val="000000"/>
          <w:sz w:val="20"/>
          <w:szCs w:val="20"/>
        </w:rPr>
        <w:t>d</w:t>
      </w:r>
      <w:r w:rsidR="00AF250A" w:rsidRPr="00F7263B">
        <w:rPr>
          <w:rFonts w:cs="Times New Roman"/>
          <w:color w:val="000000"/>
          <w:sz w:val="20"/>
          <w:szCs w:val="20"/>
        </w:rPr>
        <w:t xml:space="preserve"> a total budget envelope of US$416 million (US$300 million IDA</w:t>
      </w:r>
      <w:r w:rsidR="00BA4588" w:rsidRPr="00F7263B">
        <w:rPr>
          <w:rFonts w:cs="Times New Roman"/>
          <w:color w:val="000000"/>
          <w:sz w:val="20"/>
          <w:szCs w:val="20"/>
        </w:rPr>
        <w:t xml:space="preserve">, including </w:t>
      </w:r>
      <w:r w:rsidR="00C35193" w:rsidRPr="00F7263B">
        <w:rPr>
          <w:rFonts w:cs="Times New Roman"/>
          <w:color w:val="000000"/>
          <w:sz w:val="20"/>
          <w:szCs w:val="20"/>
        </w:rPr>
        <w:t>a</w:t>
      </w:r>
      <w:r w:rsidR="00BA4588" w:rsidRPr="00F7263B">
        <w:rPr>
          <w:rFonts w:cs="Times New Roman"/>
          <w:color w:val="000000"/>
          <w:sz w:val="20"/>
          <w:szCs w:val="20"/>
        </w:rPr>
        <w:t xml:space="preserve">dditional </w:t>
      </w:r>
      <w:r w:rsidR="00C35193" w:rsidRPr="00F7263B">
        <w:rPr>
          <w:rFonts w:cs="Times New Roman"/>
          <w:color w:val="000000"/>
          <w:sz w:val="20"/>
          <w:szCs w:val="20"/>
        </w:rPr>
        <w:t>f</w:t>
      </w:r>
      <w:r w:rsidR="00BA4588" w:rsidRPr="00F7263B">
        <w:rPr>
          <w:rFonts w:cs="Times New Roman"/>
          <w:color w:val="000000"/>
          <w:sz w:val="20"/>
          <w:szCs w:val="20"/>
        </w:rPr>
        <w:t xml:space="preserve">inancing of </w:t>
      </w:r>
      <w:r w:rsidR="00525CEB" w:rsidRPr="00F7263B">
        <w:rPr>
          <w:rFonts w:cs="Times New Roman"/>
          <w:color w:val="000000"/>
          <w:sz w:val="20"/>
          <w:szCs w:val="20"/>
        </w:rPr>
        <w:t>US$150 million</w:t>
      </w:r>
      <w:r w:rsidR="00BA4588" w:rsidRPr="00F7263B">
        <w:rPr>
          <w:rFonts w:cs="Times New Roman"/>
          <w:color w:val="000000"/>
          <w:sz w:val="20"/>
          <w:szCs w:val="20"/>
        </w:rPr>
        <w:t>,</w:t>
      </w:r>
      <w:r w:rsidR="00AF250A" w:rsidRPr="00F7263B">
        <w:rPr>
          <w:rFonts w:cs="Times New Roman"/>
          <w:color w:val="000000"/>
          <w:sz w:val="20"/>
          <w:szCs w:val="20"/>
        </w:rPr>
        <w:t xml:space="preserve"> and US$116 million government)</w:t>
      </w:r>
      <w:r w:rsidR="00997C5A" w:rsidRPr="00F7263B">
        <w:rPr>
          <w:rFonts w:cs="Times New Roman"/>
          <w:color w:val="000000"/>
          <w:sz w:val="20"/>
          <w:szCs w:val="20"/>
        </w:rPr>
        <w:t>,with</w:t>
      </w:r>
      <w:r w:rsidR="00AF250A" w:rsidRPr="00F7263B">
        <w:rPr>
          <w:rFonts w:cs="Times New Roman"/>
          <w:color w:val="000000"/>
          <w:sz w:val="20"/>
          <w:szCs w:val="20"/>
        </w:rPr>
        <w:t xml:space="preserve"> the following three main elements:</w:t>
      </w:r>
    </w:p>
    <w:p w:rsidR="00A2423C" w:rsidRPr="00F7263B" w:rsidRDefault="00A2423C" w:rsidP="00A2423C">
      <w:pPr>
        <w:pStyle w:val="ListParagraph"/>
        <w:rPr>
          <w:rFonts w:cs="Times New Roman"/>
          <w:color w:val="000000"/>
          <w:sz w:val="20"/>
          <w:szCs w:val="20"/>
        </w:rPr>
      </w:pPr>
    </w:p>
    <w:p w:rsidR="00AF250A" w:rsidRPr="00F7263B" w:rsidRDefault="00AF250A" w:rsidP="00D92D63">
      <w:pPr>
        <w:pStyle w:val="ListParagraph"/>
        <w:numPr>
          <w:ilvl w:val="1"/>
          <w:numId w:val="9"/>
        </w:numPr>
        <w:ind w:left="1260" w:hanging="450"/>
        <w:jc w:val="both"/>
        <w:rPr>
          <w:rFonts w:cs="Times New Roman"/>
          <w:color w:val="000000"/>
          <w:sz w:val="20"/>
          <w:szCs w:val="20"/>
        </w:rPr>
      </w:pPr>
      <w:r w:rsidRPr="00F7263B">
        <w:rPr>
          <w:rFonts w:cs="Times New Roman"/>
          <w:color w:val="000000"/>
          <w:sz w:val="20"/>
          <w:szCs w:val="20"/>
        </w:rPr>
        <w:t>Performance based grants to 18 ULGs and Addis</w:t>
      </w:r>
      <w:r w:rsidR="001C07A4" w:rsidRPr="00F7263B">
        <w:rPr>
          <w:rFonts w:cs="Times New Roman"/>
          <w:color w:val="000000"/>
          <w:sz w:val="20"/>
          <w:szCs w:val="20"/>
        </w:rPr>
        <w:t xml:space="preserve"> Ababa</w:t>
      </w:r>
      <w:r w:rsidRPr="00F7263B">
        <w:rPr>
          <w:rFonts w:cs="Times New Roman"/>
          <w:color w:val="000000"/>
          <w:sz w:val="20"/>
          <w:szCs w:val="20"/>
        </w:rPr>
        <w:t xml:space="preserve"> for urban infrastructure investments (</w:t>
      </w:r>
      <w:r w:rsidR="0065132C" w:rsidRPr="00F7263B">
        <w:rPr>
          <w:rFonts w:cs="Times New Roman"/>
          <w:color w:val="000000"/>
          <w:sz w:val="20"/>
          <w:szCs w:val="20"/>
        </w:rPr>
        <w:t>US</w:t>
      </w:r>
      <w:r w:rsidRPr="00F7263B">
        <w:rPr>
          <w:rFonts w:cs="Times New Roman"/>
          <w:color w:val="000000"/>
          <w:sz w:val="20"/>
          <w:szCs w:val="20"/>
        </w:rPr>
        <w:t>$403 million)</w:t>
      </w:r>
      <w:r w:rsidR="009521AC" w:rsidRPr="00F7263B">
        <w:rPr>
          <w:rFonts w:cs="Times New Roman"/>
          <w:color w:val="000000"/>
          <w:sz w:val="20"/>
          <w:szCs w:val="20"/>
        </w:rPr>
        <w:t>.</w:t>
      </w:r>
    </w:p>
    <w:p w:rsidR="00AF250A" w:rsidRPr="00F7263B" w:rsidRDefault="00AF250A" w:rsidP="00D92D63">
      <w:pPr>
        <w:pStyle w:val="ListParagraph"/>
        <w:numPr>
          <w:ilvl w:val="1"/>
          <w:numId w:val="9"/>
        </w:numPr>
        <w:ind w:left="1260" w:hanging="450"/>
        <w:jc w:val="both"/>
        <w:rPr>
          <w:rFonts w:cs="Times New Roman"/>
          <w:color w:val="000000"/>
          <w:sz w:val="20"/>
          <w:szCs w:val="20"/>
        </w:rPr>
      </w:pPr>
      <w:r w:rsidRPr="00F7263B">
        <w:rPr>
          <w:rFonts w:cs="Times New Roman"/>
          <w:color w:val="000000"/>
          <w:sz w:val="20"/>
          <w:szCs w:val="20"/>
        </w:rPr>
        <w:t xml:space="preserve">Capacity building to (US$7.5 million) </w:t>
      </w:r>
    </w:p>
    <w:p w:rsidR="00AF250A" w:rsidRPr="00F7263B" w:rsidRDefault="00AF250A" w:rsidP="00D92D63">
      <w:pPr>
        <w:pStyle w:val="ListParagraph"/>
        <w:numPr>
          <w:ilvl w:val="0"/>
          <w:numId w:val="10"/>
        </w:numPr>
        <w:ind w:left="1710" w:hanging="450"/>
        <w:jc w:val="both"/>
        <w:rPr>
          <w:rFonts w:cs="Times New Roman"/>
          <w:color w:val="000000"/>
          <w:sz w:val="20"/>
          <w:szCs w:val="20"/>
        </w:rPr>
      </w:pPr>
      <w:r w:rsidRPr="00F7263B">
        <w:rPr>
          <w:rFonts w:cs="Times New Roman"/>
          <w:color w:val="000000"/>
          <w:sz w:val="20"/>
          <w:szCs w:val="20"/>
        </w:rPr>
        <w:t>36 ULGs (the 18 ULGs</w:t>
      </w:r>
      <w:r w:rsidR="009D6AEE" w:rsidRPr="00F7263B">
        <w:rPr>
          <w:rFonts w:cs="Times New Roman"/>
          <w:color w:val="000000"/>
          <w:sz w:val="20"/>
          <w:szCs w:val="20"/>
        </w:rPr>
        <w:t xml:space="preserve"> receiving performance grants under the ULGDP,</w:t>
      </w:r>
      <w:r w:rsidR="009E3481" w:rsidRPr="00F7263B">
        <w:rPr>
          <w:rFonts w:cs="Times New Roman"/>
          <w:color w:val="000000"/>
          <w:sz w:val="20"/>
          <w:szCs w:val="20"/>
        </w:rPr>
        <w:t xml:space="preserve"> </w:t>
      </w:r>
      <w:r w:rsidR="0033124E" w:rsidRPr="00F7263B">
        <w:rPr>
          <w:rFonts w:cs="Times New Roman"/>
          <w:color w:val="000000"/>
          <w:sz w:val="20"/>
          <w:szCs w:val="20"/>
        </w:rPr>
        <w:t xml:space="preserve">and </w:t>
      </w:r>
      <w:r w:rsidRPr="00F7263B">
        <w:rPr>
          <w:rFonts w:cs="Times New Roman"/>
          <w:color w:val="000000"/>
          <w:sz w:val="20"/>
          <w:szCs w:val="20"/>
        </w:rPr>
        <w:t xml:space="preserve">18 </w:t>
      </w:r>
      <w:r w:rsidR="009D6AEE" w:rsidRPr="00F7263B">
        <w:rPr>
          <w:rFonts w:cs="Times New Roman"/>
          <w:color w:val="000000"/>
          <w:sz w:val="20"/>
          <w:szCs w:val="20"/>
        </w:rPr>
        <w:t xml:space="preserve">additional </w:t>
      </w:r>
      <w:r w:rsidRPr="00F7263B">
        <w:rPr>
          <w:rFonts w:cs="Times New Roman"/>
          <w:color w:val="000000"/>
          <w:sz w:val="20"/>
          <w:szCs w:val="20"/>
        </w:rPr>
        <w:t xml:space="preserve">ULGs </w:t>
      </w:r>
      <w:r w:rsidR="00C477B4" w:rsidRPr="00F7263B">
        <w:rPr>
          <w:rFonts w:cs="Times New Roman"/>
          <w:color w:val="000000"/>
          <w:sz w:val="20"/>
          <w:szCs w:val="20"/>
        </w:rPr>
        <w:t>which will</w:t>
      </w:r>
      <w:r w:rsidR="009E3481" w:rsidRPr="00F7263B">
        <w:rPr>
          <w:rFonts w:cs="Times New Roman"/>
          <w:color w:val="000000"/>
          <w:sz w:val="20"/>
          <w:szCs w:val="20"/>
        </w:rPr>
        <w:t xml:space="preserve"> </w:t>
      </w:r>
      <w:r w:rsidR="009D6AEE" w:rsidRPr="00F7263B">
        <w:rPr>
          <w:rFonts w:cs="Times New Roman"/>
          <w:color w:val="000000"/>
          <w:sz w:val="20"/>
          <w:szCs w:val="20"/>
        </w:rPr>
        <w:t xml:space="preserve">participate </w:t>
      </w:r>
      <w:r w:rsidR="00C477B4" w:rsidRPr="00F7263B">
        <w:rPr>
          <w:rFonts w:cs="Times New Roman"/>
          <w:color w:val="000000"/>
          <w:sz w:val="20"/>
          <w:szCs w:val="20"/>
        </w:rPr>
        <w:t>in</w:t>
      </w:r>
      <w:r w:rsidR="009E3481" w:rsidRPr="00F7263B">
        <w:rPr>
          <w:rFonts w:cs="Times New Roman"/>
          <w:color w:val="000000"/>
          <w:sz w:val="20"/>
          <w:szCs w:val="20"/>
        </w:rPr>
        <w:t xml:space="preserve"> </w:t>
      </w:r>
      <w:r w:rsidR="009D6AEE" w:rsidRPr="00F7263B">
        <w:rPr>
          <w:rFonts w:cs="Times New Roman"/>
          <w:color w:val="000000"/>
          <w:sz w:val="20"/>
          <w:szCs w:val="20"/>
        </w:rPr>
        <w:t>ULGDP II)</w:t>
      </w:r>
      <w:r w:rsidR="009521AC" w:rsidRPr="00F7263B">
        <w:rPr>
          <w:rFonts w:cs="Times New Roman"/>
          <w:color w:val="000000"/>
          <w:sz w:val="20"/>
          <w:szCs w:val="20"/>
        </w:rPr>
        <w:t>.</w:t>
      </w:r>
    </w:p>
    <w:p w:rsidR="00AF250A" w:rsidRPr="00F7263B" w:rsidRDefault="009D6AEE" w:rsidP="00D92D63">
      <w:pPr>
        <w:pStyle w:val="ListParagraph"/>
        <w:numPr>
          <w:ilvl w:val="0"/>
          <w:numId w:val="10"/>
        </w:numPr>
        <w:ind w:left="1710" w:hanging="450"/>
        <w:jc w:val="both"/>
        <w:rPr>
          <w:rFonts w:cs="Times New Roman"/>
          <w:color w:val="000000"/>
          <w:sz w:val="20"/>
          <w:szCs w:val="20"/>
        </w:rPr>
      </w:pPr>
      <w:r w:rsidRPr="00F7263B">
        <w:rPr>
          <w:rFonts w:cs="Times New Roman"/>
          <w:color w:val="000000"/>
          <w:sz w:val="20"/>
          <w:szCs w:val="20"/>
        </w:rPr>
        <w:t>T</w:t>
      </w:r>
      <w:r w:rsidR="00AF250A" w:rsidRPr="00F7263B">
        <w:rPr>
          <w:rFonts w:cs="Times New Roman"/>
          <w:color w:val="000000"/>
          <w:sz w:val="20"/>
          <w:szCs w:val="20"/>
        </w:rPr>
        <w:t>he Ministry of Urban Development, Housing</w:t>
      </w:r>
      <w:r w:rsidRPr="00F7263B">
        <w:rPr>
          <w:rFonts w:cs="Times New Roman"/>
          <w:color w:val="000000"/>
          <w:sz w:val="20"/>
          <w:szCs w:val="20"/>
        </w:rPr>
        <w:t>,</w:t>
      </w:r>
      <w:r w:rsidR="00AF250A" w:rsidRPr="00F7263B">
        <w:rPr>
          <w:rFonts w:cs="Times New Roman"/>
          <w:color w:val="000000"/>
          <w:sz w:val="20"/>
          <w:szCs w:val="20"/>
        </w:rPr>
        <w:t xml:space="preserve"> and Construction (</w:t>
      </w:r>
      <w:r w:rsidR="00E65E2E" w:rsidRPr="00F7263B">
        <w:rPr>
          <w:rFonts w:cs="Times New Roman"/>
          <w:color w:val="000000"/>
          <w:sz w:val="20"/>
          <w:szCs w:val="20"/>
        </w:rPr>
        <w:t>MUDHCo</w:t>
      </w:r>
      <w:r w:rsidR="00AF250A" w:rsidRPr="00F7263B">
        <w:rPr>
          <w:rFonts w:cs="Times New Roman"/>
          <w:color w:val="000000"/>
          <w:sz w:val="20"/>
          <w:szCs w:val="20"/>
        </w:rPr>
        <w:t xml:space="preserve">) to strengthen </w:t>
      </w:r>
      <w:r w:rsidRPr="00F7263B">
        <w:rPr>
          <w:rFonts w:cs="Times New Roman"/>
          <w:color w:val="000000"/>
          <w:sz w:val="20"/>
          <w:szCs w:val="20"/>
        </w:rPr>
        <w:t>its</w:t>
      </w:r>
      <w:r w:rsidR="009521AC" w:rsidRPr="00F7263B">
        <w:rPr>
          <w:rFonts w:cs="Times New Roman"/>
          <w:color w:val="000000"/>
          <w:sz w:val="20"/>
          <w:szCs w:val="20"/>
        </w:rPr>
        <w:t xml:space="preserve"> capacity to support the cities.</w:t>
      </w:r>
    </w:p>
    <w:p w:rsidR="00AF250A" w:rsidRPr="00F7263B" w:rsidRDefault="00AF250A" w:rsidP="00D92D63">
      <w:pPr>
        <w:pStyle w:val="ListParagraph"/>
        <w:numPr>
          <w:ilvl w:val="1"/>
          <w:numId w:val="9"/>
        </w:numPr>
        <w:ind w:left="1260" w:hanging="450"/>
        <w:jc w:val="both"/>
        <w:rPr>
          <w:rFonts w:cs="Times New Roman"/>
          <w:color w:val="000000"/>
          <w:sz w:val="20"/>
          <w:szCs w:val="20"/>
        </w:rPr>
      </w:pPr>
      <w:r w:rsidRPr="00F7263B">
        <w:rPr>
          <w:rFonts w:cs="Times New Roman"/>
          <w:color w:val="000000"/>
          <w:sz w:val="20"/>
          <w:szCs w:val="20"/>
        </w:rPr>
        <w:t>Implementation support (</w:t>
      </w:r>
      <w:r w:rsidR="00E65E2E" w:rsidRPr="00F7263B">
        <w:rPr>
          <w:rFonts w:cs="Times New Roman"/>
          <w:color w:val="000000"/>
          <w:sz w:val="20"/>
          <w:szCs w:val="20"/>
        </w:rPr>
        <w:t>US</w:t>
      </w:r>
      <w:r w:rsidRPr="00F7263B">
        <w:rPr>
          <w:rFonts w:cs="Times New Roman"/>
          <w:color w:val="000000"/>
          <w:sz w:val="20"/>
          <w:szCs w:val="20"/>
        </w:rPr>
        <w:t>$5.5 million)</w:t>
      </w:r>
      <w:r w:rsidR="009D6AEE" w:rsidRPr="00F7263B">
        <w:rPr>
          <w:rFonts w:cs="Times New Roman"/>
          <w:color w:val="000000"/>
          <w:sz w:val="20"/>
          <w:szCs w:val="20"/>
        </w:rPr>
        <w:t>.</w:t>
      </w:r>
      <w:r w:rsidRPr="00F7263B">
        <w:rPr>
          <w:rStyle w:val="FootnoteReference"/>
          <w:rFonts w:cs="Times New Roman"/>
          <w:color w:val="000000"/>
          <w:sz w:val="20"/>
          <w:szCs w:val="20"/>
        </w:rPr>
        <w:footnoteReference w:id="9"/>
      </w:r>
    </w:p>
    <w:p w:rsidR="00AF250A" w:rsidRPr="00F7263B" w:rsidRDefault="00AF250A" w:rsidP="00A2423C">
      <w:pPr>
        <w:pStyle w:val="ListParagraph"/>
        <w:ind w:left="990"/>
        <w:jc w:val="both"/>
        <w:rPr>
          <w:rFonts w:cs="Times New Roman"/>
          <w:sz w:val="20"/>
          <w:szCs w:val="20"/>
        </w:rPr>
      </w:pPr>
    </w:p>
    <w:p w:rsidR="00D802FA" w:rsidRPr="00F7263B" w:rsidRDefault="00EE3119" w:rsidP="006018D8">
      <w:pPr>
        <w:pStyle w:val="ListParagraph"/>
        <w:numPr>
          <w:ilvl w:val="0"/>
          <w:numId w:val="9"/>
        </w:numPr>
        <w:ind w:left="0" w:firstLine="0"/>
        <w:jc w:val="both"/>
        <w:rPr>
          <w:rFonts w:cs="Times New Roman"/>
          <w:sz w:val="20"/>
          <w:szCs w:val="20"/>
        </w:rPr>
      </w:pPr>
      <w:r w:rsidRPr="00F7263B">
        <w:rPr>
          <w:rFonts w:cs="Times New Roman"/>
          <w:b/>
          <w:sz w:val="20"/>
          <w:szCs w:val="20"/>
        </w:rPr>
        <w:t>All ULGDP funds are allocated according to a simple population-based formula</w:t>
      </w:r>
      <w:r w:rsidR="003A382D" w:rsidRPr="00F7263B">
        <w:rPr>
          <w:rFonts w:cs="Times New Roman"/>
          <w:b/>
          <w:sz w:val="20"/>
          <w:szCs w:val="20"/>
        </w:rPr>
        <w:t>.</w:t>
      </w:r>
      <w:r w:rsidR="009E3481" w:rsidRPr="00F7263B">
        <w:rPr>
          <w:rFonts w:cs="Times New Roman"/>
          <w:b/>
          <w:sz w:val="20"/>
          <w:szCs w:val="20"/>
        </w:rPr>
        <w:t xml:space="preserve"> </w:t>
      </w:r>
      <w:r w:rsidR="001F2DD0" w:rsidRPr="00F7263B">
        <w:rPr>
          <w:rFonts w:cs="Times New Roman"/>
          <w:sz w:val="20"/>
          <w:szCs w:val="20"/>
        </w:rPr>
        <w:t>To date, a</w:t>
      </w:r>
      <w:r w:rsidR="00CB0703" w:rsidRPr="00F7263B">
        <w:rPr>
          <w:rFonts w:cs="Times New Roman"/>
          <w:sz w:val="20"/>
          <w:szCs w:val="20"/>
        </w:rPr>
        <w:t>n</w:t>
      </w:r>
      <w:r w:rsidRPr="00F7263B">
        <w:rPr>
          <w:rFonts w:cs="Times New Roman"/>
          <w:sz w:val="20"/>
          <w:szCs w:val="20"/>
        </w:rPr>
        <w:t xml:space="preserve"> average of </w:t>
      </w:r>
      <w:r w:rsidR="009521AC" w:rsidRPr="00F7263B">
        <w:rPr>
          <w:rFonts w:cs="Times New Roman"/>
          <w:sz w:val="20"/>
          <w:szCs w:val="20"/>
        </w:rPr>
        <w:t>US$</w:t>
      </w:r>
      <w:r w:rsidRPr="00F7263B">
        <w:rPr>
          <w:rFonts w:cs="Times New Roman"/>
          <w:sz w:val="20"/>
          <w:szCs w:val="20"/>
        </w:rPr>
        <w:t xml:space="preserve">16 per capita per </w:t>
      </w:r>
      <w:r w:rsidR="006018D8" w:rsidRPr="00F7263B">
        <w:rPr>
          <w:rFonts w:cs="Times New Roman"/>
          <w:sz w:val="20"/>
          <w:szCs w:val="20"/>
        </w:rPr>
        <w:t>year</w:t>
      </w:r>
      <w:r w:rsidR="00C518AF" w:rsidRPr="00F7263B">
        <w:rPr>
          <w:rFonts w:cs="Times New Roman"/>
          <w:sz w:val="20"/>
          <w:szCs w:val="20"/>
        </w:rPr>
        <w:t xml:space="preserve"> (excluding Addis)</w:t>
      </w:r>
      <w:r w:rsidR="009E3481" w:rsidRPr="00F7263B">
        <w:rPr>
          <w:rFonts w:cs="Times New Roman"/>
          <w:sz w:val="20"/>
          <w:szCs w:val="20"/>
        </w:rPr>
        <w:t xml:space="preserve"> </w:t>
      </w:r>
      <w:r w:rsidRPr="00F7263B">
        <w:rPr>
          <w:rFonts w:cs="Times New Roman"/>
          <w:sz w:val="20"/>
          <w:szCs w:val="20"/>
        </w:rPr>
        <w:t>has been disbursed using IDA funds</w:t>
      </w:r>
      <w:r w:rsidR="003A382D" w:rsidRPr="00F7263B">
        <w:rPr>
          <w:rFonts w:cs="Times New Roman"/>
          <w:sz w:val="20"/>
          <w:szCs w:val="20"/>
        </w:rPr>
        <w:t xml:space="preserve">.  </w:t>
      </w:r>
      <w:r w:rsidRPr="00F7263B">
        <w:rPr>
          <w:rFonts w:cs="Times New Roman"/>
          <w:sz w:val="20"/>
          <w:szCs w:val="20"/>
        </w:rPr>
        <w:t>This amount is calculated by dividing the total funding disbursed over the life of the program</w:t>
      </w:r>
      <w:r w:rsidR="001F2DD0" w:rsidRPr="00F7263B">
        <w:rPr>
          <w:rFonts w:cs="Times New Roman"/>
          <w:sz w:val="20"/>
          <w:szCs w:val="20"/>
        </w:rPr>
        <w:t xml:space="preserve"> (six years)</w:t>
      </w:r>
      <w:r w:rsidRPr="00F7263B">
        <w:rPr>
          <w:rFonts w:cs="Times New Roman"/>
          <w:sz w:val="20"/>
          <w:szCs w:val="20"/>
        </w:rPr>
        <w:t xml:space="preserve"> to </w:t>
      </w:r>
      <w:r w:rsidR="001F2DD0" w:rsidRPr="00F7263B">
        <w:rPr>
          <w:rFonts w:cs="Times New Roman"/>
          <w:sz w:val="20"/>
          <w:szCs w:val="20"/>
        </w:rPr>
        <w:t xml:space="preserve">participating </w:t>
      </w:r>
      <w:r w:rsidRPr="00F7263B">
        <w:rPr>
          <w:rFonts w:cs="Times New Roman"/>
          <w:sz w:val="20"/>
          <w:szCs w:val="20"/>
        </w:rPr>
        <w:t xml:space="preserve">ULGs by the population in these </w:t>
      </w:r>
      <w:r w:rsidR="001F2DD0" w:rsidRPr="00F7263B">
        <w:rPr>
          <w:rFonts w:cs="Times New Roman"/>
          <w:sz w:val="20"/>
          <w:szCs w:val="20"/>
        </w:rPr>
        <w:t xml:space="preserve">18 </w:t>
      </w:r>
      <w:r w:rsidRPr="00F7263B">
        <w:rPr>
          <w:rFonts w:cs="Times New Roman"/>
          <w:sz w:val="20"/>
          <w:szCs w:val="20"/>
        </w:rPr>
        <w:t>local governments</w:t>
      </w:r>
      <w:r w:rsidR="009521AC" w:rsidRPr="00F7263B">
        <w:rPr>
          <w:rFonts w:cs="Times New Roman"/>
          <w:sz w:val="20"/>
          <w:szCs w:val="20"/>
        </w:rPr>
        <w:t>.</w:t>
      </w:r>
      <w:r w:rsidR="009E3481" w:rsidRPr="00F7263B">
        <w:rPr>
          <w:rFonts w:cs="Times New Roman"/>
          <w:sz w:val="20"/>
          <w:szCs w:val="20"/>
        </w:rPr>
        <w:t xml:space="preserve"> </w:t>
      </w:r>
      <w:r w:rsidRPr="00F7263B">
        <w:rPr>
          <w:rFonts w:cs="Times New Roman"/>
          <w:sz w:val="20"/>
          <w:szCs w:val="20"/>
        </w:rPr>
        <w:t xml:space="preserve">These funds are </w:t>
      </w:r>
      <w:r w:rsidR="001F2DD0" w:rsidRPr="00F7263B">
        <w:rPr>
          <w:rFonts w:cs="Times New Roman"/>
          <w:sz w:val="20"/>
          <w:szCs w:val="20"/>
        </w:rPr>
        <w:t xml:space="preserve">then </w:t>
      </w:r>
      <w:r w:rsidRPr="00F7263B">
        <w:rPr>
          <w:rFonts w:cs="Times New Roman"/>
          <w:sz w:val="20"/>
          <w:szCs w:val="20"/>
        </w:rPr>
        <w:t>complemented by 20</w:t>
      </w:r>
      <w:r w:rsidR="009521AC" w:rsidRPr="00F7263B">
        <w:rPr>
          <w:rFonts w:cs="Times New Roman"/>
          <w:sz w:val="20"/>
          <w:szCs w:val="20"/>
        </w:rPr>
        <w:t xml:space="preserve"> percent</w:t>
      </w:r>
      <w:r w:rsidRPr="00F7263B">
        <w:rPr>
          <w:rFonts w:cs="Times New Roman"/>
          <w:sz w:val="20"/>
          <w:szCs w:val="20"/>
        </w:rPr>
        <w:t xml:space="preserve"> matching funding from the ULGs and 20</w:t>
      </w:r>
      <w:r w:rsidR="009521AC" w:rsidRPr="00F7263B">
        <w:rPr>
          <w:rFonts w:cs="Times New Roman"/>
          <w:sz w:val="20"/>
          <w:szCs w:val="20"/>
        </w:rPr>
        <w:t xml:space="preserve"> percent</w:t>
      </w:r>
      <w:r w:rsidRPr="00F7263B">
        <w:rPr>
          <w:rFonts w:cs="Times New Roman"/>
          <w:sz w:val="20"/>
          <w:szCs w:val="20"/>
        </w:rPr>
        <w:t xml:space="preserve"> from the regional governments</w:t>
      </w:r>
      <w:r w:rsidR="003A382D" w:rsidRPr="00F7263B">
        <w:rPr>
          <w:rFonts w:cs="Times New Roman"/>
          <w:sz w:val="20"/>
          <w:szCs w:val="20"/>
        </w:rPr>
        <w:t xml:space="preserve">.  </w:t>
      </w:r>
    </w:p>
    <w:p w:rsidR="006018D8" w:rsidRPr="00F7263B" w:rsidRDefault="006018D8" w:rsidP="00254260">
      <w:pPr>
        <w:pStyle w:val="ListParagraph"/>
        <w:ind w:left="0"/>
        <w:jc w:val="both"/>
        <w:rPr>
          <w:rFonts w:cs="Times New Roman"/>
          <w:sz w:val="20"/>
          <w:szCs w:val="20"/>
        </w:rPr>
      </w:pPr>
    </w:p>
    <w:p w:rsidR="006018D8" w:rsidRPr="00F7263B" w:rsidRDefault="006018D8" w:rsidP="00D92D63">
      <w:pPr>
        <w:pStyle w:val="ListParagraph"/>
        <w:numPr>
          <w:ilvl w:val="0"/>
          <w:numId w:val="9"/>
        </w:numPr>
        <w:ind w:left="0" w:firstLine="0"/>
        <w:jc w:val="both"/>
        <w:rPr>
          <w:rFonts w:cs="Times New Roman"/>
          <w:sz w:val="20"/>
          <w:szCs w:val="20"/>
        </w:rPr>
      </w:pPr>
      <w:r w:rsidRPr="00F7263B">
        <w:rPr>
          <w:rFonts w:cs="Times New Roman"/>
          <w:b/>
          <w:sz w:val="20"/>
          <w:szCs w:val="20"/>
        </w:rPr>
        <w:t>Disbursement of the allocations is made after local governments undergo an annual performance assessment.</w:t>
      </w:r>
      <w:r w:rsidR="009E3481" w:rsidRPr="00F7263B">
        <w:rPr>
          <w:rFonts w:cs="Times New Roman"/>
          <w:b/>
          <w:sz w:val="20"/>
          <w:szCs w:val="20"/>
        </w:rPr>
        <w:t xml:space="preserve"> </w:t>
      </w:r>
      <w:r w:rsidRPr="00F7263B">
        <w:rPr>
          <w:rFonts w:cs="Times New Roman"/>
          <w:sz w:val="20"/>
          <w:szCs w:val="20"/>
        </w:rPr>
        <w:t>The actual amount disbursed to each local government is determined by the performance of that local government as measured in the annual performance assessment</w:t>
      </w:r>
      <w:r w:rsidR="00E87E14" w:rsidRPr="00F7263B">
        <w:rPr>
          <w:rFonts w:cs="Times New Roman"/>
          <w:sz w:val="20"/>
          <w:szCs w:val="20"/>
        </w:rPr>
        <w:t>.</w:t>
      </w:r>
      <w:r w:rsidR="009E3481" w:rsidRPr="00F7263B">
        <w:rPr>
          <w:rFonts w:cs="Times New Roman"/>
          <w:sz w:val="20"/>
          <w:szCs w:val="20"/>
        </w:rPr>
        <w:t xml:space="preserve"> </w:t>
      </w:r>
      <w:r w:rsidR="00E87E14" w:rsidRPr="00F7263B">
        <w:rPr>
          <w:rFonts w:cs="Times New Roman"/>
          <w:sz w:val="20"/>
          <w:szCs w:val="20"/>
        </w:rPr>
        <w:t>Local governments cannot access the ULGDP funds if they fail to meet certain conditions, or perform below 50 percent in the assessment.  This is necessary to ensure that the funds are used effectively, efficiently, and with integrity.  If they perform above the expected target score, they are rewarded by an accelerated amount of 20 percent in addition to their regular allocation that is based on population.  As many cities performed above the target, the ULGDP disbursed more quickly than expected under the original design.</w:t>
      </w:r>
    </w:p>
    <w:p w:rsidR="000F60EB" w:rsidRPr="00F7263B" w:rsidRDefault="000F60EB" w:rsidP="003A382D">
      <w:pPr>
        <w:pStyle w:val="ListParagraph"/>
        <w:ind w:left="0"/>
        <w:jc w:val="both"/>
        <w:rPr>
          <w:rFonts w:cs="Times New Roman"/>
          <w:sz w:val="20"/>
          <w:szCs w:val="20"/>
        </w:rPr>
      </w:pPr>
    </w:p>
    <w:p w:rsidR="00A51142" w:rsidRPr="00F7263B" w:rsidRDefault="00A51142" w:rsidP="003A382D">
      <w:pPr>
        <w:jc w:val="both"/>
        <w:rPr>
          <w:i/>
          <w:sz w:val="20"/>
          <w:szCs w:val="20"/>
        </w:rPr>
      </w:pPr>
      <w:r w:rsidRPr="00F7263B">
        <w:rPr>
          <w:i/>
          <w:sz w:val="20"/>
          <w:szCs w:val="20"/>
        </w:rPr>
        <w:t xml:space="preserve">Key </w:t>
      </w:r>
      <w:r w:rsidR="00AA46B0" w:rsidRPr="00F7263B">
        <w:rPr>
          <w:i/>
          <w:sz w:val="20"/>
          <w:szCs w:val="20"/>
        </w:rPr>
        <w:t>R</w:t>
      </w:r>
      <w:r w:rsidRPr="00F7263B">
        <w:rPr>
          <w:i/>
          <w:sz w:val="20"/>
          <w:szCs w:val="20"/>
        </w:rPr>
        <w:t xml:space="preserve">esults </w:t>
      </w:r>
      <w:r w:rsidR="00AA46B0" w:rsidRPr="00F7263B">
        <w:rPr>
          <w:i/>
          <w:sz w:val="20"/>
          <w:szCs w:val="20"/>
        </w:rPr>
        <w:t>Achieved U</w:t>
      </w:r>
      <w:r w:rsidR="00CB0703" w:rsidRPr="00F7263B">
        <w:rPr>
          <w:i/>
          <w:sz w:val="20"/>
          <w:szCs w:val="20"/>
        </w:rPr>
        <w:t>nder the ULGDP</w:t>
      </w:r>
      <w:r w:rsidR="00381CA4" w:rsidRPr="00F7263B">
        <w:rPr>
          <w:i/>
          <w:sz w:val="20"/>
          <w:szCs w:val="20"/>
        </w:rPr>
        <w:t xml:space="preserve">(Phase </w:t>
      </w:r>
      <w:r w:rsidR="00CD1424" w:rsidRPr="00F7263B">
        <w:rPr>
          <w:i/>
          <w:sz w:val="20"/>
          <w:szCs w:val="20"/>
        </w:rPr>
        <w:t>I</w:t>
      </w:r>
      <w:r w:rsidR="00381CA4" w:rsidRPr="00F7263B">
        <w:rPr>
          <w:i/>
          <w:sz w:val="20"/>
          <w:szCs w:val="20"/>
        </w:rPr>
        <w:t>)</w:t>
      </w:r>
    </w:p>
    <w:p w:rsidR="00A51142" w:rsidRPr="00F7263B" w:rsidRDefault="00A51142" w:rsidP="003A38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s>
        <w:jc w:val="both"/>
        <w:rPr>
          <w:rFonts w:ascii="Times New Roman" w:hAnsi="Times New Roman" w:cs="Times New Roman"/>
        </w:rPr>
      </w:pPr>
    </w:p>
    <w:p w:rsidR="00341F93" w:rsidRPr="00F7263B" w:rsidRDefault="00A2423C" w:rsidP="00380EF7">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 xml:space="preserve">The </w:t>
      </w:r>
      <w:r w:rsidR="00AD736E" w:rsidRPr="00F7263B">
        <w:rPr>
          <w:rFonts w:cs="Times New Roman"/>
          <w:b/>
          <w:sz w:val="20"/>
          <w:szCs w:val="20"/>
        </w:rPr>
        <w:t>ULGDP has recorded a number of tangible achievements</w:t>
      </w:r>
      <w:r w:rsidR="009E3481" w:rsidRPr="00F7263B">
        <w:rPr>
          <w:rFonts w:cs="Times New Roman"/>
          <w:b/>
          <w:sz w:val="20"/>
          <w:szCs w:val="20"/>
        </w:rPr>
        <w:t xml:space="preserve"> </w:t>
      </w:r>
      <w:r w:rsidRPr="00F7263B">
        <w:rPr>
          <w:rFonts w:cs="Times New Roman"/>
          <w:b/>
          <w:sz w:val="20"/>
          <w:szCs w:val="20"/>
        </w:rPr>
        <w:t>during</w:t>
      </w:r>
      <w:r w:rsidR="004D2289">
        <w:rPr>
          <w:rFonts w:cs="Times New Roman"/>
          <w:b/>
          <w:sz w:val="20"/>
          <w:szCs w:val="20"/>
        </w:rPr>
        <w:t xml:space="preserve"> </w:t>
      </w:r>
      <w:r w:rsidRPr="00F7263B">
        <w:rPr>
          <w:rFonts w:cs="Times New Roman"/>
          <w:b/>
          <w:sz w:val="20"/>
          <w:szCs w:val="20"/>
        </w:rPr>
        <w:t>its</w:t>
      </w:r>
      <w:r w:rsidR="00600B72" w:rsidRPr="00F7263B">
        <w:rPr>
          <w:rFonts w:cs="Times New Roman"/>
          <w:b/>
          <w:sz w:val="20"/>
          <w:szCs w:val="20"/>
        </w:rPr>
        <w:t xml:space="preserve"> six year</w:t>
      </w:r>
      <w:r w:rsidRPr="00F7263B">
        <w:rPr>
          <w:rFonts w:cs="Times New Roman"/>
          <w:b/>
          <w:sz w:val="20"/>
          <w:szCs w:val="20"/>
        </w:rPr>
        <w:t>s of implementation</w:t>
      </w:r>
      <w:r w:rsidR="008073B5" w:rsidRPr="00F7263B">
        <w:rPr>
          <w:rFonts w:cs="Times New Roman"/>
          <w:sz w:val="20"/>
          <w:szCs w:val="20"/>
        </w:rPr>
        <w:t xml:space="preserve">.  </w:t>
      </w:r>
      <w:r w:rsidR="005A776F" w:rsidRPr="00F7263B">
        <w:rPr>
          <w:rFonts w:cs="Times New Roman"/>
          <w:sz w:val="20"/>
          <w:szCs w:val="20"/>
        </w:rPr>
        <w:t>Overall, substantial</w:t>
      </w:r>
      <w:r w:rsidR="003108FA" w:rsidRPr="00F7263B">
        <w:rPr>
          <w:rFonts w:cs="Times New Roman"/>
          <w:sz w:val="20"/>
          <w:szCs w:val="20"/>
        </w:rPr>
        <w:t xml:space="preserve"> institutional</w:t>
      </w:r>
      <w:r w:rsidR="005A776F" w:rsidRPr="00F7263B">
        <w:rPr>
          <w:rFonts w:cs="Times New Roman"/>
          <w:sz w:val="20"/>
          <w:szCs w:val="20"/>
        </w:rPr>
        <w:t xml:space="preserve"> capacity was built in the 18 major cities in the key areas of planning and budgeting, financial and asset management, O&amp;M, revenue enhancement and participatory planning</w:t>
      </w:r>
      <w:r w:rsidR="008073B5" w:rsidRPr="00F7263B">
        <w:rPr>
          <w:rFonts w:cs="Times New Roman"/>
          <w:sz w:val="20"/>
          <w:szCs w:val="20"/>
        </w:rPr>
        <w:t xml:space="preserve">.  </w:t>
      </w:r>
      <w:r w:rsidR="005A776F" w:rsidRPr="00F7263B">
        <w:rPr>
          <w:rFonts w:cs="Times New Roman"/>
          <w:sz w:val="20"/>
          <w:szCs w:val="20"/>
        </w:rPr>
        <w:t>With regards to urban infrastructure, there has been a general increase in the investment in infrastructure with high rates of economic return, such as in roads and drainage</w:t>
      </w:r>
      <w:r w:rsidR="008073B5" w:rsidRPr="00F7263B">
        <w:rPr>
          <w:rFonts w:cs="Times New Roman"/>
          <w:sz w:val="20"/>
          <w:szCs w:val="20"/>
        </w:rPr>
        <w:t xml:space="preserve">.  </w:t>
      </w:r>
      <w:r w:rsidR="005A776F" w:rsidRPr="00F7263B">
        <w:rPr>
          <w:rFonts w:cs="Times New Roman"/>
          <w:sz w:val="20"/>
          <w:szCs w:val="20"/>
        </w:rPr>
        <w:t xml:space="preserve">In the </w:t>
      </w:r>
      <w:r w:rsidR="001F2DD0" w:rsidRPr="00F7263B">
        <w:rPr>
          <w:rFonts w:cs="Times New Roman"/>
          <w:sz w:val="20"/>
          <w:szCs w:val="20"/>
        </w:rPr>
        <w:t xml:space="preserve">second cohort of cities (another </w:t>
      </w:r>
      <w:r w:rsidR="005A776F" w:rsidRPr="00F7263B">
        <w:rPr>
          <w:rFonts w:cs="Times New Roman"/>
          <w:sz w:val="20"/>
          <w:szCs w:val="20"/>
        </w:rPr>
        <w:t>18 cities</w:t>
      </w:r>
      <w:r w:rsidR="001F2DD0" w:rsidRPr="00F7263B">
        <w:rPr>
          <w:rFonts w:cs="Times New Roman"/>
          <w:sz w:val="20"/>
          <w:szCs w:val="20"/>
        </w:rPr>
        <w:t>)</w:t>
      </w:r>
      <w:r w:rsidR="005A776F" w:rsidRPr="00F7263B">
        <w:rPr>
          <w:rFonts w:cs="Times New Roman"/>
          <w:sz w:val="20"/>
          <w:szCs w:val="20"/>
        </w:rPr>
        <w:t xml:space="preserve"> which were later included in 2011 through additional financing, tangible</w:t>
      </w:r>
      <w:r w:rsidR="00E61BFF" w:rsidRPr="00F7263B">
        <w:rPr>
          <w:rFonts w:cs="Times New Roman"/>
          <w:sz w:val="20"/>
          <w:szCs w:val="20"/>
        </w:rPr>
        <w:t>,</w:t>
      </w:r>
      <w:r w:rsidR="005A776F" w:rsidRPr="00F7263B">
        <w:rPr>
          <w:rFonts w:cs="Times New Roman"/>
          <w:sz w:val="20"/>
          <w:szCs w:val="20"/>
        </w:rPr>
        <w:t xml:space="preserve"> though modest</w:t>
      </w:r>
      <w:r w:rsidR="00E61BFF" w:rsidRPr="00F7263B">
        <w:rPr>
          <w:rFonts w:cs="Times New Roman"/>
          <w:sz w:val="20"/>
          <w:szCs w:val="20"/>
        </w:rPr>
        <w:t>,</w:t>
      </w:r>
      <w:r w:rsidR="005A776F" w:rsidRPr="00F7263B">
        <w:rPr>
          <w:rFonts w:cs="Times New Roman"/>
          <w:sz w:val="20"/>
          <w:szCs w:val="20"/>
        </w:rPr>
        <w:t xml:space="preserve"> capacity strengthening occurred</w:t>
      </w:r>
      <w:r w:rsidR="008073B5" w:rsidRPr="00F7263B">
        <w:rPr>
          <w:rFonts w:cs="Times New Roman"/>
          <w:sz w:val="20"/>
          <w:szCs w:val="20"/>
        </w:rPr>
        <w:t xml:space="preserve">.  </w:t>
      </w:r>
      <w:r w:rsidR="00E61BFF" w:rsidRPr="00F7263B">
        <w:rPr>
          <w:rFonts w:cs="Times New Roman"/>
          <w:sz w:val="20"/>
          <w:szCs w:val="20"/>
        </w:rPr>
        <w:t xml:space="preserve">This </w:t>
      </w:r>
      <w:r w:rsidR="005A776F" w:rsidRPr="00F7263B">
        <w:rPr>
          <w:rFonts w:cs="Times New Roman"/>
          <w:sz w:val="20"/>
          <w:szCs w:val="20"/>
        </w:rPr>
        <w:t>help</w:t>
      </w:r>
      <w:r w:rsidR="00E61BFF" w:rsidRPr="00F7263B">
        <w:rPr>
          <w:rFonts w:cs="Times New Roman"/>
          <w:sz w:val="20"/>
          <w:szCs w:val="20"/>
        </w:rPr>
        <w:t>ed</w:t>
      </w:r>
      <w:r w:rsidR="005A776F" w:rsidRPr="00F7263B">
        <w:rPr>
          <w:rFonts w:cs="Times New Roman"/>
          <w:sz w:val="20"/>
          <w:szCs w:val="20"/>
        </w:rPr>
        <w:t xml:space="preserve"> them put in place basic functioning systems </w:t>
      </w:r>
      <w:r w:rsidR="00E61BFF" w:rsidRPr="00F7263B">
        <w:rPr>
          <w:rFonts w:cs="Times New Roman"/>
          <w:sz w:val="20"/>
          <w:szCs w:val="20"/>
        </w:rPr>
        <w:t xml:space="preserve">for urban governance, </w:t>
      </w:r>
      <w:r w:rsidR="005A776F" w:rsidRPr="00F7263B">
        <w:rPr>
          <w:rFonts w:cs="Times New Roman"/>
          <w:sz w:val="20"/>
          <w:szCs w:val="20"/>
        </w:rPr>
        <w:t>such as financial management system</w:t>
      </w:r>
      <w:r w:rsidR="00E61BFF" w:rsidRPr="00F7263B">
        <w:rPr>
          <w:rFonts w:cs="Times New Roman"/>
          <w:sz w:val="20"/>
          <w:szCs w:val="20"/>
        </w:rPr>
        <w:t>s</w:t>
      </w:r>
      <w:r w:rsidR="005A776F" w:rsidRPr="00F7263B">
        <w:rPr>
          <w:rFonts w:cs="Times New Roman"/>
          <w:sz w:val="20"/>
          <w:szCs w:val="20"/>
        </w:rPr>
        <w:t>, internal audit system</w:t>
      </w:r>
      <w:r w:rsidR="00E61BFF" w:rsidRPr="00F7263B">
        <w:rPr>
          <w:rFonts w:cs="Times New Roman"/>
          <w:sz w:val="20"/>
          <w:szCs w:val="20"/>
        </w:rPr>
        <w:t>s</w:t>
      </w:r>
      <w:r w:rsidR="005A776F" w:rsidRPr="00F7263B">
        <w:rPr>
          <w:rFonts w:cs="Times New Roman"/>
          <w:sz w:val="20"/>
          <w:szCs w:val="20"/>
        </w:rPr>
        <w:t xml:space="preserve">, asset management planning framework, revenue enhancement plan, capital investment plan, </w:t>
      </w:r>
      <w:r w:rsidR="00E61BFF" w:rsidRPr="00F7263B">
        <w:rPr>
          <w:rFonts w:cs="Times New Roman"/>
          <w:sz w:val="20"/>
          <w:szCs w:val="20"/>
        </w:rPr>
        <w:t>and</w:t>
      </w:r>
      <w:r w:rsidR="005A776F" w:rsidRPr="00F7263B">
        <w:rPr>
          <w:rFonts w:cs="Times New Roman"/>
          <w:sz w:val="20"/>
          <w:szCs w:val="20"/>
        </w:rPr>
        <w:t xml:space="preserve">core </w:t>
      </w:r>
      <w:r w:rsidR="00890131" w:rsidRPr="00F7263B">
        <w:rPr>
          <w:rFonts w:cs="Times New Roman"/>
          <w:sz w:val="20"/>
          <w:szCs w:val="20"/>
        </w:rPr>
        <w:t xml:space="preserve">local government </w:t>
      </w:r>
      <w:r w:rsidR="00014F35" w:rsidRPr="00F7263B">
        <w:rPr>
          <w:rFonts w:cs="Times New Roman"/>
          <w:sz w:val="20"/>
          <w:szCs w:val="20"/>
        </w:rPr>
        <w:t>staff</w:t>
      </w:r>
      <w:r w:rsidR="005A776F" w:rsidRPr="00F7263B">
        <w:rPr>
          <w:rFonts w:cs="Times New Roman"/>
          <w:sz w:val="20"/>
          <w:szCs w:val="20"/>
        </w:rPr>
        <w:t xml:space="preserve"> to support implementation of urban infrastructure and services</w:t>
      </w:r>
      <w:r w:rsidR="008073B5" w:rsidRPr="00F7263B">
        <w:rPr>
          <w:rFonts w:cs="Times New Roman"/>
          <w:sz w:val="20"/>
          <w:szCs w:val="20"/>
        </w:rPr>
        <w:t>.</w:t>
      </w:r>
      <w:r w:rsidR="008073B5" w:rsidRPr="00F7263B">
        <w:rPr>
          <w:rStyle w:val="FootnoteReference"/>
          <w:rFonts w:cs="Times New Roman"/>
          <w:sz w:val="20"/>
          <w:szCs w:val="20"/>
        </w:rPr>
        <w:footnoteReference w:id="10"/>
      </w:r>
    </w:p>
    <w:p w:rsidR="00341F93" w:rsidRPr="00F7263B" w:rsidRDefault="00341F93" w:rsidP="00380EF7">
      <w:pPr>
        <w:pStyle w:val="ListParagraph"/>
        <w:tabs>
          <w:tab w:val="left" w:pos="720"/>
          <w:tab w:val="left" w:pos="810"/>
        </w:tabs>
        <w:ind w:left="0"/>
        <w:jc w:val="both"/>
        <w:rPr>
          <w:rFonts w:cs="Times New Roman"/>
          <w:sz w:val="20"/>
          <w:szCs w:val="20"/>
        </w:rPr>
      </w:pPr>
    </w:p>
    <w:p w:rsidR="009D60FF" w:rsidRPr="00F7263B" w:rsidRDefault="00341F93" w:rsidP="00380EF7">
      <w:pPr>
        <w:pStyle w:val="ListParagraph"/>
        <w:numPr>
          <w:ilvl w:val="0"/>
          <w:numId w:val="9"/>
        </w:numPr>
        <w:tabs>
          <w:tab w:val="left" w:pos="720"/>
          <w:tab w:val="left" w:pos="810"/>
        </w:tabs>
        <w:ind w:left="0" w:firstLine="0"/>
        <w:jc w:val="both"/>
        <w:rPr>
          <w:sz w:val="20"/>
          <w:szCs w:val="20"/>
        </w:rPr>
      </w:pPr>
      <w:r w:rsidRPr="00F7263B">
        <w:rPr>
          <w:b/>
          <w:sz w:val="20"/>
          <w:szCs w:val="20"/>
        </w:rPr>
        <w:t>More specifically, major achievements were obtained in the following areas</w:t>
      </w:r>
      <w:r w:rsidR="00E65E2E" w:rsidRPr="00F7263B">
        <w:rPr>
          <w:sz w:val="20"/>
          <w:szCs w:val="20"/>
        </w:rPr>
        <w:t>:</w:t>
      </w:r>
    </w:p>
    <w:p w:rsidR="002D72E5" w:rsidRPr="00F7263B" w:rsidRDefault="002D72E5" w:rsidP="00380EF7">
      <w:pPr>
        <w:pStyle w:val="ListParagraph"/>
        <w:tabs>
          <w:tab w:val="left" w:pos="720"/>
          <w:tab w:val="left" w:pos="810"/>
        </w:tabs>
        <w:ind w:left="0"/>
        <w:jc w:val="both"/>
        <w:rPr>
          <w:sz w:val="20"/>
          <w:szCs w:val="20"/>
        </w:rPr>
      </w:pPr>
    </w:p>
    <w:p w:rsidR="006E7278" w:rsidRPr="00F7263B" w:rsidRDefault="00807336" w:rsidP="00056FC8">
      <w:pPr>
        <w:pStyle w:val="ListParagraph"/>
        <w:numPr>
          <w:ilvl w:val="0"/>
          <w:numId w:val="68"/>
        </w:numPr>
        <w:ind w:left="720" w:hanging="720"/>
        <w:jc w:val="both"/>
        <w:rPr>
          <w:rFonts w:cs="Times New Roman"/>
          <w:sz w:val="20"/>
          <w:szCs w:val="20"/>
        </w:rPr>
      </w:pPr>
      <w:r w:rsidRPr="00F7263B">
        <w:rPr>
          <w:rFonts w:cs="Times New Roman"/>
          <w:i/>
          <w:sz w:val="20"/>
          <w:szCs w:val="20"/>
        </w:rPr>
        <w:lastRenderedPageBreak/>
        <w:t>Citizen participation in planning has become much more robust</w:t>
      </w:r>
      <w:r w:rsidR="003A382D" w:rsidRPr="00F7263B">
        <w:rPr>
          <w:rFonts w:cs="Times New Roman"/>
          <w:i/>
          <w:sz w:val="20"/>
          <w:szCs w:val="20"/>
        </w:rPr>
        <w:t xml:space="preserve">.  </w:t>
      </w:r>
      <w:r w:rsidR="00490C2D" w:rsidRPr="00F7263B">
        <w:rPr>
          <w:rFonts w:cs="Times New Roman"/>
          <w:sz w:val="20"/>
          <w:szCs w:val="20"/>
        </w:rPr>
        <w:t>Citizen participation in local investment planning is now routine across all 18 participating cities, with a doubling of the number of citizen groups taking part in the annual planning process from 226 citizen groups in 2008 to 521 in 2012</w:t>
      </w:r>
      <w:r w:rsidR="003A382D" w:rsidRPr="00F7263B">
        <w:rPr>
          <w:rFonts w:cs="Times New Roman"/>
          <w:sz w:val="20"/>
          <w:szCs w:val="20"/>
        </w:rPr>
        <w:t xml:space="preserve">.  </w:t>
      </w:r>
    </w:p>
    <w:p w:rsidR="007F7867" w:rsidRPr="00F7263B" w:rsidRDefault="007F7867">
      <w:pPr>
        <w:pStyle w:val="ListParagraph"/>
        <w:tabs>
          <w:tab w:val="left" w:pos="720"/>
          <w:tab w:val="left" w:pos="810"/>
        </w:tabs>
        <w:ind w:left="0"/>
        <w:jc w:val="both"/>
        <w:rPr>
          <w:rFonts w:cs="Times New Roman"/>
          <w:sz w:val="20"/>
          <w:szCs w:val="20"/>
        </w:rPr>
      </w:pPr>
    </w:p>
    <w:p w:rsidR="006E7278" w:rsidRPr="00F7263B" w:rsidRDefault="00490C2D" w:rsidP="00056FC8">
      <w:pPr>
        <w:pStyle w:val="ListParagraph"/>
        <w:numPr>
          <w:ilvl w:val="0"/>
          <w:numId w:val="68"/>
        </w:numPr>
        <w:ind w:left="720" w:hanging="720"/>
        <w:jc w:val="both"/>
        <w:rPr>
          <w:rFonts w:cs="Times New Roman"/>
          <w:sz w:val="20"/>
          <w:szCs w:val="20"/>
        </w:rPr>
      </w:pPr>
      <w:r w:rsidRPr="00F7263B">
        <w:rPr>
          <w:rFonts w:cs="Times New Roman"/>
          <w:i/>
          <w:sz w:val="20"/>
          <w:szCs w:val="20"/>
        </w:rPr>
        <w:t>Budgeting and the production of key local government planning documents is greatly improved</w:t>
      </w:r>
      <w:r w:rsidR="003A382D" w:rsidRPr="00F7263B">
        <w:rPr>
          <w:rFonts w:cs="Times New Roman"/>
          <w:sz w:val="20"/>
          <w:szCs w:val="20"/>
        </w:rPr>
        <w:t xml:space="preserve">.  </w:t>
      </w:r>
      <w:r w:rsidRPr="00F7263B">
        <w:rPr>
          <w:rFonts w:cs="Times New Roman"/>
          <w:sz w:val="20"/>
          <w:szCs w:val="20"/>
        </w:rPr>
        <w:t>In 2008, none of the ULGs had urban development plans, capital investment plans (CIPs), assets management plans (AMPs)</w:t>
      </w:r>
      <w:r w:rsidR="00F83B39" w:rsidRPr="00F7263B">
        <w:rPr>
          <w:rFonts w:cs="Times New Roman"/>
          <w:sz w:val="20"/>
          <w:szCs w:val="20"/>
        </w:rPr>
        <w:t>, or revenue enhancement plans (REPs)</w:t>
      </w:r>
      <w:r w:rsidR="003A382D" w:rsidRPr="00F7263B">
        <w:rPr>
          <w:rFonts w:cs="Times New Roman"/>
          <w:sz w:val="20"/>
          <w:szCs w:val="20"/>
        </w:rPr>
        <w:t xml:space="preserve">.  </w:t>
      </w:r>
      <w:r w:rsidRPr="00F7263B">
        <w:rPr>
          <w:rFonts w:cs="Times New Roman"/>
          <w:sz w:val="20"/>
          <w:szCs w:val="20"/>
        </w:rPr>
        <w:t>As of 2013, all 18 participating ULGs produce updated CIPs</w:t>
      </w:r>
      <w:r w:rsidR="00F83B39" w:rsidRPr="00F7263B">
        <w:rPr>
          <w:rFonts w:cs="Times New Roman"/>
          <w:sz w:val="20"/>
          <w:szCs w:val="20"/>
        </w:rPr>
        <w:t>,</w:t>
      </w:r>
      <w:r w:rsidRPr="00F7263B">
        <w:rPr>
          <w:rFonts w:cs="Times New Roman"/>
          <w:sz w:val="20"/>
          <w:szCs w:val="20"/>
        </w:rPr>
        <w:t xml:space="preserve"> AMPs, </w:t>
      </w:r>
      <w:r w:rsidR="00F83B39" w:rsidRPr="00F7263B">
        <w:rPr>
          <w:rFonts w:cs="Times New Roman"/>
          <w:sz w:val="20"/>
          <w:szCs w:val="20"/>
        </w:rPr>
        <w:t xml:space="preserve">and REPs </w:t>
      </w:r>
      <w:r w:rsidRPr="00F7263B">
        <w:rPr>
          <w:rFonts w:cs="Times New Roman"/>
          <w:sz w:val="20"/>
          <w:szCs w:val="20"/>
        </w:rPr>
        <w:t>and related annual action plans and procurement plans</w:t>
      </w:r>
      <w:r w:rsidR="003A382D" w:rsidRPr="00F7263B">
        <w:rPr>
          <w:rFonts w:cs="Times New Roman"/>
          <w:sz w:val="20"/>
          <w:szCs w:val="20"/>
        </w:rPr>
        <w:t xml:space="preserve">.  </w:t>
      </w:r>
      <w:r w:rsidRPr="00F7263B">
        <w:rPr>
          <w:rFonts w:cs="Times New Roman"/>
          <w:sz w:val="20"/>
          <w:szCs w:val="20"/>
        </w:rPr>
        <w:t xml:space="preserve">Twelve of the ULGs </w:t>
      </w:r>
      <w:r w:rsidR="00667301" w:rsidRPr="00F7263B">
        <w:rPr>
          <w:rFonts w:cs="Times New Roman"/>
          <w:sz w:val="20"/>
          <w:szCs w:val="20"/>
        </w:rPr>
        <w:t xml:space="preserve">have </w:t>
      </w:r>
      <w:r w:rsidRPr="00F7263B">
        <w:rPr>
          <w:rFonts w:cs="Times New Roman"/>
          <w:sz w:val="20"/>
          <w:szCs w:val="20"/>
        </w:rPr>
        <w:t>also establish</w:t>
      </w:r>
      <w:r w:rsidR="00667301" w:rsidRPr="00F7263B">
        <w:rPr>
          <w:rFonts w:cs="Times New Roman"/>
          <w:sz w:val="20"/>
          <w:szCs w:val="20"/>
        </w:rPr>
        <w:t>ed</w:t>
      </w:r>
      <w:r w:rsidRPr="00F7263B">
        <w:rPr>
          <w:rFonts w:cs="Times New Roman"/>
          <w:sz w:val="20"/>
          <w:szCs w:val="20"/>
        </w:rPr>
        <w:t xml:space="preserve"> proper links between all these core planning and budgeting instruments </w:t>
      </w:r>
      <w:r w:rsidR="00667301" w:rsidRPr="00F7263B">
        <w:rPr>
          <w:rFonts w:cs="Times New Roman"/>
          <w:sz w:val="20"/>
          <w:szCs w:val="20"/>
        </w:rPr>
        <w:t>to</w:t>
      </w:r>
      <w:r w:rsidRPr="00F7263B">
        <w:rPr>
          <w:rFonts w:cs="Times New Roman"/>
          <w:sz w:val="20"/>
          <w:szCs w:val="20"/>
        </w:rPr>
        <w:t xml:space="preserve"> ensure consistency across the planning documents</w:t>
      </w:r>
      <w:r w:rsidR="003A382D" w:rsidRPr="00F7263B">
        <w:rPr>
          <w:rFonts w:cs="Times New Roman"/>
          <w:sz w:val="20"/>
          <w:szCs w:val="20"/>
        </w:rPr>
        <w:t xml:space="preserve">.  </w:t>
      </w:r>
      <w:r w:rsidR="00F83B39" w:rsidRPr="00F7263B">
        <w:rPr>
          <w:rFonts w:cs="Times New Roman"/>
          <w:sz w:val="20"/>
          <w:szCs w:val="20"/>
        </w:rPr>
        <w:t xml:space="preserve">All ULGs are mobilizing higher </w:t>
      </w:r>
      <w:r w:rsidR="00667301" w:rsidRPr="00F7263B">
        <w:rPr>
          <w:rFonts w:cs="Times New Roman"/>
          <w:sz w:val="20"/>
          <w:szCs w:val="20"/>
        </w:rPr>
        <w:t xml:space="preserve">revenues (both state </w:t>
      </w:r>
      <w:r w:rsidR="00F83B39" w:rsidRPr="00F7263B">
        <w:rPr>
          <w:rFonts w:cs="Times New Roman"/>
          <w:sz w:val="20"/>
          <w:szCs w:val="20"/>
        </w:rPr>
        <w:t>and municipal</w:t>
      </w:r>
      <w:r w:rsidR="00667301" w:rsidRPr="00F7263B">
        <w:rPr>
          <w:rFonts w:cs="Times New Roman"/>
          <w:sz w:val="20"/>
          <w:szCs w:val="20"/>
        </w:rPr>
        <w:t>)</w:t>
      </w:r>
      <w:r w:rsidR="00F83B39" w:rsidRPr="00F7263B">
        <w:rPr>
          <w:rFonts w:cs="Times New Roman"/>
          <w:sz w:val="20"/>
          <w:szCs w:val="20"/>
        </w:rPr>
        <w:t xml:space="preserve"> than at the start of the Program, although mobilization of municipal revenues is uneven</w:t>
      </w:r>
      <w:r w:rsidR="003A382D" w:rsidRPr="00F7263B">
        <w:rPr>
          <w:rFonts w:cs="Times New Roman"/>
          <w:sz w:val="20"/>
          <w:szCs w:val="20"/>
        </w:rPr>
        <w:t xml:space="preserve">.  </w:t>
      </w:r>
    </w:p>
    <w:p w:rsidR="007F7867" w:rsidRPr="00F7263B" w:rsidRDefault="007F7867">
      <w:pPr>
        <w:pStyle w:val="ListParagraph"/>
        <w:tabs>
          <w:tab w:val="left" w:pos="720"/>
          <w:tab w:val="left" w:pos="810"/>
        </w:tabs>
        <w:ind w:left="0"/>
        <w:jc w:val="both"/>
        <w:rPr>
          <w:rFonts w:cs="Times New Roman"/>
          <w:sz w:val="20"/>
          <w:szCs w:val="20"/>
        </w:rPr>
      </w:pPr>
    </w:p>
    <w:p w:rsidR="006E7278" w:rsidRPr="00F7263B" w:rsidRDefault="00490C2D" w:rsidP="00056FC8">
      <w:pPr>
        <w:pStyle w:val="ListParagraph"/>
        <w:numPr>
          <w:ilvl w:val="0"/>
          <w:numId w:val="68"/>
        </w:numPr>
        <w:ind w:left="720" w:hanging="720"/>
        <w:jc w:val="both"/>
        <w:rPr>
          <w:rFonts w:cs="Times New Roman"/>
          <w:sz w:val="20"/>
          <w:szCs w:val="20"/>
        </w:rPr>
      </w:pPr>
      <w:r w:rsidRPr="00F7263B">
        <w:rPr>
          <w:rFonts w:cs="Times New Roman"/>
          <w:i/>
          <w:sz w:val="20"/>
          <w:szCs w:val="20"/>
        </w:rPr>
        <w:t>Transparency and accountability of local government operations have increased</w:t>
      </w:r>
      <w:r w:rsidR="003A382D" w:rsidRPr="00F7263B">
        <w:rPr>
          <w:rFonts w:cs="Times New Roman"/>
          <w:sz w:val="20"/>
          <w:szCs w:val="20"/>
        </w:rPr>
        <w:t xml:space="preserve">.  </w:t>
      </w:r>
      <w:r w:rsidR="00F83B39" w:rsidRPr="00F7263B">
        <w:rPr>
          <w:rFonts w:cs="Times New Roman"/>
          <w:sz w:val="20"/>
          <w:szCs w:val="20"/>
        </w:rPr>
        <w:t xml:space="preserve">All 18 </w:t>
      </w:r>
      <w:r w:rsidRPr="00F7263B">
        <w:rPr>
          <w:rFonts w:cs="Times New Roman"/>
          <w:sz w:val="20"/>
          <w:szCs w:val="20"/>
        </w:rPr>
        <w:t xml:space="preserve">ULGs now disseminate </w:t>
      </w:r>
      <w:r w:rsidR="00F83B39" w:rsidRPr="00F7263B">
        <w:rPr>
          <w:rFonts w:cs="Times New Roman"/>
          <w:sz w:val="20"/>
          <w:szCs w:val="20"/>
        </w:rPr>
        <w:t xml:space="preserve">to citizens </w:t>
      </w:r>
      <w:r w:rsidRPr="00F7263B">
        <w:rPr>
          <w:rFonts w:cs="Times New Roman"/>
          <w:sz w:val="20"/>
          <w:szCs w:val="20"/>
        </w:rPr>
        <w:t>information</w:t>
      </w:r>
      <w:r w:rsidR="00F83B39" w:rsidRPr="00F7263B">
        <w:rPr>
          <w:rFonts w:cs="Times New Roman"/>
          <w:sz w:val="20"/>
          <w:szCs w:val="20"/>
        </w:rPr>
        <w:t xml:space="preserve"> on their operations</w:t>
      </w:r>
      <w:r w:rsidRPr="00F7263B">
        <w:rPr>
          <w:rFonts w:cs="Times New Roman"/>
          <w:sz w:val="20"/>
          <w:szCs w:val="20"/>
        </w:rPr>
        <w:t xml:space="preserve">, and 12 ULGs achieved </w:t>
      </w:r>
      <w:r w:rsidR="00F83B39" w:rsidRPr="00F7263B">
        <w:rPr>
          <w:rFonts w:cs="Times New Roman"/>
          <w:sz w:val="20"/>
          <w:szCs w:val="20"/>
        </w:rPr>
        <w:t xml:space="preserve">the </w:t>
      </w:r>
      <w:r w:rsidRPr="00F7263B">
        <w:rPr>
          <w:rFonts w:cs="Times New Roman"/>
          <w:sz w:val="20"/>
          <w:szCs w:val="20"/>
        </w:rPr>
        <w:t>highest score on the program’s transparency indicators by making public all core documents</w:t>
      </w:r>
      <w:r w:rsidR="00F83B39" w:rsidRPr="00F7263B">
        <w:rPr>
          <w:rFonts w:cs="Times New Roman"/>
          <w:sz w:val="20"/>
          <w:szCs w:val="20"/>
        </w:rPr>
        <w:t xml:space="preserve"> public, including </w:t>
      </w:r>
      <w:r w:rsidRPr="00F7263B">
        <w:rPr>
          <w:rFonts w:cs="Times New Roman"/>
          <w:sz w:val="20"/>
          <w:szCs w:val="20"/>
        </w:rPr>
        <w:t xml:space="preserve">plans, budgets, </w:t>
      </w:r>
      <w:r w:rsidR="00F83B39" w:rsidRPr="00F7263B">
        <w:rPr>
          <w:rFonts w:cs="Times New Roman"/>
          <w:sz w:val="20"/>
          <w:szCs w:val="20"/>
        </w:rPr>
        <w:t xml:space="preserve">contract awards, and </w:t>
      </w:r>
      <w:r w:rsidRPr="00F7263B">
        <w:rPr>
          <w:rFonts w:cs="Times New Roman"/>
          <w:sz w:val="20"/>
          <w:szCs w:val="20"/>
        </w:rPr>
        <w:t>physical</w:t>
      </w:r>
      <w:r w:rsidR="00F83B39" w:rsidRPr="00F7263B">
        <w:rPr>
          <w:rFonts w:cs="Times New Roman"/>
          <w:sz w:val="20"/>
          <w:szCs w:val="20"/>
        </w:rPr>
        <w:t xml:space="preserve"> and financial </w:t>
      </w:r>
      <w:r w:rsidRPr="00F7263B">
        <w:rPr>
          <w:rFonts w:cs="Times New Roman"/>
          <w:sz w:val="20"/>
          <w:szCs w:val="20"/>
        </w:rPr>
        <w:t>progress on infrastructure investments</w:t>
      </w:r>
      <w:r w:rsidR="003A382D" w:rsidRPr="00F7263B">
        <w:rPr>
          <w:rFonts w:cs="Times New Roman"/>
          <w:sz w:val="20"/>
          <w:szCs w:val="20"/>
        </w:rPr>
        <w:t xml:space="preserve">.  </w:t>
      </w:r>
    </w:p>
    <w:p w:rsidR="007F7867" w:rsidRPr="00F7263B" w:rsidRDefault="007F7867">
      <w:pPr>
        <w:pStyle w:val="ListParagraph"/>
        <w:tabs>
          <w:tab w:val="left" w:pos="720"/>
          <w:tab w:val="left" w:pos="810"/>
        </w:tabs>
        <w:ind w:left="0"/>
        <w:jc w:val="both"/>
        <w:rPr>
          <w:rFonts w:cs="Times New Roman"/>
          <w:sz w:val="20"/>
          <w:szCs w:val="20"/>
        </w:rPr>
      </w:pPr>
    </w:p>
    <w:p w:rsidR="006E7278" w:rsidRPr="00F7263B" w:rsidRDefault="002A51C1" w:rsidP="00056FC8">
      <w:pPr>
        <w:pStyle w:val="ListParagraph"/>
        <w:numPr>
          <w:ilvl w:val="0"/>
          <w:numId w:val="68"/>
        </w:numPr>
        <w:ind w:left="720" w:hanging="720"/>
        <w:jc w:val="both"/>
        <w:rPr>
          <w:rFonts w:cs="Times New Roman"/>
          <w:sz w:val="20"/>
          <w:szCs w:val="20"/>
        </w:rPr>
      </w:pPr>
      <w:r w:rsidRPr="00F7263B">
        <w:rPr>
          <w:rFonts w:cs="Times New Roman"/>
          <w:i/>
          <w:sz w:val="20"/>
          <w:szCs w:val="20"/>
        </w:rPr>
        <w:t xml:space="preserve">Cities’ financial management </w:t>
      </w:r>
      <w:r w:rsidR="00807336" w:rsidRPr="00F7263B">
        <w:rPr>
          <w:rFonts w:cs="Times New Roman"/>
          <w:i/>
          <w:sz w:val="20"/>
          <w:szCs w:val="20"/>
        </w:rPr>
        <w:t>is significantly</w:t>
      </w:r>
      <w:r w:rsidR="00126FE8" w:rsidRPr="00F7263B">
        <w:rPr>
          <w:rFonts w:cs="Times New Roman"/>
          <w:i/>
          <w:sz w:val="20"/>
          <w:szCs w:val="20"/>
        </w:rPr>
        <w:t xml:space="preserve"> </w:t>
      </w:r>
      <w:r w:rsidR="00807336" w:rsidRPr="00F7263B">
        <w:rPr>
          <w:rFonts w:cs="Times New Roman"/>
          <w:i/>
          <w:sz w:val="20"/>
          <w:szCs w:val="20"/>
        </w:rPr>
        <w:t>enhanced</w:t>
      </w:r>
      <w:r w:rsidR="003A382D" w:rsidRPr="00F7263B">
        <w:rPr>
          <w:rFonts w:cs="Times New Roman"/>
          <w:sz w:val="20"/>
          <w:szCs w:val="20"/>
        </w:rPr>
        <w:t xml:space="preserve">.  </w:t>
      </w:r>
      <w:r w:rsidR="00807336" w:rsidRPr="00F7263B">
        <w:rPr>
          <w:rFonts w:cs="Times New Roman"/>
          <w:sz w:val="20"/>
          <w:szCs w:val="20"/>
        </w:rPr>
        <w:t xml:space="preserve">All cities now </w:t>
      </w:r>
      <w:r w:rsidRPr="00F7263B">
        <w:rPr>
          <w:rFonts w:cs="Times New Roman"/>
          <w:sz w:val="20"/>
          <w:szCs w:val="20"/>
        </w:rPr>
        <w:t xml:space="preserve">prepare timely financial reports using </w:t>
      </w:r>
      <w:r w:rsidR="00126FE8" w:rsidRPr="00F7263B">
        <w:rPr>
          <w:rFonts w:cs="Times New Roman"/>
          <w:sz w:val="20"/>
          <w:szCs w:val="20"/>
        </w:rPr>
        <w:t xml:space="preserve">the </w:t>
      </w:r>
      <w:r w:rsidRPr="00F7263B">
        <w:rPr>
          <w:rFonts w:cs="Times New Roman"/>
          <w:sz w:val="20"/>
          <w:szCs w:val="20"/>
        </w:rPr>
        <w:t>government’s computerized accounting program</w:t>
      </w:r>
      <w:r w:rsidR="00F07D91" w:rsidRPr="00F7263B">
        <w:rPr>
          <w:rFonts w:cs="Times New Roman"/>
          <w:sz w:val="20"/>
          <w:szCs w:val="20"/>
        </w:rPr>
        <w:t>, the Integrated Budget and Expenditure (IBEX) system</w:t>
      </w:r>
      <w:r w:rsidR="003A382D" w:rsidRPr="00F7263B">
        <w:rPr>
          <w:rFonts w:cs="Times New Roman"/>
          <w:sz w:val="20"/>
          <w:szCs w:val="20"/>
        </w:rPr>
        <w:t xml:space="preserve">.  </w:t>
      </w:r>
      <w:r w:rsidRPr="00F7263B">
        <w:rPr>
          <w:rFonts w:cs="Times New Roman"/>
          <w:sz w:val="20"/>
          <w:szCs w:val="20"/>
        </w:rPr>
        <w:t>In the most recent program annual assessment, 14</w:t>
      </w:r>
      <w:r w:rsidR="00667301" w:rsidRPr="00F7263B">
        <w:rPr>
          <w:rFonts w:cs="Times New Roman"/>
          <w:sz w:val="20"/>
          <w:szCs w:val="20"/>
        </w:rPr>
        <w:t xml:space="preserve"> of the original 1</w:t>
      </w:r>
      <w:r w:rsidR="004E677D" w:rsidRPr="00F7263B">
        <w:rPr>
          <w:rFonts w:cs="Times New Roman"/>
          <w:sz w:val="20"/>
          <w:szCs w:val="20"/>
        </w:rPr>
        <w:t>9</w:t>
      </w:r>
      <w:r w:rsidRPr="00F7263B">
        <w:rPr>
          <w:rFonts w:cs="Times New Roman"/>
          <w:sz w:val="20"/>
          <w:szCs w:val="20"/>
        </w:rPr>
        <w:t>ULGs received the top score with all reports submitted on time</w:t>
      </w:r>
      <w:r w:rsidR="00807336" w:rsidRPr="00F7263B">
        <w:rPr>
          <w:rFonts w:cs="Times New Roman"/>
          <w:sz w:val="20"/>
          <w:szCs w:val="20"/>
        </w:rPr>
        <w:t>, up from zero in 2008</w:t>
      </w:r>
      <w:r w:rsidR="003A382D" w:rsidRPr="00F7263B">
        <w:rPr>
          <w:rFonts w:cs="Times New Roman"/>
          <w:sz w:val="20"/>
          <w:szCs w:val="20"/>
        </w:rPr>
        <w:t xml:space="preserve">.  </w:t>
      </w:r>
      <w:r w:rsidR="00041013" w:rsidRPr="00F7263B">
        <w:rPr>
          <w:rFonts w:cs="Times New Roman"/>
          <w:sz w:val="20"/>
          <w:szCs w:val="20"/>
        </w:rPr>
        <w:t>The four that did not receive the top score missed only because they submitted the reports late one quarter</w:t>
      </w:r>
      <w:r w:rsidR="003A382D" w:rsidRPr="00F7263B">
        <w:rPr>
          <w:rFonts w:cs="Times New Roman"/>
          <w:sz w:val="20"/>
          <w:szCs w:val="20"/>
        </w:rPr>
        <w:t xml:space="preserve">.  </w:t>
      </w:r>
      <w:r w:rsidR="008016B8" w:rsidRPr="00F7263B">
        <w:rPr>
          <w:rFonts w:cs="Times New Roman"/>
          <w:sz w:val="20"/>
          <w:szCs w:val="20"/>
        </w:rPr>
        <w:t>Audit reports confirm steadily improving financial management</w:t>
      </w:r>
      <w:r w:rsidR="003A382D" w:rsidRPr="00F7263B">
        <w:rPr>
          <w:rFonts w:cs="Times New Roman"/>
          <w:sz w:val="20"/>
          <w:szCs w:val="20"/>
        </w:rPr>
        <w:t xml:space="preserve">.  </w:t>
      </w:r>
      <w:r w:rsidR="008016B8" w:rsidRPr="00F7263B">
        <w:rPr>
          <w:rFonts w:cs="Times New Roman"/>
          <w:sz w:val="20"/>
          <w:szCs w:val="20"/>
        </w:rPr>
        <w:t>In 2008, no ULGs had audited accounts</w:t>
      </w:r>
      <w:r w:rsidR="003A382D" w:rsidRPr="00F7263B">
        <w:rPr>
          <w:rFonts w:cs="Times New Roman"/>
          <w:sz w:val="20"/>
          <w:szCs w:val="20"/>
        </w:rPr>
        <w:t xml:space="preserve">.  </w:t>
      </w:r>
      <w:r w:rsidR="008016B8" w:rsidRPr="00F7263B">
        <w:rPr>
          <w:rFonts w:cs="Times New Roman"/>
          <w:sz w:val="20"/>
          <w:szCs w:val="20"/>
        </w:rPr>
        <w:t>As of the 2012, 18 ULGs had cleared their audit backlogs</w:t>
      </w:r>
      <w:r w:rsidR="003A382D" w:rsidRPr="00F7263B">
        <w:rPr>
          <w:rFonts w:cs="Times New Roman"/>
          <w:sz w:val="20"/>
          <w:szCs w:val="20"/>
        </w:rPr>
        <w:t xml:space="preserve">.  </w:t>
      </w:r>
      <w:r w:rsidR="008016B8" w:rsidRPr="00F7263B">
        <w:rPr>
          <w:rFonts w:cs="Times New Roman"/>
          <w:sz w:val="20"/>
          <w:szCs w:val="20"/>
        </w:rPr>
        <w:t>Importantly, whereas six ULGs had adverse audit opinions as recently as 2009, none of them had adverse audit opinion in their most recent audit report, with all ULGs obtaining qualified audit opinions.</w:t>
      </w:r>
    </w:p>
    <w:p w:rsidR="008016B8" w:rsidRPr="00F7263B" w:rsidRDefault="008016B8">
      <w:pPr>
        <w:pStyle w:val="ListParagraph"/>
        <w:tabs>
          <w:tab w:val="left" w:pos="720"/>
          <w:tab w:val="left" w:pos="810"/>
        </w:tabs>
        <w:ind w:left="0"/>
        <w:jc w:val="both"/>
        <w:rPr>
          <w:rFonts w:cs="Times New Roman"/>
          <w:sz w:val="20"/>
          <w:szCs w:val="20"/>
        </w:rPr>
      </w:pPr>
    </w:p>
    <w:p w:rsidR="006E7278" w:rsidRPr="00F7263B" w:rsidRDefault="008016B8" w:rsidP="00056FC8">
      <w:pPr>
        <w:pStyle w:val="ListParagraph"/>
        <w:numPr>
          <w:ilvl w:val="0"/>
          <w:numId w:val="68"/>
        </w:numPr>
        <w:ind w:left="720" w:hanging="720"/>
        <w:jc w:val="both"/>
        <w:rPr>
          <w:rFonts w:cs="Times New Roman"/>
          <w:sz w:val="20"/>
          <w:szCs w:val="20"/>
        </w:rPr>
      </w:pPr>
      <w:r w:rsidRPr="00F7263B">
        <w:rPr>
          <w:rFonts w:cs="Times New Roman"/>
          <w:i/>
          <w:sz w:val="20"/>
          <w:szCs w:val="20"/>
        </w:rPr>
        <w:t>Infrastructure and services are improving</w:t>
      </w:r>
      <w:r w:rsidR="003A382D" w:rsidRPr="00F7263B">
        <w:rPr>
          <w:rFonts w:cs="Times New Roman"/>
          <w:sz w:val="20"/>
          <w:szCs w:val="20"/>
        </w:rPr>
        <w:t xml:space="preserve">.  </w:t>
      </w:r>
      <w:r w:rsidR="007F7867" w:rsidRPr="00F7263B">
        <w:rPr>
          <w:rFonts w:cs="Times New Roman"/>
          <w:sz w:val="20"/>
          <w:szCs w:val="20"/>
        </w:rPr>
        <w:t>As of July 2013</w:t>
      </w:r>
      <w:r w:rsidRPr="00F7263B">
        <w:rPr>
          <w:rFonts w:cs="Times New Roman"/>
          <w:sz w:val="20"/>
          <w:szCs w:val="20"/>
        </w:rPr>
        <w:t xml:space="preserve">, </w:t>
      </w:r>
      <w:r w:rsidR="00FC1BCE" w:rsidRPr="00F7263B">
        <w:rPr>
          <w:rFonts w:cs="Times New Roman"/>
          <w:sz w:val="20"/>
          <w:szCs w:val="20"/>
        </w:rPr>
        <w:t>some 2.6 million people ha</w:t>
      </w:r>
      <w:r w:rsidR="007F7867" w:rsidRPr="00F7263B">
        <w:rPr>
          <w:rFonts w:cs="Times New Roman"/>
          <w:sz w:val="20"/>
          <w:szCs w:val="20"/>
        </w:rPr>
        <w:t>ve</w:t>
      </w:r>
      <w:r w:rsidR="00FC1BCE" w:rsidRPr="00F7263B">
        <w:rPr>
          <w:rFonts w:cs="Times New Roman"/>
          <w:sz w:val="20"/>
          <w:szCs w:val="20"/>
        </w:rPr>
        <w:t xml:space="preserve"> benefited from the infrastructure and services financed under ULGDP</w:t>
      </w:r>
      <w:r w:rsidR="003A382D" w:rsidRPr="00F7263B">
        <w:rPr>
          <w:rFonts w:cs="Times New Roman"/>
          <w:sz w:val="20"/>
          <w:szCs w:val="20"/>
        </w:rPr>
        <w:t xml:space="preserve">.  </w:t>
      </w:r>
      <w:r w:rsidR="00FC1BCE" w:rsidRPr="00F7263B">
        <w:rPr>
          <w:rFonts w:cs="Times New Roman"/>
          <w:sz w:val="20"/>
          <w:szCs w:val="20"/>
        </w:rPr>
        <w:t xml:space="preserve">Some </w:t>
      </w:r>
      <w:r w:rsidRPr="00F7263B">
        <w:rPr>
          <w:rFonts w:cs="Times New Roman"/>
          <w:sz w:val="20"/>
          <w:szCs w:val="20"/>
        </w:rPr>
        <w:t>670 kilometers of roads</w:t>
      </w:r>
      <w:r w:rsidR="00664E3B" w:rsidRPr="00F7263B">
        <w:rPr>
          <w:rFonts w:cs="Times New Roman"/>
          <w:sz w:val="20"/>
          <w:szCs w:val="20"/>
        </w:rPr>
        <w:t xml:space="preserve"> and</w:t>
      </w:r>
      <w:r w:rsidRPr="00F7263B">
        <w:rPr>
          <w:rFonts w:cs="Times New Roman"/>
          <w:sz w:val="20"/>
          <w:szCs w:val="20"/>
        </w:rPr>
        <w:t xml:space="preserve"> 588 kilometers of drainage system, 171 latrines and 110 community water points have been constructed, with 29,000 people given access to improved water sources</w:t>
      </w:r>
      <w:r w:rsidR="003A382D" w:rsidRPr="00F7263B">
        <w:rPr>
          <w:rFonts w:cs="Times New Roman"/>
          <w:sz w:val="20"/>
          <w:szCs w:val="20"/>
        </w:rPr>
        <w:t xml:space="preserve">.  </w:t>
      </w:r>
      <w:r w:rsidRPr="00F7263B">
        <w:rPr>
          <w:rFonts w:cs="Times New Roman"/>
          <w:sz w:val="20"/>
          <w:szCs w:val="20"/>
        </w:rPr>
        <w:t>As a result of the roads built by program funds, particularly cobblestone, mobility for residents has increased, flooding has diminished, property values and small enterprises have increased</w:t>
      </w:r>
      <w:r w:rsidR="003A382D" w:rsidRPr="00F7263B">
        <w:rPr>
          <w:rFonts w:cs="Times New Roman"/>
          <w:sz w:val="20"/>
          <w:szCs w:val="20"/>
        </w:rPr>
        <w:t xml:space="preserve">.  </w:t>
      </w:r>
      <w:r w:rsidRPr="00F7263B">
        <w:rPr>
          <w:rFonts w:cs="Times New Roman"/>
          <w:sz w:val="20"/>
          <w:szCs w:val="20"/>
        </w:rPr>
        <w:t>These changes are transforming city centers into lively and welcoming places in which to live and work.</w:t>
      </w:r>
    </w:p>
    <w:p w:rsidR="00FC1BCE" w:rsidRPr="00F7263B" w:rsidRDefault="00FC1BCE">
      <w:pPr>
        <w:pStyle w:val="ListParagraph"/>
        <w:tabs>
          <w:tab w:val="left" w:pos="720"/>
          <w:tab w:val="left" w:pos="810"/>
        </w:tabs>
        <w:ind w:left="0"/>
        <w:jc w:val="both"/>
        <w:rPr>
          <w:rFonts w:cs="Times New Roman"/>
          <w:sz w:val="20"/>
          <w:szCs w:val="20"/>
        </w:rPr>
      </w:pPr>
    </w:p>
    <w:p w:rsidR="006E7278" w:rsidRPr="00F7263B" w:rsidRDefault="003B5070" w:rsidP="00056FC8">
      <w:pPr>
        <w:pStyle w:val="ListParagraph"/>
        <w:numPr>
          <w:ilvl w:val="0"/>
          <w:numId w:val="68"/>
        </w:numPr>
        <w:ind w:left="720" w:hanging="720"/>
        <w:jc w:val="both"/>
        <w:rPr>
          <w:rFonts w:cs="Times New Roman"/>
          <w:sz w:val="20"/>
          <w:szCs w:val="20"/>
        </w:rPr>
      </w:pPr>
      <w:r w:rsidRPr="00F7263B">
        <w:rPr>
          <w:rFonts w:cs="Times New Roman"/>
          <w:i/>
          <w:sz w:val="20"/>
          <w:szCs w:val="20"/>
        </w:rPr>
        <w:t>ULGDP has contributed to w</w:t>
      </w:r>
      <w:r w:rsidR="00FC1BCE" w:rsidRPr="00F7263B">
        <w:rPr>
          <w:rFonts w:cs="Times New Roman"/>
          <w:i/>
          <w:sz w:val="20"/>
          <w:szCs w:val="20"/>
        </w:rPr>
        <w:t>ider local economic development</w:t>
      </w:r>
      <w:r w:rsidR="003A382D" w:rsidRPr="00F7263B">
        <w:rPr>
          <w:rFonts w:cs="Times New Roman"/>
          <w:sz w:val="20"/>
          <w:szCs w:val="20"/>
        </w:rPr>
        <w:t xml:space="preserve">.  </w:t>
      </w:r>
      <w:r w:rsidR="00664E3B" w:rsidRPr="00F7263B">
        <w:rPr>
          <w:rFonts w:cs="Times New Roman"/>
          <w:sz w:val="20"/>
          <w:szCs w:val="20"/>
        </w:rPr>
        <w:t xml:space="preserve">The ULGDP’s emphasis on labor-intensive construction practices has created an estimated </w:t>
      </w:r>
      <w:r w:rsidR="00490C2D" w:rsidRPr="00F7263B">
        <w:rPr>
          <w:rFonts w:cs="Times New Roman"/>
          <w:sz w:val="20"/>
          <w:szCs w:val="20"/>
        </w:rPr>
        <w:t xml:space="preserve">312,460 </w:t>
      </w:r>
      <w:r w:rsidR="00664E3B" w:rsidRPr="00F7263B">
        <w:rPr>
          <w:rFonts w:cs="Times New Roman"/>
          <w:sz w:val="20"/>
          <w:szCs w:val="20"/>
        </w:rPr>
        <w:t xml:space="preserve">permanent and temporary </w:t>
      </w:r>
      <w:r w:rsidR="00490C2D" w:rsidRPr="00F7263B">
        <w:rPr>
          <w:rFonts w:cs="Times New Roman"/>
          <w:sz w:val="20"/>
          <w:szCs w:val="20"/>
        </w:rPr>
        <w:t>jobs</w:t>
      </w:r>
      <w:r w:rsidR="00D21CC7" w:rsidRPr="00F7263B">
        <w:rPr>
          <w:rFonts w:cs="Times New Roman"/>
          <w:sz w:val="20"/>
          <w:szCs w:val="20"/>
        </w:rPr>
        <w:t xml:space="preserve"> in small and micro enterprises</w:t>
      </w:r>
      <w:r w:rsidR="00E702A7" w:rsidRPr="00F7263B">
        <w:rPr>
          <w:rFonts w:cs="Times New Roman"/>
          <w:sz w:val="20"/>
          <w:szCs w:val="20"/>
        </w:rPr>
        <w:t>, about one-third of which have been taken by women</w:t>
      </w:r>
      <w:r w:rsidR="00F07D91" w:rsidRPr="00F7263B">
        <w:rPr>
          <w:rFonts w:cs="Times New Roman"/>
          <w:sz w:val="20"/>
          <w:szCs w:val="20"/>
        </w:rPr>
        <w:t>.</w:t>
      </w:r>
      <w:r w:rsidR="00126FE8" w:rsidRPr="00F7263B">
        <w:rPr>
          <w:rFonts w:cs="Times New Roman"/>
          <w:sz w:val="20"/>
          <w:szCs w:val="20"/>
        </w:rPr>
        <w:t xml:space="preserve"> </w:t>
      </w:r>
      <w:r w:rsidR="00E702A7" w:rsidRPr="00F7263B">
        <w:rPr>
          <w:rFonts w:cs="Times New Roman"/>
          <w:sz w:val="20"/>
          <w:szCs w:val="20"/>
        </w:rPr>
        <w:t>T</w:t>
      </w:r>
      <w:r w:rsidR="00664E3B" w:rsidRPr="00F7263B">
        <w:rPr>
          <w:rFonts w:cs="Times New Roman"/>
          <w:sz w:val="20"/>
          <w:szCs w:val="20"/>
        </w:rPr>
        <w:t xml:space="preserve">he majority of </w:t>
      </w:r>
      <w:r w:rsidR="00E702A7" w:rsidRPr="00F7263B">
        <w:rPr>
          <w:rFonts w:cs="Times New Roman"/>
          <w:sz w:val="20"/>
          <w:szCs w:val="20"/>
        </w:rPr>
        <w:t xml:space="preserve">jobs </w:t>
      </w:r>
      <w:r w:rsidR="00664E3B" w:rsidRPr="00F7263B">
        <w:rPr>
          <w:rFonts w:cs="Times New Roman"/>
          <w:sz w:val="20"/>
          <w:szCs w:val="20"/>
        </w:rPr>
        <w:t xml:space="preserve">have gone to </w:t>
      </w:r>
      <w:r w:rsidR="00E702A7" w:rsidRPr="00F7263B">
        <w:rPr>
          <w:rFonts w:cs="Times New Roman"/>
          <w:sz w:val="20"/>
          <w:szCs w:val="20"/>
        </w:rPr>
        <w:t>people with little previous experience in formal employment</w:t>
      </w:r>
      <w:r w:rsidR="003A382D" w:rsidRPr="00F7263B">
        <w:rPr>
          <w:rFonts w:cs="Times New Roman"/>
          <w:sz w:val="20"/>
          <w:szCs w:val="20"/>
        </w:rPr>
        <w:t xml:space="preserve">.  </w:t>
      </w:r>
      <w:r w:rsidR="00490C2D" w:rsidRPr="00F7263B">
        <w:rPr>
          <w:rFonts w:cs="Times New Roman"/>
          <w:sz w:val="20"/>
          <w:szCs w:val="20"/>
        </w:rPr>
        <w:t>Importantly, a large number of small and micro enterprises have been involved in project execution</w:t>
      </w:r>
      <w:r w:rsidR="003A382D" w:rsidRPr="00F7263B">
        <w:rPr>
          <w:rFonts w:cs="Times New Roman"/>
          <w:sz w:val="20"/>
          <w:szCs w:val="20"/>
        </w:rPr>
        <w:t xml:space="preserve">.  </w:t>
      </w:r>
      <w:r w:rsidR="00664E3B" w:rsidRPr="00F7263B">
        <w:rPr>
          <w:rFonts w:cs="Times New Roman"/>
          <w:sz w:val="20"/>
          <w:szCs w:val="20"/>
        </w:rPr>
        <w:t xml:space="preserve">The experience gained in business development and operation is expected to </w:t>
      </w:r>
      <w:r w:rsidR="00490C2D" w:rsidRPr="00F7263B">
        <w:rPr>
          <w:rFonts w:cs="Times New Roman"/>
          <w:sz w:val="20"/>
          <w:szCs w:val="20"/>
        </w:rPr>
        <w:t>contribut</w:t>
      </w:r>
      <w:r w:rsidR="00664E3B" w:rsidRPr="00F7263B">
        <w:rPr>
          <w:rFonts w:cs="Times New Roman"/>
          <w:sz w:val="20"/>
          <w:szCs w:val="20"/>
        </w:rPr>
        <w:t xml:space="preserve">e </w:t>
      </w:r>
      <w:r w:rsidR="00490C2D" w:rsidRPr="00F7263B">
        <w:rPr>
          <w:rFonts w:cs="Times New Roman"/>
          <w:sz w:val="20"/>
          <w:szCs w:val="20"/>
        </w:rPr>
        <w:t>to future local economic development</w:t>
      </w:r>
      <w:r w:rsidR="003A382D" w:rsidRPr="00F7263B">
        <w:rPr>
          <w:rFonts w:cs="Times New Roman"/>
          <w:sz w:val="20"/>
          <w:szCs w:val="20"/>
        </w:rPr>
        <w:t xml:space="preserve">.  </w:t>
      </w:r>
    </w:p>
    <w:p w:rsidR="007E4332" w:rsidRPr="00F7263B" w:rsidRDefault="007E4332" w:rsidP="00E65E2E">
      <w:pPr>
        <w:pStyle w:val="ListParagraph"/>
        <w:tabs>
          <w:tab w:val="left" w:pos="720"/>
          <w:tab w:val="left" w:pos="810"/>
        </w:tabs>
        <w:ind w:left="0"/>
        <w:jc w:val="both"/>
        <w:rPr>
          <w:rFonts w:cs="Times New Roman"/>
          <w:sz w:val="20"/>
          <w:szCs w:val="20"/>
        </w:rPr>
      </w:pPr>
    </w:p>
    <w:p w:rsidR="003842F4" w:rsidRPr="00F7263B" w:rsidRDefault="003842F4" w:rsidP="003A382D">
      <w:pPr>
        <w:pStyle w:val="ListParagraph"/>
        <w:tabs>
          <w:tab w:val="left" w:pos="720"/>
          <w:tab w:val="left" w:pos="810"/>
        </w:tabs>
        <w:ind w:left="0"/>
        <w:jc w:val="both"/>
        <w:rPr>
          <w:i/>
          <w:sz w:val="20"/>
          <w:szCs w:val="20"/>
        </w:rPr>
      </w:pPr>
      <w:r w:rsidRPr="00F7263B">
        <w:rPr>
          <w:rFonts w:eastAsia="Calibri" w:cs="Times New Roman"/>
          <w:bCs/>
          <w:i/>
          <w:sz w:val="20"/>
          <w:szCs w:val="20"/>
        </w:rPr>
        <w:t>ULGDP</w:t>
      </w:r>
      <w:r w:rsidR="00126FE8" w:rsidRPr="00F7263B">
        <w:rPr>
          <w:rFonts w:eastAsia="Calibri" w:cs="Times New Roman"/>
          <w:bCs/>
          <w:i/>
          <w:sz w:val="20"/>
          <w:szCs w:val="20"/>
        </w:rPr>
        <w:t xml:space="preserve"> </w:t>
      </w:r>
      <w:r w:rsidR="0079029F" w:rsidRPr="00F7263B">
        <w:rPr>
          <w:rFonts w:cs="Times New Roman"/>
          <w:i/>
          <w:color w:val="000000"/>
          <w:sz w:val="20"/>
          <w:szCs w:val="20"/>
        </w:rPr>
        <w:t>p</w:t>
      </w:r>
      <w:r w:rsidRPr="00F7263B">
        <w:rPr>
          <w:rFonts w:cs="Times New Roman"/>
          <w:i/>
          <w:color w:val="000000"/>
          <w:sz w:val="20"/>
          <w:szCs w:val="20"/>
        </w:rPr>
        <w:t>hase two, the PforR</w:t>
      </w:r>
    </w:p>
    <w:p w:rsidR="001B4D24" w:rsidRPr="00F7263B" w:rsidRDefault="001B4D24" w:rsidP="003A382D">
      <w:pPr>
        <w:pStyle w:val="ListParagraph"/>
        <w:tabs>
          <w:tab w:val="left" w:pos="720"/>
          <w:tab w:val="left" w:pos="810"/>
        </w:tabs>
        <w:ind w:left="0"/>
        <w:jc w:val="both"/>
        <w:rPr>
          <w:rFonts w:cs="Times New Roman"/>
          <w:sz w:val="20"/>
          <w:szCs w:val="20"/>
        </w:rPr>
      </w:pPr>
    </w:p>
    <w:p w:rsidR="003842F4" w:rsidRPr="00F7263B" w:rsidRDefault="003842F4" w:rsidP="00380EF7">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Under phase one, ULGDP established a robust local government performance grant system, which has successfully delivered both institutional strengthening and associated infrastructure results in the limited number of cities within its scope</w:t>
      </w:r>
      <w:r w:rsidR="008073B5" w:rsidRPr="00F7263B">
        <w:rPr>
          <w:rFonts w:cs="Times New Roman"/>
          <w:sz w:val="20"/>
          <w:szCs w:val="20"/>
        </w:rPr>
        <w:t>.  The</w:t>
      </w:r>
      <w:r w:rsidR="00126FE8" w:rsidRPr="00F7263B">
        <w:rPr>
          <w:rFonts w:cs="Times New Roman"/>
          <w:sz w:val="20"/>
          <w:szCs w:val="20"/>
        </w:rPr>
        <w:t xml:space="preserve"> </w:t>
      </w:r>
      <w:r w:rsidR="008073B5" w:rsidRPr="00F7263B">
        <w:rPr>
          <w:rFonts w:cs="Times New Roman"/>
          <w:sz w:val="20"/>
          <w:szCs w:val="20"/>
        </w:rPr>
        <w:t>g</w:t>
      </w:r>
      <w:r w:rsidR="008D2EE6" w:rsidRPr="00F7263B">
        <w:rPr>
          <w:rFonts w:cs="Times New Roman"/>
          <w:sz w:val="20"/>
          <w:szCs w:val="20"/>
        </w:rPr>
        <w:t>overnment</w:t>
      </w:r>
      <w:r w:rsidRPr="00F7263B">
        <w:rPr>
          <w:rFonts w:cs="Times New Roman"/>
          <w:sz w:val="20"/>
          <w:szCs w:val="20"/>
        </w:rPr>
        <w:t xml:space="preserve"> now wishes to expand the program to include additional cities, bringing the total to 44 ULGs, and </w:t>
      </w:r>
      <w:r w:rsidR="00274157" w:rsidRPr="00F7263B">
        <w:rPr>
          <w:rFonts w:cs="Times New Roman"/>
          <w:sz w:val="20"/>
          <w:szCs w:val="20"/>
        </w:rPr>
        <w:t xml:space="preserve">to </w:t>
      </w:r>
      <w:r w:rsidRPr="00F7263B">
        <w:rPr>
          <w:rFonts w:cs="Times New Roman"/>
          <w:sz w:val="20"/>
          <w:szCs w:val="20"/>
        </w:rPr>
        <w:t>deepen the involvement of the nine regional governments</w:t>
      </w:r>
      <w:r w:rsidR="008073B5" w:rsidRPr="00F7263B">
        <w:rPr>
          <w:rFonts w:cs="Times New Roman"/>
          <w:sz w:val="20"/>
          <w:szCs w:val="20"/>
        </w:rPr>
        <w:t xml:space="preserve">.  </w:t>
      </w:r>
      <w:r w:rsidRPr="00F7263B">
        <w:rPr>
          <w:rFonts w:cs="Times New Roman"/>
          <w:sz w:val="20"/>
          <w:szCs w:val="20"/>
        </w:rPr>
        <w:t>The new 26 ULGs represent the next tier of important cities in the country with the highest populations, total</w:t>
      </w:r>
      <w:r w:rsidR="00896C75" w:rsidRPr="00F7263B">
        <w:rPr>
          <w:rFonts w:cs="Times New Roman"/>
          <w:sz w:val="20"/>
          <w:szCs w:val="20"/>
        </w:rPr>
        <w:t>ing</w:t>
      </w:r>
      <w:r w:rsidRPr="00F7263B">
        <w:rPr>
          <w:rFonts w:cs="Times New Roman"/>
          <w:sz w:val="20"/>
          <w:szCs w:val="20"/>
        </w:rPr>
        <w:t xml:space="preserve"> 4.3 million, or about 26 percent of the total urban population</w:t>
      </w:r>
      <w:r w:rsidR="008073B5" w:rsidRPr="00F7263B">
        <w:rPr>
          <w:rFonts w:cs="Times New Roman"/>
          <w:sz w:val="20"/>
          <w:szCs w:val="20"/>
        </w:rPr>
        <w:t xml:space="preserve">.  </w:t>
      </w:r>
      <w:r w:rsidRPr="00F7263B">
        <w:rPr>
          <w:rFonts w:cs="Times New Roman"/>
          <w:sz w:val="20"/>
          <w:szCs w:val="20"/>
        </w:rPr>
        <w:t>In addition, under phase two, the government plans to assist the country’s nine regional governments to more effectively play</w:t>
      </w:r>
      <w:r w:rsidR="00896C75" w:rsidRPr="00F7263B">
        <w:rPr>
          <w:rFonts w:cs="Times New Roman"/>
          <w:sz w:val="20"/>
          <w:szCs w:val="20"/>
        </w:rPr>
        <w:t xml:space="preserve"> their role in supporting city</w:t>
      </w:r>
      <w:r w:rsidRPr="00F7263B">
        <w:rPr>
          <w:rFonts w:cs="Times New Roman"/>
          <w:sz w:val="20"/>
          <w:szCs w:val="20"/>
        </w:rPr>
        <w:t xml:space="preserve"> growth and development</w:t>
      </w:r>
      <w:r w:rsidR="008073B5" w:rsidRPr="00F7263B">
        <w:rPr>
          <w:rFonts w:cs="Times New Roman"/>
          <w:sz w:val="20"/>
          <w:szCs w:val="20"/>
        </w:rPr>
        <w:t xml:space="preserve">.  </w:t>
      </w:r>
    </w:p>
    <w:p w:rsidR="009D4145" w:rsidRPr="00F7263B" w:rsidRDefault="009D4145" w:rsidP="0068255C">
      <w:pPr>
        <w:pStyle w:val="ListParagraph"/>
        <w:tabs>
          <w:tab w:val="left" w:pos="720"/>
          <w:tab w:val="left" w:pos="810"/>
        </w:tabs>
        <w:ind w:left="0"/>
        <w:jc w:val="both"/>
        <w:rPr>
          <w:rFonts w:cs="Times New Roman"/>
          <w:sz w:val="20"/>
          <w:szCs w:val="20"/>
        </w:rPr>
      </w:pPr>
    </w:p>
    <w:p w:rsidR="00054C5F" w:rsidRPr="00F7263B" w:rsidRDefault="00ED7E50" w:rsidP="00380EF7">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 xml:space="preserve">In expanding the program, a number of challenges which emerged during </w:t>
      </w:r>
      <w:r w:rsidR="00054C5F" w:rsidRPr="00F7263B">
        <w:rPr>
          <w:rFonts w:cs="Times New Roman"/>
          <w:b/>
          <w:sz w:val="20"/>
          <w:szCs w:val="20"/>
        </w:rPr>
        <w:t>phase one</w:t>
      </w:r>
      <w:r w:rsidRPr="00F7263B">
        <w:rPr>
          <w:rFonts w:cs="Times New Roman"/>
          <w:b/>
          <w:sz w:val="20"/>
          <w:szCs w:val="20"/>
        </w:rPr>
        <w:t xml:space="preserve"> will be addressed</w:t>
      </w:r>
      <w:r w:rsidRPr="00F7263B">
        <w:rPr>
          <w:rFonts w:cs="Times New Roman"/>
          <w:sz w:val="20"/>
          <w:szCs w:val="20"/>
        </w:rPr>
        <w:t>.  In particular</w:t>
      </w:r>
      <w:r w:rsidR="00756194" w:rsidRPr="00F7263B">
        <w:rPr>
          <w:rFonts w:cs="Times New Roman"/>
          <w:sz w:val="20"/>
          <w:szCs w:val="20"/>
        </w:rPr>
        <w:t>:</w:t>
      </w:r>
    </w:p>
    <w:p w:rsidR="00E65E2E" w:rsidRPr="00F7263B" w:rsidRDefault="00E65E2E">
      <w:pPr>
        <w:pStyle w:val="ListParagraph"/>
        <w:tabs>
          <w:tab w:val="left" w:pos="720"/>
          <w:tab w:val="left" w:pos="810"/>
        </w:tabs>
        <w:ind w:left="0"/>
        <w:jc w:val="both"/>
        <w:rPr>
          <w:rFonts w:cs="Times New Roman"/>
          <w:sz w:val="20"/>
          <w:szCs w:val="20"/>
        </w:rPr>
      </w:pPr>
    </w:p>
    <w:p w:rsidR="006E7278" w:rsidRPr="00F7263B" w:rsidRDefault="0035469A" w:rsidP="00056FC8">
      <w:pPr>
        <w:pStyle w:val="ListParagraph"/>
        <w:numPr>
          <w:ilvl w:val="0"/>
          <w:numId w:val="68"/>
        </w:numPr>
        <w:ind w:left="720" w:hanging="720"/>
        <w:jc w:val="both"/>
        <w:rPr>
          <w:rFonts w:cs="Times New Roman"/>
          <w:sz w:val="20"/>
          <w:szCs w:val="20"/>
        </w:rPr>
      </w:pPr>
      <w:r w:rsidRPr="00F7263B">
        <w:rPr>
          <w:rFonts w:cs="Times New Roman"/>
          <w:i/>
          <w:sz w:val="20"/>
          <w:szCs w:val="20"/>
        </w:rPr>
        <w:t xml:space="preserve">Institutional capacity </w:t>
      </w:r>
      <w:r w:rsidR="003520BF" w:rsidRPr="00F7263B">
        <w:rPr>
          <w:rFonts w:cs="Times New Roman"/>
          <w:i/>
          <w:sz w:val="20"/>
          <w:szCs w:val="20"/>
        </w:rPr>
        <w:t xml:space="preserve">gaps at </w:t>
      </w:r>
      <w:r w:rsidR="00BD0247" w:rsidRPr="00F7263B">
        <w:rPr>
          <w:rFonts w:cs="Times New Roman"/>
          <w:i/>
          <w:sz w:val="20"/>
          <w:szCs w:val="20"/>
        </w:rPr>
        <w:t>ULGs</w:t>
      </w:r>
      <w:r w:rsidR="008073B5" w:rsidRPr="00F7263B">
        <w:rPr>
          <w:rFonts w:cs="Times New Roman"/>
          <w:sz w:val="20"/>
          <w:szCs w:val="20"/>
        </w:rPr>
        <w:t xml:space="preserve">.  </w:t>
      </w:r>
      <w:r w:rsidR="003520BF" w:rsidRPr="00F7263B">
        <w:rPr>
          <w:rFonts w:cs="Times New Roman"/>
          <w:sz w:val="20"/>
          <w:szCs w:val="20"/>
        </w:rPr>
        <w:t xml:space="preserve">Although much stronger than when the ULGDP started, </w:t>
      </w:r>
      <w:r w:rsidR="002E4226" w:rsidRPr="00F7263B">
        <w:rPr>
          <w:rFonts w:cs="Times New Roman"/>
          <w:sz w:val="20"/>
          <w:szCs w:val="20"/>
        </w:rPr>
        <w:t xml:space="preserve">the 18 </w:t>
      </w:r>
      <w:r w:rsidR="003520BF" w:rsidRPr="00F7263B">
        <w:rPr>
          <w:rFonts w:cs="Times New Roman"/>
          <w:sz w:val="20"/>
          <w:szCs w:val="20"/>
        </w:rPr>
        <w:t xml:space="preserve">cities </w:t>
      </w:r>
      <w:r w:rsidR="002E4226" w:rsidRPr="00F7263B">
        <w:rPr>
          <w:rFonts w:cs="Times New Roman"/>
          <w:sz w:val="20"/>
          <w:szCs w:val="20"/>
        </w:rPr>
        <w:t xml:space="preserve">in the current Program </w:t>
      </w:r>
      <w:r w:rsidR="003520BF" w:rsidRPr="00F7263B">
        <w:rPr>
          <w:rFonts w:cs="Times New Roman"/>
          <w:sz w:val="20"/>
          <w:szCs w:val="20"/>
        </w:rPr>
        <w:t>still have gaps in capacity in all key areas</w:t>
      </w:r>
      <w:r w:rsidR="002E4226" w:rsidRPr="00F7263B">
        <w:rPr>
          <w:rFonts w:cs="Times New Roman"/>
          <w:sz w:val="20"/>
          <w:szCs w:val="20"/>
        </w:rPr>
        <w:t xml:space="preserve"> of urban management</w:t>
      </w:r>
      <w:r w:rsidR="003520BF" w:rsidRPr="00F7263B">
        <w:rPr>
          <w:rFonts w:cs="Times New Roman"/>
          <w:sz w:val="20"/>
          <w:szCs w:val="20"/>
        </w:rPr>
        <w:t>, including participatory planning, fiduciary management, mobilization of own source revenues, engineering, contract management, monitoring and evaluation, and environmental and social systems management, and the like</w:t>
      </w:r>
      <w:r w:rsidR="008073B5" w:rsidRPr="00F7263B">
        <w:rPr>
          <w:rFonts w:cs="Times New Roman"/>
          <w:sz w:val="20"/>
          <w:szCs w:val="20"/>
        </w:rPr>
        <w:t xml:space="preserve">.  </w:t>
      </w:r>
      <w:r w:rsidR="002E4226" w:rsidRPr="00F7263B">
        <w:rPr>
          <w:rFonts w:cs="Times New Roman"/>
          <w:sz w:val="20"/>
          <w:szCs w:val="20"/>
        </w:rPr>
        <w:lastRenderedPageBreak/>
        <w:t>Urban administrations will require continuous capacity building support to enable them to adequately fulfill their mandates.</w:t>
      </w:r>
    </w:p>
    <w:p w:rsidR="003520BF" w:rsidRPr="00F7263B" w:rsidRDefault="003520BF">
      <w:pPr>
        <w:jc w:val="both"/>
        <w:rPr>
          <w:rFonts w:cs="Times New Roman"/>
          <w:sz w:val="20"/>
          <w:szCs w:val="20"/>
        </w:rPr>
      </w:pPr>
    </w:p>
    <w:p w:rsidR="006E7278" w:rsidRPr="00F7263B" w:rsidRDefault="003B5070" w:rsidP="00056FC8">
      <w:pPr>
        <w:pStyle w:val="ListParagraph"/>
        <w:numPr>
          <w:ilvl w:val="0"/>
          <w:numId w:val="68"/>
        </w:numPr>
        <w:ind w:left="720" w:hanging="720"/>
        <w:jc w:val="both"/>
        <w:rPr>
          <w:rFonts w:cs="Times New Roman"/>
          <w:sz w:val="20"/>
          <w:szCs w:val="20"/>
        </w:rPr>
      </w:pPr>
      <w:r w:rsidRPr="00F7263B">
        <w:rPr>
          <w:rFonts w:cs="Times New Roman"/>
          <w:i/>
          <w:sz w:val="20"/>
          <w:szCs w:val="20"/>
        </w:rPr>
        <w:t>Slow p</w:t>
      </w:r>
      <w:r w:rsidR="00BD57A4" w:rsidRPr="00F7263B">
        <w:rPr>
          <w:rFonts w:cs="Times New Roman"/>
          <w:i/>
          <w:sz w:val="20"/>
          <w:szCs w:val="20"/>
        </w:rPr>
        <w:t>rocurement</w:t>
      </w:r>
      <w:r w:rsidR="002E4226" w:rsidRPr="00F7263B">
        <w:rPr>
          <w:rFonts w:cs="Times New Roman"/>
          <w:i/>
          <w:sz w:val="20"/>
          <w:szCs w:val="20"/>
        </w:rPr>
        <w:t xml:space="preserve"> by the MUDHCo</w:t>
      </w:r>
      <w:r w:rsidRPr="00F7263B">
        <w:rPr>
          <w:rFonts w:cs="Times New Roman"/>
          <w:i/>
          <w:sz w:val="20"/>
          <w:szCs w:val="20"/>
        </w:rPr>
        <w:t xml:space="preserve">. </w:t>
      </w:r>
      <w:r w:rsidR="002E4226" w:rsidRPr="00F7263B">
        <w:rPr>
          <w:rFonts w:cs="Times New Roman"/>
          <w:sz w:val="20"/>
          <w:szCs w:val="20"/>
        </w:rPr>
        <w:t xml:space="preserve">The MUDHCo has so far not been able to </w:t>
      </w:r>
      <w:r w:rsidR="00DB3565" w:rsidRPr="00F7263B">
        <w:rPr>
          <w:rFonts w:cs="Times New Roman"/>
          <w:sz w:val="20"/>
          <w:szCs w:val="20"/>
        </w:rPr>
        <w:t>procure</w:t>
      </w:r>
      <w:r w:rsidR="00126FE8" w:rsidRPr="00F7263B">
        <w:rPr>
          <w:rFonts w:cs="Times New Roman"/>
          <w:sz w:val="20"/>
          <w:szCs w:val="20"/>
        </w:rPr>
        <w:t xml:space="preserve"> </w:t>
      </w:r>
      <w:r w:rsidR="00DB3565" w:rsidRPr="00F7263B">
        <w:rPr>
          <w:rFonts w:cs="Times New Roman"/>
          <w:sz w:val="20"/>
          <w:szCs w:val="20"/>
        </w:rPr>
        <w:t xml:space="preserve">the </w:t>
      </w:r>
      <w:r w:rsidR="0065132C" w:rsidRPr="00F7263B">
        <w:rPr>
          <w:rFonts w:cs="Times New Roman"/>
          <w:sz w:val="20"/>
          <w:szCs w:val="20"/>
        </w:rPr>
        <w:t xml:space="preserve">services of a firm to carry out the </w:t>
      </w:r>
      <w:r w:rsidR="00DB3565" w:rsidRPr="00F7263B">
        <w:rPr>
          <w:rFonts w:cs="Times New Roman"/>
          <w:sz w:val="20"/>
          <w:szCs w:val="20"/>
        </w:rPr>
        <w:t xml:space="preserve">annual </w:t>
      </w:r>
      <w:r w:rsidR="0065132C" w:rsidRPr="00F7263B">
        <w:rPr>
          <w:rFonts w:cs="Times New Roman"/>
          <w:sz w:val="20"/>
          <w:szCs w:val="20"/>
        </w:rPr>
        <w:t xml:space="preserve">performance </w:t>
      </w:r>
      <w:r w:rsidR="00DB3565" w:rsidRPr="00F7263B">
        <w:rPr>
          <w:rFonts w:cs="Times New Roman"/>
          <w:sz w:val="20"/>
          <w:szCs w:val="20"/>
        </w:rPr>
        <w:t>assessment</w:t>
      </w:r>
      <w:r w:rsidR="002E4226" w:rsidRPr="00F7263B">
        <w:rPr>
          <w:rFonts w:cs="Times New Roman"/>
          <w:sz w:val="20"/>
          <w:szCs w:val="20"/>
        </w:rPr>
        <w:t xml:space="preserve"> in time for the exercise to be completed by January/February</w:t>
      </w:r>
      <w:r w:rsidR="0065132C" w:rsidRPr="00F7263B">
        <w:rPr>
          <w:rFonts w:cs="Times New Roman"/>
          <w:sz w:val="20"/>
          <w:szCs w:val="20"/>
        </w:rPr>
        <w:t xml:space="preserve">.  As a result, cities </w:t>
      </w:r>
      <w:r w:rsidR="002E4226" w:rsidRPr="00F7263B">
        <w:rPr>
          <w:rFonts w:cs="Times New Roman"/>
          <w:sz w:val="20"/>
          <w:szCs w:val="20"/>
        </w:rPr>
        <w:t xml:space="preserve">have </w:t>
      </w:r>
      <w:r w:rsidR="0065132C" w:rsidRPr="00F7263B">
        <w:rPr>
          <w:rFonts w:cs="Times New Roman"/>
          <w:sz w:val="20"/>
          <w:szCs w:val="20"/>
        </w:rPr>
        <w:t xml:space="preserve">had to prepare their </w:t>
      </w:r>
      <w:r w:rsidR="00011B7D" w:rsidRPr="00F7263B">
        <w:rPr>
          <w:rFonts w:cs="Times New Roman"/>
          <w:sz w:val="20"/>
          <w:szCs w:val="20"/>
        </w:rPr>
        <w:t xml:space="preserve">budgets </w:t>
      </w:r>
      <w:r w:rsidR="0065132C" w:rsidRPr="00F7263B">
        <w:rPr>
          <w:rFonts w:cs="Times New Roman"/>
          <w:sz w:val="20"/>
          <w:szCs w:val="20"/>
        </w:rPr>
        <w:t>based on notional rather than actual allocations.  Once they learned their actual allocations they were required to revise their budgets to reflect the actual allocations.</w:t>
      </w:r>
    </w:p>
    <w:p w:rsidR="00BD57A4" w:rsidRPr="00F7263B" w:rsidRDefault="00BD57A4" w:rsidP="00380EF7">
      <w:pPr>
        <w:pStyle w:val="ListParagraph"/>
        <w:tabs>
          <w:tab w:val="left" w:pos="720"/>
        </w:tabs>
        <w:ind w:left="0" w:hanging="180"/>
        <w:jc w:val="both"/>
        <w:rPr>
          <w:rFonts w:cs="Times New Roman"/>
          <w:sz w:val="20"/>
          <w:szCs w:val="20"/>
        </w:rPr>
      </w:pPr>
    </w:p>
    <w:p w:rsidR="006E7278" w:rsidRPr="00F7263B" w:rsidRDefault="003B5070" w:rsidP="00056FC8">
      <w:pPr>
        <w:pStyle w:val="ListParagraph"/>
        <w:numPr>
          <w:ilvl w:val="0"/>
          <w:numId w:val="68"/>
        </w:numPr>
        <w:ind w:left="720" w:hanging="720"/>
        <w:jc w:val="both"/>
        <w:rPr>
          <w:rFonts w:cs="Times New Roman"/>
          <w:sz w:val="20"/>
          <w:szCs w:val="20"/>
        </w:rPr>
      </w:pPr>
      <w:r w:rsidRPr="00F7263B">
        <w:rPr>
          <w:rFonts w:cs="Times New Roman"/>
          <w:i/>
          <w:sz w:val="20"/>
          <w:szCs w:val="20"/>
        </w:rPr>
        <w:t xml:space="preserve">Too little funding for </w:t>
      </w:r>
      <w:r w:rsidR="00BD57A4" w:rsidRPr="00F7263B">
        <w:rPr>
          <w:rFonts w:cs="Times New Roman"/>
          <w:i/>
          <w:sz w:val="20"/>
          <w:szCs w:val="20"/>
        </w:rPr>
        <w:t xml:space="preserve">Addis Ababa </w:t>
      </w:r>
      <w:r w:rsidRPr="00F7263B">
        <w:rPr>
          <w:rFonts w:cs="Times New Roman"/>
          <w:i/>
          <w:sz w:val="20"/>
          <w:szCs w:val="20"/>
        </w:rPr>
        <w:t>to serve as an incentive</w:t>
      </w:r>
      <w:r w:rsidR="003A382D" w:rsidRPr="00F7263B">
        <w:rPr>
          <w:rFonts w:cs="Times New Roman"/>
          <w:i/>
          <w:sz w:val="20"/>
          <w:szCs w:val="20"/>
        </w:rPr>
        <w:t xml:space="preserve">.  </w:t>
      </w:r>
      <w:r w:rsidRPr="00F7263B">
        <w:rPr>
          <w:rFonts w:cs="Times New Roman"/>
          <w:sz w:val="20"/>
          <w:szCs w:val="20"/>
        </w:rPr>
        <w:t xml:space="preserve">The funding available to Addis under the ULGDP was a tiny fraction of its annual revenues.  The Addis city government thus never properly staffed a unit to coordinate the Program.  As a result, </w:t>
      </w:r>
      <w:r w:rsidR="00DB3565" w:rsidRPr="00F7263B">
        <w:rPr>
          <w:rFonts w:cs="Times New Roman"/>
          <w:sz w:val="20"/>
          <w:szCs w:val="20"/>
        </w:rPr>
        <w:t xml:space="preserve">Addis has </w:t>
      </w:r>
      <w:r w:rsidRPr="00F7263B">
        <w:rPr>
          <w:rFonts w:cs="Times New Roman"/>
          <w:sz w:val="20"/>
          <w:szCs w:val="20"/>
        </w:rPr>
        <w:t xml:space="preserve">scored at a satisfactory level in the annual performance assessment only twice since the inception of the Program, </w:t>
      </w:r>
      <w:r w:rsidR="00DB3565" w:rsidRPr="00F7263B">
        <w:rPr>
          <w:rFonts w:cs="Times New Roman"/>
          <w:sz w:val="20"/>
          <w:szCs w:val="20"/>
        </w:rPr>
        <w:t>each time with relatively low scores</w:t>
      </w:r>
      <w:r w:rsidR="00432B6A" w:rsidRPr="00F7263B">
        <w:rPr>
          <w:rFonts w:cs="Times New Roman"/>
          <w:sz w:val="20"/>
          <w:szCs w:val="20"/>
        </w:rPr>
        <w:t xml:space="preserve">. In addition, the institutional, infrastructure and financial needs of Addis are distinctly different than all the other ULGs in Ethiopia and therefore the same program design cannot be applied </w:t>
      </w:r>
      <w:r w:rsidR="00011B7D" w:rsidRPr="00F7263B">
        <w:rPr>
          <w:rFonts w:cs="Times New Roman"/>
          <w:sz w:val="20"/>
          <w:szCs w:val="20"/>
        </w:rPr>
        <w:t>to Addis</w:t>
      </w:r>
      <w:r w:rsidR="003A382D" w:rsidRPr="00F7263B">
        <w:rPr>
          <w:rFonts w:cs="Times New Roman"/>
          <w:sz w:val="20"/>
          <w:szCs w:val="20"/>
        </w:rPr>
        <w:t xml:space="preserve">.  </w:t>
      </w:r>
    </w:p>
    <w:p w:rsidR="00BD57A4" w:rsidRPr="00F7263B" w:rsidRDefault="00BD57A4" w:rsidP="00380EF7">
      <w:pPr>
        <w:pStyle w:val="ListParagraph"/>
        <w:tabs>
          <w:tab w:val="left" w:pos="720"/>
        </w:tabs>
        <w:ind w:left="0" w:hanging="180"/>
        <w:rPr>
          <w:rFonts w:cs="Times New Roman"/>
          <w:sz w:val="20"/>
          <w:szCs w:val="20"/>
        </w:rPr>
      </w:pPr>
    </w:p>
    <w:p w:rsidR="006E7278" w:rsidRPr="00F7263B" w:rsidRDefault="008D3F3B" w:rsidP="00056FC8">
      <w:pPr>
        <w:pStyle w:val="ListParagraph"/>
        <w:numPr>
          <w:ilvl w:val="0"/>
          <w:numId w:val="68"/>
        </w:numPr>
        <w:ind w:left="720" w:hanging="720"/>
        <w:jc w:val="both"/>
        <w:rPr>
          <w:rFonts w:cs="Times New Roman"/>
          <w:sz w:val="20"/>
          <w:szCs w:val="20"/>
        </w:rPr>
      </w:pPr>
      <w:r w:rsidRPr="00F7263B">
        <w:rPr>
          <w:rFonts w:cs="Times New Roman"/>
          <w:i/>
          <w:sz w:val="20"/>
          <w:szCs w:val="20"/>
        </w:rPr>
        <w:t xml:space="preserve">Inadequate systems for tracking the </w:t>
      </w:r>
      <w:r w:rsidR="00D531DC" w:rsidRPr="00F7263B">
        <w:rPr>
          <w:rFonts w:cs="Times New Roman"/>
          <w:i/>
          <w:sz w:val="20"/>
          <w:szCs w:val="20"/>
        </w:rPr>
        <w:t xml:space="preserve">specific </w:t>
      </w:r>
      <w:r w:rsidRPr="00F7263B">
        <w:rPr>
          <w:rFonts w:cs="Times New Roman"/>
          <w:i/>
          <w:sz w:val="20"/>
          <w:szCs w:val="20"/>
        </w:rPr>
        <w:t xml:space="preserve">use of </w:t>
      </w:r>
      <w:r w:rsidR="00BD57A4" w:rsidRPr="00F7263B">
        <w:rPr>
          <w:rFonts w:cs="Times New Roman"/>
          <w:i/>
          <w:sz w:val="20"/>
          <w:szCs w:val="20"/>
        </w:rPr>
        <w:t>Program fund</w:t>
      </w:r>
      <w:r w:rsidRPr="00F7263B">
        <w:rPr>
          <w:rFonts w:cs="Times New Roman"/>
          <w:i/>
          <w:sz w:val="20"/>
          <w:szCs w:val="20"/>
        </w:rPr>
        <w:t xml:space="preserve">s.  </w:t>
      </w:r>
      <w:r w:rsidRPr="00F7263B">
        <w:rPr>
          <w:rFonts w:cs="Times New Roman"/>
          <w:sz w:val="20"/>
          <w:szCs w:val="20"/>
        </w:rPr>
        <w:t xml:space="preserve">The IBEX accounting system </w:t>
      </w:r>
      <w:r w:rsidR="00C16CC0" w:rsidRPr="00F7263B">
        <w:rPr>
          <w:rFonts w:cs="Times New Roman"/>
          <w:sz w:val="20"/>
          <w:szCs w:val="20"/>
        </w:rPr>
        <w:t>is not set up</w:t>
      </w:r>
      <w:r w:rsidRPr="00F7263B">
        <w:rPr>
          <w:rFonts w:cs="Times New Roman"/>
          <w:sz w:val="20"/>
          <w:szCs w:val="20"/>
        </w:rPr>
        <w:t xml:space="preserve"> for cities to specify the infrastructure projects </w:t>
      </w:r>
      <w:r w:rsidR="00274157" w:rsidRPr="00F7263B">
        <w:rPr>
          <w:rFonts w:cs="Times New Roman"/>
          <w:sz w:val="20"/>
          <w:szCs w:val="20"/>
        </w:rPr>
        <w:t xml:space="preserve">for which they have used </w:t>
      </w:r>
      <w:r w:rsidRPr="00F7263B">
        <w:rPr>
          <w:rFonts w:cs="Times New Roman"/>
          <w:sz w:val="20"/>
          <w:szCs w:val="20"/>
        </w:rPr>
        <w:t>Program funds</w:t>
      </w:r>
      <w:r w:rsidR="00274157" w:rsidRPr="00F7263B">
        <w:rPr>
          <w:rFonts w:cs="Times New Roman"/>
          <w:sz w:val="20"/>
          <w:szCs w:val="20"/>
        </w:rPr>
        <w:t xml:space="preserve">.  </w:t>
      </w:r>
      <w:r w:rsidR="00D531DC" w:rsidRPr="00F7263B">
        <w:rPr>
          <w:rFonts w:cs="Times New Roman"/>
          <w:sz w:val="20"/>
          <w:szCs w:val="20"/>
        </w:rPr>
        <w:t>Instead, it aggregates data for expenditure on works, goods, and services.</w:t>
      </w:r>
    </w:p>
    <w:p w:rsidR="003E7591" w:rsidRPr="00F7263B" w:rsidRDefault="003E7591" w:rsidP="003E7591">
      <w:pPr>
        <w:pStyle w:val="ListParagraph"/>
        <w:rPr>
          <w:rFonts w:cs="Times New Roman"/>
          <w:sz w:val="20"/>
          <w:szCs w:val="20"/>
        </w:rPr>
      </w:pPr>
    </w:p>
    <w:p w:rsidR="00525CEB" w:rsidRPr="00F7263B" w:rsidRDefault="003E7591" w:rsidP="0068255C">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The ULGDP II will address these challenges</w:t>
      </w:r>
      <w:r w:rsidRPr="00F7263B">
        <w:rPr>
          <w:rFonts w:cs="Times New Roman"/>
          <w:sz w:val="20"/>
          <w:szCs w:val="20"/>
        </w:rPr>
        <w:t>.  First, the Program provides considerable support t</w:t>
      </w:r>
      <w:r w:rsidR="00C87120" w:rsidRPr="00F7263B">
        <w:rPr>
          <w:rFonts w:cs="Times New Roman"/>
          <w:sz w:val="20"/>
          <w:szCs w:val="20"/>
        </w:rPr>
        <w:t xml:space="preserve">o address </w:t>
      </w:r>
      <w:r w:rsidR="007D65FE" w:rsidRPr="00F7263B">
        <w:rPr>
          <w:rFonts w:cs="Times New Roman"/>
          <w:sz w:val="20"/>
          <w:szCs w:val="20"/>
        </w:rPr>
        <w:t xml:space="preserve">institutional </w:t>
      </w:r>
      <w:r w:rsidR="00C87120" w:rsidRPr="00F7263B">
        <w:rPr>
          <w:rFonts w:cs="Times New Roman"/>
          <w:sz w:val="20"/>
          <w:szCs w:val="20"/>
        </w:rPr>
        <w:t>capacity gaps at ULGs (see section II D, below for details of the Program’s capacity building approach)</w:t>
      </w:r>
      <w:r w:rsidR="008073B5" w:rsidRPr="00F7263B">
        <w:rPr>
          <w:rFonts w:cs="Times New Roman"/>
          <w:sz w:val="20"/>
          <w:szCs w:val="20"/>
        </w:rPr>
        <w:t xml:space="preserve">.  </w:t>
      </w:r>
      <w:r w:rsidR="00C87120" w:rsidRPr="00F7263B">
        <w:rPr>
          <w:rFonts w:cs="Times New Roman"/>
          <w:sz w:val="20"/>
          <w:szCs w:val="20"/>
        </w:rPr>
        <w:t xml:space="preserve">Second, the Program provides strong incentives for the MUDHCo to </w:t>
      </w:r>
      <w:r w:rsidR="00666352" w:rsidRPr="00F7263B">
        <w:rPr>
          <w:rFonts w:cs="Times New Roman"/>
          <w:sz w:val="20"/>
          <w:szCs w:val="20"/>
        </w:rPr>
        <w:t xml:space="preserve">timely </w:t>
      </w:r>
      <w:r w:rsidR="00C87120" w:rsidRPr="00F7263B">
        <w:rPr>
          <w:rFonts w:cs="Times New Roman"/>
          <w:sz w:val="20"/>
          <w:szCs w:val="20"/>
        </w:rPr>
        <w:t xml:space="preserve">procure the services of the firm </w:t>
      </w:r>
      <w:r w:rsidR="00666352" w:rsidRPr="00F7263B">
        <w:rPr>
          <w:rFonts w:cs="Times New Roman"/>
          <w:sz w:val="20"/>
          <w:szCs w:val="20"/>
        </w:rPr>
        <w:t xml:space="preserve">carrying out the </w:t>
      </w:r>
      <w:r w:rsidR="0004490B" w:rsidRPr="00F7263B">
        <w:rPr>
          <w:rFonts w:cs="Times New Roman"/>
          <w:sz w:val="20"/>
          <w:szCs w:val="20"/>
        </w:rPr>
        <w:t>annual performance assessment (</w:t>
      </w:r>
      <w:r w:rsidR="00666352" w:rsidRPr="00F7263B">
        <w:rPr>
          <w:rFonts w:cs="Times New Roman"/>
          <w:sz w:val="20"/>
          <w:szCs w:val="20"/>
        </w:rPr>
        <w:t>APA</w:t>
      </w:r>
      <w:r w:rsidR="0004490B" w:rsidRPr="00F7263B">
        <w:rPr>
          <w:rFonts w:cs="Times New Roman"/>
          <w:sz w:val="20"/>
          <w:szCs w:val="20"/>
        </w:rPr>
        <w:t>)</w:t>
      </w:r>
      <w:r w:rsidR="007D65FE" w:rsidRPr="00F7263B">
        <w:rPr>
          <w:rFonts w:cs="Times New Roman"/>
          <w:sz w:val="20"/>
          <w:szCs w:val="20"/>
        </w:rPr>
        <w:t xml:space="preserve"> by</w:t>
      </w:r>
      <w:r w:rsidR="00666352" w:rsidRPr="00F7263B">
        <w:rPr>
          <w:rFonts w:cs="Times New Roman"/>
          <w:sz w:val="20"/>
          <w:szCs w:val="20"/>
        </w:rPr>
        <w:t xml:space="preserve"> including a </w:t>
      </w:r>
      <w:r w:rsidR="00185755" w:rsidRPr="00F7263B">
        <w:rPr>
          <w:sz w:val="20"/>
          <w:szCs w:val="20"/>
        </w:rPr>
        <w:t>d</w:t>
      </w:r>
      <w:r w:rsidR="0004490B" w:rsidRPr="00F7263B">
        <w:rPr>
          <w:sz w:val="20"/>
          <w:szCs w:val="20"/>
        </w:rPr>
        <w:t>isbursement linked indicator</w:t>
      </w:r>
      <w:r w:rsidR="0004490B" w:rsidRPr="00F7263B">
        <w:rPr>
          <w:rFonts w:cs="Times New Roman"/>
          <w:sz w:val="20"/>
          <w:szCs w:val="20"/>
        </w:rPr>
        <w:t xml:space="preserve"> (</w:t>
      </w:r>
      <w:r w:rsidR="00666352" w:rsidRPr="00F7263B">
        <w:rPr>
          <w:rFonts w:cs="Times New Roman"/>
          <w:sz w:val="20"/>
          <w:szCs w:val="20"/>
        </w:rPr>
        <w:t>DLI</w:t>
      </w:r>
      <w:r w:rsidR="0004490B" w:rsidRPr="00F7263B">
        <w:rPr>
          <w:rFonts w:cs="Times New Roman"/>
          <w:sz w:val="20"/>
          <w:szCs w:val="20"/>
        </w:rPr>
        <w:t>)</w:t>
      </w:r>
      <w:r w:rsidR="00666352" w:rsidRPr="00F7263B">
        <w:rPr>
          <w:rFonts w:cs="Times New Roman"/>
          <w:sz w:val="20"/>
          <w:szCs w:val="20"/>
        </w:rPr>
        <w:t xml:space="preserve"> focusing on this one issue</w:t>
      </w:r>
      <w:r w:rsidR="008073B5" w:rsidRPr="00F7263B">
        <w:rPr>
          <w:rFonts w:cs="Times New Roman"/>
          <w:sz w:val="20"/>
          <w:szCs w:val="20"/>
        </w:rPr>
        <w:t xml:space="preserve">.  </w:t>
      </w:r>
      <w:r w:rsidR="00666352" w:rsidRPr="00F7263B">
        <w:rPr>
          <w:rFonts w:cs="Times New Roman"/>
          <w:sz w:val="20"/>
          <w:szCs w:val="20"/>
        </w:rPr>
        <w:t>Third, Addis will not be included in the ULGDP II</w:t>
      </w:r>
      <w:r w:rsidR="008073B5" w:rsidRPr="00F7263B">
        <w:rPr>
          <w:rFonts w:cs="Times New Roman"/>
          <w:sz w:val="20"/>
          <w:szCs w:val="20"/>
        </w:rPr>
        <w:t xml:space="preserve">.  </w:t>
      </w:r>
      <w:r w:rsidR="00666352" w:rsidRPr="00F7263B">
        <w:rPr>
          <w:rFonts w:cs="Times New Roman"/>
          <w:sz w:val="20"/>
          <w:szCs w:val="20"/>
        </w:rPr>
        <w:t>Fourth,</w:t>
      </w:r>
      <w:r w:rsidR="00126FE8" w:rsidRPr="00F7263B">
        <w:rPr>
          <w:rFonts w:cs="Times New Roman"/>
          <w:sz w:val="20"/>
          <w:szCs w:val="20"/>
        </w:rPr>
        <w:t xml:space="preserve"> </w:t>
      </w:r>
      <w:r w:rsidR="00432B6A" w:rsidRPr="00F7263B">
        <w:rPr>
          <w:color w:val="000000"/>
          <w:sz w:val="20"/>
          <w:szCs w:val="20"/>
          <w:lang w:val="en-GB"/>
        </w:rPr>
        <w:t>IBEX will be used by all participating cities to record transactions and to produce reports at all levels</w:t>
      </w:r>
      <w:r w:rsidR="008073B5" w:rsidRPr="00F7263B">
        <w:rPr>
          <w:color w:val="000000"/>
          <w:sz w:val="20"/>
          <w:szCs w:val="20"/>
          <w:lang w:val="en-GB"/>
        </w:rPr>
        <w:t xml:space="preserve">.  </w:t>
      </w:r>
      <w:r w:rsidR="00432B6A" w:rsidRPr="00F7263B">
        <w:rPr>
          <w:color w:val="000000"/>
          <w:sz w:val="20"/>
          <w:szCs w:val="20"/>
          <w:lang w:val="en-GB"/>
        </w:rPr>
        <w:t xml:space="preserve">Adequate capacity building will be provided to cities to enable them to utilize this software effectively for </w:t>
      </w:r>
      <w:r w:rsidR="00274157" w:rsidRPr="00F7263B">
        <w:rPr>
          <w:color w:val="000000"/>
          <w:sz w:val="20"/>
          <w:szCs w:val="20"/>
          <w:lang w:val="en-GB"/>
        </w:rPr>
        <w:t>recording use of Program funds,</w:t>
      </w:r>
      <w:r w:rsidR="003B271D" w:rsidRPr="00F7263B">
        <w:rPr>
          <w:color w:val="000000"/>
          <w:sz w:val="20"/>
          <w:szCs w:val="20"/>
          <w:lang w:val="en-GB"/>
        </w:rPr>
        <w:t xml:space="preserve"> and will be improved to enable tracking of funds across main expenditure groups.</w:t>
      </w:r>
    </w:p>
    <w:p w:rsidR="00525CEB" w:rsidRPr="00F7263B" w:rsidRDefault="00525CEB" w:rsidP="0068255C">
      <w:pPr>
        <w:pStyle w:val="ListParagraph"/>
        <w:tabs>
          <w:tab w:val="left" w:pos="720"/>
          <w:tab w:val="left" w:pos="810"/>
        </w:tabs>
        <w:ind w:left="0"/>
        <w:jc w:val="both"/>
        <w:rPr>
          <w:rFonts w:cs="Times New Roman"/>
          <w:sz w:val="20"/>
          <w:szCs w:val="20"/>
        </w:rPr>
      </w:pPr>
    </w:p>
    <w:p w:rsidR="00525CEB" w:rsidRPr="00F7263B" w:rsidRDefault="00525CEB" w:rsidP="0068255C">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ULGDP II, the PforR Program, will have the following key features</w:t>
      </w:r>
      <w:r w:rsidRPr="00F7263B">
        <w:rPr>
          <w:rFonts w:cs="Times New Roman"/>
          <w:sz w:val="20"/>
          <w:szCs w:val="20"/>
        </w:rPr>
        <w:t xml:space="preserve">: </w:t>
      </w:r>
    </w:p>
    <w:p w:rsidR="00274157" w:rsidRPr="00F7263B" w:rsidRDefault="00274157" w:rsidP="00254260">
      <w:pPr>
        <w:pStyle w:val="ListParagraph"/>
        <w:rPr>
          <w:rFonts w:cs="Times New Roman"/>
          <w:sz w:val="20"/>
          <w:szCs w:val="20"/>
        </w:rPr>
      </w:pPr>
    </w:p>
    <w:p w:rsidR="00525CEB" w:rsidRPr="00F7263B" w:rsidRDefault="00525CEB" w:rsidP="00525CEB">
      <w:pPr>
        <w:pStyle w:val="ListParagraph"/>
        <w:numPr>
          <w:ilvl w:val="1"/>
          <w:numId w:val="9"/>
        </w:numPr>
        <w:ind w:left="1260" w:hanging="450"/>
        <w:jc w:val="both"/>
        <w:rPr>
          <w:rFonts w:cs="Times New Roman"/>
          <w:sz w:val="20"/>
          <w:szCs w:val="20"/>
        </w:rPr>
      </w:pPr>
      <w:r w:rsidRPr="00F7263B">
        <w:rPr>
          <w:rFonts w:cs="Times New Roman"/>
          <w:sz w:val="20"/>
          <w:szCs w:val="20"/>
        </w:rPr>
        <w:t>Program duration: five years: July 2014 through December 2019.</w:t>
      </w:r>
    </w:p>
    <w:p w:rsidR="00525CEB" w:rsidRPr="00F7263B" w:rsidRDefault="00525CEB" w:rsidP="00525CEB">
      <w:pPr>
        <w:pStyle w:val="ListParagraph"/>
        <w:numPr>
          <w:ilvl w:val="1"/>
          <w:numId w:val="9"/>
        </w:numPr>
        <w:ind w:left="1260" w:hanging="450"/>
        <w:jc w:val="both"/>
        <w:rPr>
          <w:rFonts w:cs="Times New Roman"/>
          <w:sz w:val="20"/>
          <w:szCs w:val="20"/>
        </w:rPr>
      </w:pPr>
      <w:r w:rsidRPr="00F7263B">
        <w:rPr>
          <w:rFonts w:cs="Times New Roman"/>
          <w:sz w:val="20"/>
          <w:szCs w:val="20"/>
        </w:rPr>
        <w:t>Program budget envelope: US$556.53 million (see table 3, below).</w:t>
      </w:r>
    </w:p>
    <w:p w:rsidR="00525CEB" w:rsidRPr="00F7263B" w:rsidRDefault="00525CEB" w:rsidP="0068255C">
      <w:pPr>
        <w:pStyle w:val="ListParagraph"/>
        <w:numPr>
          <w:ilvl w:val="1"/>
          <w:numId w:val="9"/>
        </w:numPr>
        <w:ind w:left="1260" w:hanging="450"/>
        <w:jc w:val="both"/>
        <w:rPr>
          <w:rFonts w:cs="Times New Roman"/>
          <w:sz w:val="20"/>
          <w:szCs w:val="20"/>
        </w:rPr>
      </w:pPr>
      <w:r w:rsidRPr="00F7263B">
        <w:rPr>
          <w:rFonts w:cs="Times New Roman"/>
          <w:sz w:val="20"/>
          <w:szCs w:val="20"/>
        </w:rPr>
        <w:t>Main</w:t>
      </w:r>
      <w:r w:rsidR="00126FE8" w:rsidRPr="00F7263B">
        <w:rPr>
          <w:rFonts w:cs="Times New Roman"/>
          <w:sz w:val="20"/>
          <w:szCs w:val="20"/>
        </w:rPr>
        <w:t xml:space="preserve"> </w:t>
      </w:r>
      <w:r w:rsidRPr="00F7263B">
        <w:rPr>
          <w:rFonts w:cs="Times New Roman"/>
          <w:sz w:val="20"/>
          <w:szCs w:val="20"/>
        </w:rPr>
        <w:t>expenditure items:</w:t>
      </w:r>
    </w:p>
    <w:p w:rsidR="00525CEB" w:rsidRPr="00F7263B" w:rsidRDefault="00525CEB" w:rsidP="00525CEB">
      <w:pPr>
        <w:numPr>
          <w:ilvl w:val="1"/>
          <w:numId w:val="69"/>
        </w:numPr>
        <w:spacing w:after="200"/>
        <w:ind w:left="1620"/>
        <w:contextualSpacing/>
        <w:jc w:val="both"/>
        <w:rPr>
          <w:rFonts w:cs="Times New Roman"/>
          <w:sz w:val="20"/>
          <w:szCs w:val="20"/>
        </w:rPr>
      </w:pPr>
      <w:r w:rsidRPr="00F7263B">
        <w:rPr>
          <w:rFonts w:cs="Times New Roman"/>
          <w:sz w:val="20"/>
          <w:szCs w:val="20"/>
        </w:rPr>
        <w:t>Performance based grants to 44 ULGs for urban infrastructure and services investments and capacity building (US$499.53 million)</w:t>
      </w:r>
    </w:p>
    <w:p w:rsidR="00525CEB" w:rsidRPr="00F7263B" w:rsidRDefault="00525CEB" w:rsidP="00525CEB">
      <w:pPr>
        <w:numPr>
          <w:ilvl w:val="1"/>
          <w:numId w:val="69"/>
        </w:numPr>
        <w:spacing w:after="200"/>
        <w:ind w:left="1620"/>
        <w:contextualSpacing/>
        <w:jc w:val="both"/>
        <w:rPr>
          <w:rFonts w:cs="Times New Roman"/>
          <w:sz w:val="20"/>
          <w:szCs w:val="20"/>
        </w:rPr>
      </w:pPr>
      <w:r w:rsidRPr="00F7263B">
        <w:rPr>
          <w:rFonts w:cs="Times New Roman"/>
          <w:sz w:val="20"/>
          <w:szCs w:val="20"/>
        </w:rPr>
        <w:t>Regional governments’ capacity building and oversight/support to constituent ULGs (US$30.00 million)</w:t>
      </w:r>
    </w:p>
    <w:p w:rsidR="00525CEB" w:rsidRPr="00F7263B" w:rsidRDefault="00525CEB" w:rsidP="00254260">
      <w:pPr>
        <w:numPr>
          <w:ilvl w:val="1"/>
          <w:numId w:val="69"/>
        </w:numPr>
        <w:ind w:left="1620"/>
        <w:contextualSpacing/>
        <w:jc w:val="both"/>
        <w:rPr>
          <w:rFonts w:cs="Times New Roman"/>
          <w:sz w:val="20"/>
          <w:szCs w:val="20"/>
        </w:rPr>
      </w:pPr>
      <w:r w:rsidRPr="00F7263B">
        <w:rPr>
          <w:rFonts w:cs="Times New Roman"/>
          <w:sz w:val="20"/>
          <w:szCs w:val="20"/>
        </w:rPr>
        <w:t xml:space="preserve">Support to MUDHCo to administer and coordinate the program, and </w:t>
      </w:r>
      <w:r w:rsidRPr="00F7263B">
        <w:rPr>
          <w:rFonts w:cs="Times New Roman"/>
          <w:color w:val="000000"/>
          <w:sz w:val="20"/>
          <w:szCs w:val="20"/>
          <w:lang w:val="en-GB"/>
        </w:rPr>
        <w:t>strengthen its capacity to support and guide the regions and ULGs (US$27.00 million)</w:t>
      </w:r>
      <w:r w:rsidR="00274157" w:rsidRPr="00F7263B">
        <w:rPr>
          <w:rFonts w:cs="Times New Roman"/>
          <w:color w:val="000000"/>
          <w:sz w:val="20"/>
          <w:szCs w:val="20"/>
          <w:lang w:val="en-GB"/>
        </w:rPr>
        <w:t>.</w:t>
      </w:r>
    </w:p>
    <w:p w:rsidR="00274157" w:rsidRPr="00F7263B" w:rsidRDefault="00274157" w:rsidP="00254260">
      <w:pPr>
        <w:ind w:left="1620"/>
        <w:contextualSpacing/>
        <w:jc w:val="both"/>
        <w:rPr>
          <w:rFonts w:cs="Times New Roman"/>
          <w:sz w:val="20"/>
          <w:szCs w:val="20"/>
        </w:rPr>
      </w:pPr>
    </w:p>
    <w:p w:rsidR="006D5EF1" w:rsidRDefault="00254260" w:rsidP="00254260">
      <w:pPr>
        <w:pStyle w:val="Caption"/>
        <w:rPr>
          <w:color w:val="000000"/>
          <w:lang w:val="en-GB"/>
        </w:rPr>
      </w:pPr>
      <w:bookmarkStart w:id="10" w:name="_Toc380087104"/>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3</w:t>
      </w:r>
      <w:r w:rsidR="00B845BE" w:rsidRPr="00F7263B">
        <w:fldChar w:fldCharType="end"/>
      </w:r>
      <w:r w:rsidR="00222FA4" w:rsidRPr="00F7263B">
        <w:rPr>
          <w:b w:val="0"/>
          <w:color w:val="000000"/>
          <w:lang w:val="en-GB"/>
        </w:rPr>
        <w:t>:</w:t>
      </w:r>
      <w:r w:rsidR="00222FA4" w:rsidRPr="00F7263B">
        <w:rPr>
          <w:color w:val="000000"/>
          <w:lang w:val="en-GB"/>
        </w:rPr>
        <w:t xml:space="preserve"> Program</w:t>
      </w:r>
      <w:r w:rsidR="00FC2905" w:rsidRPr="00F7263B">
        <w:rPr>
          <w:color w:val="000000"/>
          <w:lang w:val="en-GB"/>
        </w:rPr>
        <w:t xml:space="preserve"> </w:t>
      </w:r>
      <w:r w:rsidR="00222FA4" w:rsidRPr="00F7263B">
        <w:rPr>
          <w:color w:val="000000"/>
          <w:lang w:val="en-GB"/>
        </w:rPr>
        <w:t>financing (</w:t>
      </w:r>
      <w:r w:rsidR="00FC2905" w:rsidRPr="00F7263B">
        <w:rPr>
          <w:color w:val="000000"/>
          <w:lang w:val="en-GB"/>
        </w:rPr>
        <w:t>US$556.5 million)</w:t>
      </w:r>
      <w:bookmarkEnd w:id="10"/>
    </w:p>
    <w:p w:rsidR="00222FA4" w:rsidRPr="00222FA4" w:rsidRDefault="00222FA4" w:rsidP="00222FA4">
      <w:pPr>
        <w:rPr>
          <w:lang w:val="en-GB"/>
        </w:rPr>
      </w:pPr>
    </w:p>
    <w:tbl>
      <w:tblPr>
        <w:tblStyle w:val="TableGrid"/>
        <w:tblW w:w="0" w:type="auto"/>
        <w:tblInd w:w="108" w:type="dxa"/>
        <w:tblLook w:val="04A0" w:firstRow="1" w:lastRow="0" w:firstColumn="1" w:lastColumn="0" w:noHBand="0" w:noVBand="1"/>
      </w:tblPr>
      <w:tblGrid>
        <w:gridCol w:w="3870"/>
        <w:gridCol w:w="2970"/>
        <w:gridCol w:w="2520"/>
      </w:tblGrid>
      <w:tr w:rsidR="006D5EF1" w:rsidRPr="00F7263B">
        <w:tc>
          <w:tcPr>
            <w:tcW w:w="3870" w:type="dxa"/>
          </w:tcPr>
          <w:p w:rsidR="006D5EF1" w:rsidRPr="00F7263B" w:rsidRDefault="00FC2905" w:rsidP="00556F1B">
            <w:pPr>
              <w:pStyle w:val="NoSpacing"/>
              <w:spacing w:before="60" w:after="60"/>
              <w:jc w:val="both"/>
              <w:rPr>
                <w:rFonts w:ascii="Times New Roman" w:hAnsi="Times New Roman" w:cs="Times New Roman"/>
                <w:b/>
                <w:color w:val="000000"/>
                <w:sz w:val="20"/>
                <w:szCs w:val="20"/>
                <w:lang w:val="en-GB"/>
              </w:rPr>
            </w:pPr>
            <w:r w:rsidRPr="00F7263B">
              <w:rPr>
                <w:rFonts w:ascii="Times New Roman" w:hAnsi="Times New Roman" w:cs="Times New Roman"/>
                <w:b/>
                <w:color w:val="000000"/>
                <w:sz w:val="20"/>
                <w:szCs w:val="20"/>
                <w:lang w:val="en-GB"/>
              </w:rPr>
              <w:t>Source</w:t>
            </w:r>
          </w:p>
        </w:tc>
        <w:tc>
          <w:tcPr>
            <w:tcW w:w="2970" w:type="dxa"/>
          </w:tcPr>
          <w:p w:rsidR="006D5EF1" w:rsidRPr="00F7263B" w:rsidRDefault="00FC2905" w:rsidP="00254260">
            <w:pPr>
              <w:pStyle w:val="NoSpacing"/>
              <w:spacing w:before="60" w:after="60"/>
              <w:jc w:val="center"/>
              <w:rPr>
                <w:rFonts w:ascii="Times New Roman" w:hAnsi="Times New Roman" w:cs="Times New Roman"/>
                <w:b/>
                <w:color w:val="000000"/>
                <w:sz w:val="20"/>
                <w:szCs w:val="20"/>
                <w:lang w:val="en-GB"/>
              </w:rPr>
            </w:pPr>
            <w:r w:rsidRPr="00F7263B">
              <w:rPr>
                <w:rFonts w:ascii="Times New Roman" w:hAnsi="Times New Roman" w:cs="Times New Roman"/>
                <w:b/>
                <w:color w:val="000000"/>
                <w:sz w:val="20"/>
                <w:szCs w:val="20"/>
                <w:lang w:val="en-GB"/>
              </w:rPr>
              <w:t>Amount (million)</w:t>
            </w:r>
          </w:p>
        </w:tc>
        <w:tc>
          <w:tcPr>
            <w:tcW w:w="2520" w:type="dxa"/>
          </w:tcPr>
          <w:p w:rsidR="006D5EF1" w:rsidRPr="00F7263B" w:rsidRDefault="00FC2905" w:rsidP="00254260">
            <w:pPr>
              <w:pStyle w:val="NoSpacing"/>
              <w:spacing w:before="60" w:after="60"/>
              <w:jc w:val="center"/>
              <w:rPr>
                <w:rFonts w:ascii="Times New Roman" w:hAnsi="Times New Roman" w:cs="Times New Roman"/>
                <w:b/>
                <w:color w:val="000000"/>
                <w:sz w:val="20"/>
                <w:szCs w:val="20"/>
                <w:lang w:val="en-GB"/>
              </w:rPr>
            </w:pPr>
            <w:r w:rsidRPr="00F7263B">
              <w:rPr>
                <w:rFonts w:ascii="Times New Roman" w:hAnsi="Times New Roman" w:cs="Times New Roman"/>
                <w:b/>
                <w:color w:val="000000"/>
                <w:sz w:val="20"/>
                <w:szCs w:val="20"/>
                <w:lang w:val="en-GB"/>
              </w:rPr>
              <w:t>Percent of Total</w:t>
            </w:r>
          </w:p>
        </w:tc>
      </w:tr>
      <w:tr w:rsidR="006D5EF1" w:rsidRPr="00F7263B">
        <w:tc>
          <w:tcPr>
            <w:tcW w:w="3870" w:type="dxa"/>
          </w:tcPr>
          <w:p w:rsidR="006D5EF1" w:rsidRPr="00F7263B" w:rsidRDefault="00FC2905" w:rsidP="00556F1B">
            <w:pPr>
              <w:pStyle w:val="NoSpacing"/>
              <w:spacing w:before="60" w:after="60"/>
              <w:jc w:val="both"/>
              <w:rPr>
                <w:rFonts w:ascii="Times New Roman" w:hAnsi="Times New Roman" w:cs="Times New Roman"/>
                <w:color w:val="000000"/>
                <w:sz w:val="20"/>
                <w:szCs w:val="20"/>
                <w:lang w:val="en-GB"/>
              </w:rPr>
            </w:pPr>
            <w:r w:rsidRPr="00F7263B">
              <w:rPr>
                <w:rFonts w:ascii="Times New Roman" w:hAnsi="Times New Roman" w:cs="Times New Roman"/>
                <w:color w:val="000000"/>
                <w:sz w:val="20"/>
                <w:szCs w:val="20"/>
                <w:lang w:val="en-GB"/>
              </w:rPr>
              <w:t>Government</w:t>
            </w:r>
            <w:r w:rsidRPr="00F7263B">
              <w:rPr>
                <w:rStyle w:val="FootnoteReference"/>
                <w:rFonts w:ascii="Times New Roman" w:hAnsi="Times New Roman" w:cs="Times New Roman"/>
                <w:color w:val="000000"/>
                <w:sz w:val="20"/>
                <w:szCs w:val="20"/>
                <w:lang w:val="en-GB"/>
              </w:rPr>
              <w:footnoteReference w:id="11"/>
            </w:r>
          </w:p>
        </w:tc>
        <w:tc>
          <w:tcPr>
            <w:tcW w:w="2970" w:type="dxa"/>
          </w:tcPr>
          <w:p w:rsidR="006D5EF1" w:rsidRPr="00F7263B" w:rsidRDefault="00FC2905" w:rsidP="00821460">
            <w:pPr>
              <w:pStyle w:val="NoSpacing"/>
              <w:spacing w:before="60" w:after="60"/>
              <w:ind w:right="612"/>
              <w:jc w:val="center"/>
              <w:rPr>
                <w:rFonts w:ascii="Times New Roman" w:hAnsi="Times New Roman" w:cs="Times New Roman"/>
                <w:sz w:val="20"/>
                <w:szCs w:val="20"/>
              </w:rPr>
            </w:pPr>
            <w:r w:rsidRPr="00F7263B">
              <w:rPr>
                <w:rFonts w:ascii="Times New Roman" w:hAnsi="Times New Roman" w:cs="Times New Roman"/>
                <w:color w:val="000000"/>
                <w:sz w:val="20"/>
                <w:szCs w:val="20"/>
                <w:lang w:val="en-GB"/>
              </w:rPr>
              <w:t>US$176.</w:t>
            </w:r>
            <w:r w:rsidR="006813FB" w:rsidRPr="00F7263B">
              <w:rPr>
                <w:rFonts w:ascii="Times New Roman" w:hAnsi="Times New Roman" w:cs="Times New Roman"/>
                <w:sz w:val="20"/>
                <w:szCs w:val="20"/>
              </w:rPr>
              <w:t>5</w:t>
            </w:r>
            <w:r w:rsidR="008E0469" w:rsidRPr="00F7263B">
              <w:rPr>
                <w:rFonts w:ascii="Times New Roman" w:hAnsi="Times New Roman" w:cs="Times New Roman"/>
                <w:sz w:val="20"/>
                <w:szCs w:val="20"/>
              </w:rPr>
              <w:t>3</w:t>
            </w:r>
          </w:p>
        </w:tc>
        <w:tc>
          <w:tcPr>
            <w:tcW w:w="2520" w:type="dxa"/>
          </w:tcPr>
          <w:p w:rsidR="006D5EF1" w:rsidRPr="00F7263B" w:rsidRDefault="00415C22" w:rsidP="00821460">
            <w:pPr>
              <w:pStyle w:val="NoSpacing"/>
              <w:spacing w:before="60" w:after="60"/>
              <w:ind w:right="882"/>
              <w:jc w:val="right"/>
              <w:rPr>
                <w:rFonts w:ascii="Times New Roman" w:hAnsi="Times New Roman" w:cs="Times New Roman"/>
                <w:sz w:val="20"/>
                <w:szCs w:val="20"/>
              </w:rPr>
            </w:pPr>
            <w:r w:rsidRPr="00F7263B">
              <w:rPr>
                <w:rFonts w:ascii="Times New Roman" w:hAnsi="Times New Roman" w:cs="Times New Roman"/>
                <w:sz w:val="20"/>
                <w:szCs w:val="20"/>
              </w:rPr>
              <w:t>32</w:t>
            </w:r>
          </w:p>
        </w:tc>
      </w:tr>
      <w:tr w:rsidR="006D5EF1" w:rsidRPr="00F7263B">
        <w:tc>
          <w:tcPr>
            <w:tcW w:w="3870" w:type="dxa"/>
          </w:tcPr>
          <w:p w:rsidR="006D5EF1" w:rsidRPr="00F7263B" w:rsidRDefault="006D5EF1" w:rsidP="00556F1B">
            <w:pPr>
              <w:pStyle w:val="NoSpacing"/>
              <w:spacing w:before="60" w:after="60"/>
              <w:jc w:val="both"/>
              <w:rPr>
                <w:rFonts w:ascii="Times New Roman" w:hAnsi="Times New Roman" w:cs="Times New Roman"/>
                <w:sz w:val="20"/>
                <w:szCs w:val="20"/>
              </w:rPr>
            </w:pPr>
            <w:r w:rsidRPr="00F7263B">
              <w:rPr>
                <w:rFonts w:ascii="Times New Roman" w:hAnsi="Times New Roman" w:cs="Times New Roman"/>
                <w:sz w:val="20"/>
                <w:szCs w:val="20"/>
              </w:rPr>
              <w:t>IBRD/IDA</w:t>
            </w:r>
          </w:p>
        </w:tc>
        <w:tc>
          <w:tcPr>
            <w:tcW w:w="2970" w:type="dxa"/>
          </w:tcPr>
          <w:p w:rsidR="006D5EF1" w:rsidRPr="00F7263B" w:rsidRDefault="007B5BEE" w:rsidP="00821460">
            <w:pPr>
              <w:pStyle w:val="NoSpacing"/>
              <w:spacing w:before="60" w:after="60"/>
              <w:ind w:right="612"/>
              <w:jc w:val="center"/>
              <w:rPr>
                <w:rFonts w:ascii="Times New Roman" w:hAnsi="Times New Roman" w:cs="Times New Roman"/>
                <w:sz w:val="20"/>
                <w:szCs w:val="20"/>
              </w:rPr>
            </w:pPr>
            <w:r w:rsidRPr="00F7263B">
              <w:rPr>
                <w:rFonts w:ascii="Times New Roman" w:hAnsi="Times New Roman" w:cs="Times New Roman"/>
                <w:sz w:val="20"/>
                <w:szCs w:val="20"/>
              </w:rPr>
              <w:t>US$3</w:t>
            </w:r>
            <w:r w:rsidR="006813FB" w:rsidRPr="00F7263B">
              <w:rPr>
                <w:rFonts w:ascii="Times New Roman" w:hAnsi="Times New Roman" w:cs="Times New Roman"/>
                <w:sz w:val="20"/>
                <w:szCs w:val="20"/>
              </w:rPr>
              <w:t>8</w:t>
            </w:r>
            <w:r w:rsidRPr="00F7263B">
              <w:rPr>
                <w:rFonts w:ascii="Times New Roman" w:hAnsi="Times New Roman" w:cs="Times New Roman"/>
                <w:sz w:val="20"/>
                <w:szCs w:val="20"/>
              </w:rPr>
              <w:t>0</w:t>
            </w:r>
            <w:r w:rsidR="0081349E" w:rsidRPr="00F7263B">
              <w:rPr>
                <w:rFonts w:ascii="Times New Roman" w:hAnsi="Times New Roman" w:cs="Times New Roman"/>
                <w:sz w:val="20"/>
                <w:szCs w:val="20"/>
              </w:rPr>
              <w:t>.0</w:t>
            </w:r>
            <w:r w:rsidR="008E0469" w:rsidRPr="00F7263B">
              <w:rPr>
                <w:rFonts w:ascii="Times New Roman" w:hAnsi="Times New Roman" w:cs="Times New Roman"/>
                <w:sz w:val="20"/>
                <w:szCs w:val="20"/>
              </w:rPr>
              <w:t>0</w:t>
            </w:r>
          </w:p>
        </w:tc>
        <w:tc>
          <w:tcPr>
            <w:tcW w:w="2520" w:type="dxa"/>
          </w:tcPr>
          <w:p w:rsidR="006D5EF1" w:rsidRPr="00F7263B" w:rsidRDefault="00FB6F45" w:rsidP="00821460">
            <w:pPr>
              <w:pStyle w:val="NoSpacing"/>
              <w:spacing w:before="60" w:after="60"/>
              <w:ind w:right="882"/>
              <w:jc w:val="right"/>
              <w:rPr>
                <w:rFonts w:ascii="Times New Roman" w:hAnsi="Times New Roman" w:cs="Times New Roman"/>
                <w:sz w:val="20"/>
                <w:szCs w:val="20"/>
              </w:rPr>
            </w:pPr>
            <w:r w:rsidRPr="00F7263B">
              <w:rPr>
                <w:rFonts w:ascii="Times New Roman" w:hAnsi="Times New Roman" w:cs="Times New Roman"/>
                <w:sz w:val="20"/>
                <w:szCs w:val="20"/>
              </w:rPr>
              <w:t>68</w:t>
            </w:r>
          </w:p>
        </w:tc>
      </w:tr>
      <w:tr w:rsidR="006D5EF1" w:rsidRPr="00F7263B">
        <w:tc>
          <w:tcPr>
            <w:tcW w:w="3870" w:type="dxa"/>
          </w:tcPr>
          <w:p w:rsidR="006D5EF1" w:rsidRPr="00F7263B" w:rsidRDefault="006D5EF1" w:rsidP="00556F1B">
            <w:pPr>
              <w:pStyle w:val="NoSpacing"/>
              <w:spacing w:before="60" w:after="60"/>
              <w:jc w:val="both"/>
              <w:rPr>
                <w:rFonts w:ascii="Times New Roman" w:hAnsi="Times New Roman" w:cs="Times New Roman"/>
                <w:b/>
                <w:sz w:val="20"/>
                <w:szCs w:val="20"/>
              </w:rPr>
            </w:pPr>
            <w:r w:rsidRPr="00F7263B">
              <w:rPr>
                <w:rFonts w:ascii="Times New Roman" w:hAnsi="Times New Roman" w:cs="Times New Roman"/>
                <w:b/>
                <w:sz w:val="20"/>
                <w:szCs w:val="20"/>
              </w:rPr>
              <w:t>Total Program Financing</w:t>
            </w:r>
          </w:p>
        </w:tc>
        <w:tc>
          <w:tcPr>
            <w:tcW w:w="2970" w:type="dxa"/>
          </w:tcPr>
          <w:p w:rsidR="006D5EF1" w:rsidRPr="00F7263B" w:rsidRDefault="001A3854" w:rsidP="00821460">
            <w:pPr>
              <w:pStyle w:val="NoSpacing"/>
              <w:spacing w:before="60" w:after="60"/>
              <w:ind w:right="612"/>
              <w:jc w:val="center"/>
              <w:rPr>
                <w:rFonts w:ascii="Times New Roman" w:hAnsi="Times New Roman" w:cs="Times New Roman"/>
                <w:b/>
                <w:sz w:val="20"/>
                <w:szCs w:val="20"/>
              </w:rPr>
            </w:pPr>
            <w:r w:rsidRPr="00F7263B">
              <w:rPr>
                <w:rFonts w:ascii="Times New Roman" w:hAnsi="Times New Roman" w:cs="Times New Roman"/>
                <w:b/>
                <w:sz w:val="20"/>
                <w:szCs w:val="20"/>
              </w:rPr>
              <w:t>US$</w:t>
            </w:r>
            <w:r w:rsidR="00FB6F45" w:rsidRPr="00F7263B">
              <w:rPr>
                <w:rFonts w:ascii="Times New Roman" w:hAnsi="Times New Roman" w:cs="Times New Roman"/>
                <w:b/>
                <w:sz w:val="20"/>
                <w:szCs w:val="20"/>
              </w:rPr>
              <w:t>5</w:t>
            </w:r>
            <w:r w:rsidR="006813FB" w:rsidRPr="00F7263B">
              <w:rPr>
                <w:rFonts w:ascii="Times New Roman" w:hAnsi="Times New Roman" w:cs="Times New Roman"/>
                <w:b/>
                <w:sz w:val="20"/>
                <w:szCs w:val="20"/>
              </w:rPr>
              <w:t>56.5</w:t>
            </w:r>
            <w:r w:rsidR="008E0469" w:rsidRPr="00F7263B">
              <w:rPr>
                <w:rFonts w:ascii="Times New Roman" w:hAnsi="Times New Roman" w:cs="Times New Roman"/>
                <w:b/>
                <w:sz w:val="20"/>
                <w:szCs w:val="20"/>
              </w:rPr>
              <w:t>3</w:t>
            </w:r>
          </w:p>
        </w:tc>
        <w:tc>
          <w:tcPr>
            <w:tcW w:w="2520" w:type="dxa"/>
          </w:tcPr>
          <w:p w:rsidR="006D5EF1" w:rsidRPr="00F7263B" w:rsidRDefault="007B5BEE" w:rsidP="00821460">
            <w:pPr>
              <w:pStyle w:val="NoSpacing"/>
              <w:spacing w:before="60" w:after="60"/>
              <w:ind w:right="882"/>
              <w:jc w:val="right"/>
              <w:rPr>
                <w:rFonts w:ascii="Times New Roman" w:hAnsi="Times New Roman" w:cs="Times New Roman"/>
                <w:b/>
                <w:sz w:val="20"/>
                <w:szCs w:val="20"/>
              </w:rPr>
            </w:pPr>
            <w:r w:rsidRPr="00F7263B">
              <w:rPr>
                <w:rFonts w:ascii="Times New Roman" w:hAnsi="Times New Roman" w:cs="Times New Roman"/>
                <w:b/>
                <w:sz w:val="20"/>
                <w:szCs w:val="20"/>
              </w:rPr>
              <w:t>100</w:t>
            </w:r>
          </w:p>
        </w:tc>
      </w:tr>
    </w:tbl>
    <w:p w:rsidR="00C50896" w:rsidRPr="00F7263B" w:rsidRDefault="00C50896" w:rsidP="00827BD7">
      <w:pPr>
        <w:pStyle w:val="ListParagraph"/>
        <w:tabs>
          <w:tab w:val="left" w:pos="720"/>
          <w:tab w:val="left" w:pos="810"/>
        </w:tabs>
        <w:ind w:left="0"/>
        <w:jc w:val="both"/>
        <w:rPr>
          <w:rFonts w:cs="Times New Roman"/>
          <w:sz w:val="20"/>
          <w:szCs w:val="20"/>
        </w:rPr>
      </w:pPr>
    </w:p>
    <w:p w:rsidR="001D16F2" w:rsidRPr="00F7263B" w:rsidRDefault="004C754F" w:rsidP="00A1368B">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lang w:bidi="en-US"/>
        </w:rPr>
        <w:t xml:space="preserve">The </w:t>
      </w:r>
      <w:r w:rsidR="00D0377C" w:rsidRPr="00F7263B">
        <w:rPr>
          <w:rFonts w:cs="Times New Roman"/>
          <w:b/>
          <w:sz w:val="20"/>
          <w:szCs w:val="20"/>
          <w:lang w:bidi="en-US"/>
        </w:rPr>
        <w:t>performance-based</w:t>
      </w:r>
      <w:r w:rsidRPr="00F7263B">
        <w:rPr>
          <w:rFonts w:cs="Times New Roman"/>
          <w:b/>
          <w:sz w:val="20"/>
          <w:szCs w:val="20"/>
          <w:lang w:bidi="en-US"/>
        </w:rPr>
        <w:t xml:space="preserve"> grants</w:t>
      </w:r>
      <w:r w:rsidR="00356CB6" w:rsidRPr="00F7263B">
        <w:rPr>
          <w:rFonts w:cs="Times New Roman"/>
          <w:b/>
          <w:sz w:val="20"/>
          <w:szCs w:val="20"/>
          <w:lang w:bidi="en-US"/>
        </w:rPr>
        <w:t xml:space="preserve"> (including matching funds)</w:t>
      </w:r>
      <w:r w:rsidRPr="00F7263B">
        <w:rPr>
          <w:rFonts w:cs="Times New Roman"/>
          <w:b/>
          <w:sz w:val="20"/>
          <w:szCs w:val="20"/>
          <w:lang w:bidi="en-US"/>
        </w:rPr>
        <w:t xml:space="preserve"> to ULGs account for </w:t>
      </w:r>
      <w:r w:rsidR="00356CB6" w:rsidRPr="00F7263B">
        <w:rPr>
          <w:rFonts w:cs="Times New Roman"/>
          <w:b/>
          <w:sz w:val="20"/>
          <w:szCs w:val="20"/>
          <w:lang w:bidi="en-US"/>
        </w:rPr>
        <w:t>90</w:t>
      </w:r>
      <w:r w:rsidRPr="00F7263B">
        <w:rPr>
          <w:rFonts w:cs="Times New Roman"/>
          <w:b/>
          <w:sz w:val="20"/>
          <w:szCs w:val="20"/>
          <w:lang w:bidi="en-US"/>
        </w:rPr>
        <w:t xml:space="preserve"> percent of </w:t>
      </w:r>
      <w:r w:rsidR="00881C6A" w:rsidRPr="00F7263B">
        <w:rPr>
          <w:rFonts w:cs="Times New Roman"/>
          <w:b/>
          <w:sz w:val="20"/>
          <w:szCs w:val="20"/>
        </w:rPr>
        <w:t>total funding</w:t>
      </w:r>
      <w:r w:rsidR="00126FE8" w:rsidRPr="00F7263B">
        <w:rPr>
          <w:rFonts w:cs="Times New Roman"/>
          <w:b/>
          <w:sz w:val="20"/>
          <w:szCs w:val="20"/>
        </w:rPr>
        <w:t xml:space="preserve"> </w:t>
      </w:r>
      <w:r w:rsidR="000E3B7C" w:rsidRPr="00F7263B">
        <w:rPr>
          <w:rFonts w:cs="Times New Roman"/>
          <w:b/>
          <w:sz w:val="20"/>
          <w:szCs w:val="20"/>
        </w:rPr>
        <w:t>for the</w:t>
      </w:r>
      <w:r w:rsidR="00126FE8" w:rsidRPr="00F7263B">
        <w:rPr>
          <w:rFonts w:cs="Times New Roman"/>
          <w:b/>
          <w:sz w:val="20"/>
          <w:szCs w:val="20"/>
        </w:rPr>
        <w:t xml:space="preserve"> </w:t>
      </w:r>
      <w:r w:rsidRPr="00F7263B">
        <w:rPr>
          <w:rFonts w:cs="Times New Roman"/>
          <w:b/>
          <w:sz w:val="20"/>
          <w:szCs w:val="20"/>
        </w:rPr>
        <w:t>ULGPD II</w:t>
      </w:r>
      <w:r w:rsidR="008073B5" w:rsidRPr="00F7263B">
        <w:rPr>
          <w:rFonts w:cs="Times New Roman"/>
          <w:b/>
          <w:sz w:val="20"/>
          <w:szCs w:val="20"/>
        </w:rPr>
        <w:t>.</w:t>
      </w:r>
      <w:r w:rsidR="006B34C5" w:rsidRPr="00F7263B">
        <w:rPr>
          <w:rFonts w:cs="Times New Roman"/>
          <w:sz w:val="20"/>
          <w:szCs w:val="20"/>
        </w:rPr>
        <w:t xml:space="preserve">As in </w:t>
      </w:r>
      <w:r w:rsidR="000E3B7C" w:rsidRPr="00F7263B">
        <w:rPr>
          <w:rFonts w:cs="Times New Roman"/>
          <w:sz w:val="20"/>
          <w:szCs w:val="20"/>
        </w:rPr>
        <w:t xml:space="preserve">the </w:t>
      </w:r>
      <w:r w:rsidR="006B34C5" w:rsidRPr="00F7263B">
        <w:rPr>
          <w:rFonts w:cs="Times New Roman"/>
          <w:sz w:val="20"/>
          <w:szCs w:val="20"/>
        </w:rPr>
        <w:t>ULGDP, these performance-based grants are allocated according to a simple population-based formula and</w:t>
      </w:r>
      <w:r w:rsidR="00126FE8" w:rsidRPr="00F7263B">
        <w:rPr>
          <w:rFonts w:cs="Times New Roman"/>
          <w:sz w:val="20"/>
          <w:szCs w:val="20"/>
        </w:rPr>
        <w:t xml:space="preserve"> </w:t>
      </w:r>
      <w:r w:rsidR="006B34C5" w:rsidRPr="00F7263B">
        <w:rPr>
          <w:rFonts w:cs="Times New Roman"/>
          <w:sz w:val="20"/>
          <w:szCs w:val="20"/>
        </w:rPr>
        <w:t>in direct proportion to the performance of that local government</w:t>
      </w:r>
      <w:r w:rsidR="008073B5" w:rsidRPr="00F7263B">
        <w:rPr>
          <w:rFonts w:cs="Times New Roman"/>
          <w:sz w:val="20"/>
          <w:szCs w:val="20"/>
        </w:rPr>
        <w:t xml:space="preserve">.  </w:t>
      </w:r>
      <w:r w:rsidR="00881C6A" w:rsidRPr="00F7263B">
        <w:rPr>
          <w:rFonts w:cs="Times New Roman"/>
          <w:sz w:val="20"/>
          <w:szCs w:val="20"/>
        </w:rPr>
        <w:t>The annual allocation for each full grant cycle will range between US$7</w:t>
      </w:r>
      <w:r w:rsidR="00356CB6" w:rsidRPr="00F7263B">
        <w:rPr>
          <w:rFonts w:cs="Times New Roman"/>
          <w:sz w:val="20"/>
          <w:szCs w:val="20"/>
        </w:rPr>
        <w:t>8.7</w:t>
      </w:r>
      <w:r w:rsidR="00863B91" w:rsidRPr="00F7263B">
        <w:rPr>
          <w:rFonts w:cs="Times New Roman"/>
          <w:sz w:val="20"/>
          <w:szCs w:val="20"/>
        </w:rPr>
        <w:t>3</w:t>
      </w:r>
      <w:r w:rsidR="00881C6A" w:rsidRPr="00F7263B">
        <w:rPr>
          <w:rFonts w:cs="Times New Roman"/>
          <w:sz w:val="20"/>
          <w:szCs w:val="20"/>
        </w:rPr>
        <w:t xml:space="preserve"> million (IDA: </w:t>
      </w:r>
      <w:r w:rsidR="00A1368B" w:rsidRPr="00F7263B">
        <w:rPr>
          <w:rFonts w:cs="Times New Roman"/>
          <w:sz w:val="20"/>
          <w:szCs w:val="20"/>
        </w:rPr>
        <w:t>US</w:t>
      </w:r>
      <w:r w:rsidR="00881C6A" w:rsidRPr="00F7263B">
        <w:rPr>
          <w:rFonts w:cs="Times New Roman"/>
          <w:sz w:val="20"/>
          <w:szCs w:val="20"/>
        </w:rPr>
        <w:t>$</w:t>
      </w:r>
      <w:r w:rsidR="00356CB6" w:rsidRPr="00F7263B">
        <w:rPr>
          <w:rFonts w:cs="Times New Roman"/>
          <w:sz w:val="20"/>
          <w:szCs w:val="20"/>
        </w:rPr>
        <w:t>50.1</w:t>
      </w:r>
      <w:r w:rsidR="00863B91" w:rsidRPr="00F7263B">
        <w:rPr>
          <w:rFonts w:cs="Times New Roman"/>
          <w:sz w:val="20"/>
          <w:szCs w:val="20"/>
        </w:rPr>
        <w:t>3</w:t>
      </w:r>
      <w:r w:rsidR="00881C6A" w:rsidRPr="00F7263B">
        <w:rPr>
          <w:rFonts w:cs="Times New Roman"/>
          <w:sz w:val="20"/>
          <w:szCs w:val="20"/>
        </w:rPr>
        <w:t xml:space="preserve"> million</w:t>
      </w:r>
      <w:r w:rsidR="00A1368B" w:rsidRPr="00F7263B">
        <w:rPr>
          <w:rFonts w:cs="Times New Roman"/>
          <w:sz w:val="20"/>
          <w:szCs w:val="20"/>
        </w:rPr>
        <w:t>,</w:t>
      </w:r>
      <w:r w:rsidR="00126FE8" w:rsidRPr="00F7263B">
        <w:rPr>
          <w:rFonts w:cs="Times New Roman"/>
          <w:sz w:val="20"/>
          <w:szCs w:val="20"/>
        </w:rPr>
        <w:t xml:space="preserve"> </w:t>
      </w:r>
      <w:r w:rsidR="00A1368B" w:rsidRPr="00F7263B">
        <w:rPr>
          <w:rFonts w:cs="Times New Roman"/>
          <w:sz w:val="20"/>
          <w:szCs w:val="20"/>
        </w:rPr>
        <w:t>government</w:t>
      </w:r>
      <w:r w:rsidR="00881C6A" w:rsidRPr="00F7263B">
        <w:rPr>
          <w:rFonts w:cs="Times New Roman"/>
          <w:sz w:val="20"/>
          <w:szCs w:val="20"/>
        </w:rPr>
        <w:t xml:space="preserve">: </w:t>
      </w:r>
      <w:r w:rsidR="00A1368B" w:rsidRPr="00F7263B">
        <w:rPr>
          <w:rFonts w:cs="Times New Roman"/>
          <w:sz w:val="20"/>
          <w:szCs w:val="20"/>
        </w:rPr>
        <w:t>US</w:t>
      </w:r>
      <w:r w:rsidR="00881C6A" w:rsidRPr="00F7263B">
        <w:rPr>
          <w:rFonts w:cs="Times New Roman"/>
          <w:sz w:val="20"/>
          <w:szCs w:val="20"/>
        </w:rPr>
        <w:t>$</w:t>
      </w:r>
      <w:r w:rsidR="00356CB6" w:rsidRPr="00F7263B">
        <w:rPr>
          <w:rFonts w:cs="Times New Roman"/>
          <w:sz w:val="20"/>
          <w:szCs w:val="20"/>
        </w:rPr>
        <w:t>28.6</w:t>
      </w:r>
      <w:r w:rsidR="00863B91" w:rsidRPr="00F7263B">
        <w:rPr>
          <w:rFonts w:cs="Times New Roman"/>
          <w:sz w:val="20"/>
          <w:szCs w:val="20"/>
        </w:rPr>
        <w:t>0</w:t>
      </w:r>
      <w:r w:rsidR="000E3B7C" w:rsidRPr="00F7263B">
        <w:rPr>
          <w:rFonts w:cs="Times New Roman"/>
          <w:sz w:val="20"/>
          <w:szCs w:val="20"/>
        </w:rPr>
        <w:t xml:space="preserve"> million</w:t>
      </w:r>
      <w:r w:rsidR="00881C6A" w:rsidRPr="00F7263B">
        <w:rPr>
          <w:rFonts w:cs="Times New Roman"/>
          <w:sz w:val="20"/>
          <w:szCs w:val="20"/>
        </w:rPr>
        <w:t>) for</w:t>
      </w:r>
      <w:r w:rsidR="00A1368B" w:rsidRPr="00F7263B">
        <w:rPr>
          <w:rFonts w:cs="Times New Roman"/>
          <w:sz w:val="20"/>
          <w:szCs w:val="20"/>
        </w:rPr>
        <w:t xml:space="preserve"> the Program start year (fiscal 20</w:t>
      </w:r>
      <w:r w:rsidR="00881C6A" w:rsidRPr="00F7263B">
        <w:rPr>
          <w:rFonts w:cs="Times New Roman"/>
          <w:sz w:val="20"/>
          <w:szCs w:val="20"/>
        </w:rPr>
        <w:t>15) and US$1</w:t>
      </w:r>
      <w:r w:rsidR="00356CB6" w:rsidRPr="00F7263B">
        <w:rPr>
          <w:rFonts w:cs="Times New Roman"/>
          <w:sz w:val="20"/>
          <w:szCs w:val="20"/>
        </w:rPr>
        <w:t>05.2</w:t>
      </w:r>
      <w:r w:rsidR="00863B91" w:rsidRPr="00F7263B">
        <w:rPr>
          <w:rFonts w:cs="Times New Roman"/>
          <w:sz w:val="20"/>
          <w:szCs w:val="20"/>
        </w:rPr>
        <w:t>0</w:t>
      </w:r>
      <w:r w:rsidR="00881C6A" w:rsidRPr="00F7263B">
        <w:rPr>
          <w:rFonts w:cs="Times New Roman"/>
          <w:sz w:val="20"/>
          <w:szCs w:val="20"/>
        </w:rPr>
        <w:t xml:space="preserve"> million (IDA: </w:t>
      </w:r>
      <w:r w:rsidR="00A1368B" w:rsidRPr="00F7263B">
        <w:rPr>
          <w:rFonts w:cs="Times New Roman"/>
          <w:sz w:val="20"/>
          <w:szCs w:val="20"/>
        </w:rPr>
        <w:t>US</w:t>
      </w:r>
      <w:r w:rsidR="00881C6A" w:rsidRPr="00F7263B">
        <w:rPr>
          <w:rFonts w:cs="Times New Roman"/>
          <w:sz w:val="20"/>
          <w:szCs w:val="20"/>
        </w:rPr>
        <w:t>$6</w:t>
      </w:r>
      <w:r w:rsidR="00356CB6" w:rsidRPr="00F7263B">
        <w:rPr>
          <w:rFonts w:cs="Times New Roman"/>
          <w:sz w:val="20"/>
          <w:szCs w:val="20"/>
        </w:rPr>
        <w:t>8.</w:t>
      </w:r>
      <w:r w:rsidR="00863B91" w:rsidRPr="00F7263B">
        <w:rPr>
          <w:rFonts w:cs="Times New Roman"/>
          <w:sz w:val="20"/>
          <w:szCs w:val="20"/>
        </w:rPr>
        <w:t>2</w:t>
      </w:r>
      <w:r w:rsidR="00356CB6" w:rsidRPr="00F7263B">
        <w:rPr>
          <w:rFonts w:cs="Times New Roman"/>
          <w:sz w:val="20"/>
          <w:szCs w:val="20"/>
        </w:rPr>
        <w:t>2</w:t>
      </w:r>
      <w:r w:rsidR="00881C6A" w:rsidRPr="00F7263B">
        <w:rPr>
          <w:rFonts w:cs="Times New Roman"/>
          <w:sz w:val="20"/>
          <w:szCs w:val="20"/>
        </w:rPr>
        <w:t xml:space="preserve"> million</w:t>
      </w:r>
      <w:r w:rsidR="00A1368B" w:rsidRPr="00F7263B">
        <w:rPr>
          <w:rFonts w:cs="Times New Roman"/>
          <w:sz w:val="20"/>
          <w:szCs w:val="20"/>
        </w:rPr>
        <w:t>,</w:t>
      </w:r>
      <w:r w:rsidR="00126FE8" w:rsidRPr="00F7263B">
        <w:rPr>
          <w:rFonts w:cs="Times New Roman"/>
          <w:sz w:val="20"/>
          <w:szCs w:val="20"/>
        </w:rPr>
        <w:t xml:space="preserve"> </w:t>
      </w:r>
      <w:r w:rsidR="00A1368B" w:rsidRPr="00F7263B">
        <w:rPr>
          <w:rFonts w:cs="Times New Roman"/>
          <w:sz w:val="20"/>
          <w:szCs w:val="20"/>
        </w:rPr>
        <w:lastRenderedPageBreak/>
        <w:t>government</w:t>
      </w:r>
      <w:r w:rsidR="00881C6A" w:rsidRPr="00F7263B">
        <w:rPr>
          <w:rFonts w:cs="Times New Roman"/>
          <w:sz w:val="20"/>
          <w:szCs w:val="20"/>
        </w:rPr>
        <w:t xml:space="preserve">: </w:t>
      </w:r>
      <w:r w:rsidR="00A1368B" w:rsidRPr="00F7263B">
        <w:rPr>
          <w:rFonts w:cs="Times New Roman"/>
          <w:sz w:val="20"/>
          <w:szCs w:val="20"/>
        </w:rPr>
        <w:t>US</w:t>
      </w:r>
      <w:r w:rsidR="00881C6A" w:rsidRPr="00F7263B">
        <w:rPr>
          <w:rFonts w:cs="Times New Roman"/>
          <w:sz w:val="20"/>
          <w:szCs w:val="20"/>
        </w:rPr>
        <w:t>$</w:t>
      </w:r>
      <w:r w:rsidR="00356CB6" w:rsidRPr="00F7263B">
        <w:rPr>
          <w:rFonts w:cs="Times New Roman"/>
          <w:sz w:val="20"/>
          <w:szCs w:val="20"/>
        </w:rPr>
        <w:t>3</w:t>
      </w:r>
      <w:r w:rsidR="005B52A3" w:rsidRPr="00F7263B">
        <w:rPr>
          <w:rFonts w:cs="Times New Roman"/>
          <w:sz w:val="20"/>
          <w:szCs w:val="20"/>
        </w:rPr>
        <w:t>6.98</w:t>
      </w:r>
      <w:r w:rsidR="000E3B7C" w:rsidRPr="00F7263B">
        <w:rPr>
          <w:rFonts w:cs="Times New Roman"/>
          <w:sz w:val="20"/>
          <w:szCs w:val="20"/>
        </w:rPr>
        <w:t xml:space="preserve"> million</w:t>
      </w:r>
      <w:r w:rsidR="00881C6A" w:rsidRPr="00F7263B">
        <w:rPr>
          <w:rFonts w:cs="Times New Roman"/>
          <w:sz w:val="20"/>
          <w:szCs w:val="20"/>
        </w:rPr>
        <w:t>) for each of the following four years</w:t>
      </w:r>
      <w:r w:rsidR="008073B5" w:rsidRPr="00F7263B">
        <w:rPr>
          <w:rFonts w:cs="Times New Roman"/>
          <w:sz w:val="20"/>
          <w:szCs w:val="20"/>
        </w:rPr>
        <w:t xml:space="preserve">.  </w:t>
      </w:r>
      <w:r w:rsidR="003878F1" w:rsidRPr="00F7263B">
        <w:rPr>
          <w:rFonts w:cs="Times New Roman"/>
          <w:sz w:val="20"/>
          <w:szCs w:val="20"/>
        </w:rPr>
        <w:t xml:space="preserve">In the initial year </w:t>
      </w:r>
      <w:r w:rsidR="00A1368B" w:rsidRPr="00F7263B">
        <w:rPr>
          <w:rFonts w:cs="Times New Roman"/>
          <w:sz w:val="20"/>
          <w:szCs w:val="20"/>
        </w:rPr>
        <w:t xml:space="preserve">of </w:t>
      </w:r>
      <w:r w:rsidR="003878F1" w:rsidRPr="00F7263B">
        <w:rPr>
          <w:rFonts w:cs="Times New Roman"/>
          <w:sz w:val="20"/>
          <w:szCs w:val="20"/>
        </w:rPr>
        <w:t xml:space="preserve">the </w:t>
      </w:r>
      <w:r w:rsidR="00A1368B" w:rsidRPr="00F7263B">
        <w:rPr>
          <w:rFonts w:cs="Times New Roman"/>
          <w:sz w:val="20"/>
          <w:szCs w:val="20"/>
        </w:rPr>
        <w:t xml:space="preserve">Program, the </w:t>
      </w:r>
      <w:r w:rsidR="003878F1" w:rsidRPr="00F7263B">
        <w:rPr>
          <w:rFonts w:cs="Times New Roman"/>
          <w:sz w:val="20"/>
          <w:szCs w:val="20"/>
        </w:rPr>
        <w:t>26 ULGs</w:t>
      </w:r>
      <w:r w:rsidR="00A1368B" w:rsidRPr="00F7263B">
        <w:rPr>
          <w:rFonts w:cs="Times New Roman"/>
          <w:sz w:val="20"/>
          <w:szCs w:val="20"/>
        </w:rPr>
        <w:t xml:space="preserve"> that are </w:t>
      </w:r>
      <w:r w:rsidR="000E3B7C" w:rsidRPr="00F7263B">
        <w:rPr>
          <w:rFonts w:cs="Times New Roman"/>
          <w:sz w:val="20"/>
          <w:szCs w:val="20"/>
        </w:rPr>
        <w:t>entering</w:t>
      </w:r>
      <w:r w:rsidR="00A1368B" w:rsidRPr="00F7263B">
        <w:rPr>
          <w:rFonts w:cs="Times New Roman"/>
          <w:sz w:val="20"/>
          <w:szCs w:val="20"/>
        </w:rPr>
        <w:t xml:space="preserve"> the program will</w:t>
      </w:r>
      <w:r w:rsidR="003214AE" w:rsidRPr="00F7263B">
        <w:rPr>
          <w:rFonts w:cs="Times New Roman"/>
          <w:sz w:val="20"/>
          <w:szCs w:val="20"/>
        </w:rPr>
        <w:t xml:space="preserve"> receive funding based on compliance with minimum access conditions, but</w:t>
      </w:r>
      <w:r w:rsidR="00126FE8" w:rsidRPr="00F7263B">
        <w:rPr>
          <w:rFonts w:cs="Times New Roman"/>
          <w:sz w:val="20"/>
          <w:szCs w:val="20"/>
        </w:rPr>
        <w:t xml:space="preserve"> </w:t>
      </w:r>
      <w:r w:rsidR="000E3B7C" w:rsidRPr="00F7263B">
        <w:rPr>
          <w:rFonts w:cs="Times New Roman"/>
          <w:sz w:val="20"/>
          <w:szCs w:val="20"/>
        </w:rPr>
        <w:t xml:space="preserve">will not </w:t>
      </w:r>
      <w:r w:rsidR="00A87082" w:rsidRPr="00F7263B">
        <w:rPr>
          <w:rFonts w:cs="Times New Roman"/>
          <w:sz w:val="20"/>
          <w:szCs w:val="20"/>
        </w:rPr>
        <w:t>receive the funding related with the</w:t>
      </w:r>
      <w:r w:rsidR="003214AE" w:rsidRPr="00F7263B">
        <w:rPr>
          <w:rFonts w:cs="Times New Roman"/>
          <w:sz w:val="20"/>
          <w:szCs w:val="20"/>
        </w:rPr>
        <w:t xml:space="preserve"> more qualitative</w:t>
      </w:r>
      <w:r w:rsidR="00126FE8" w:rsidRPr="00F7263B">
        <w:rPr>
          <w:rFonts w:cs="Times New Roman"/>
          <w:sz w:val="20"/>
          <w:szCs w:val="20"/>
        </w:rPr>
        <w:t xml:space="preserve"> </w:t>
      </w:r>
      <w:r w:rsidR="00A1368B" w:rsidRPr="00F7263B">
        <w:rPr>
          <w:rFonts w:cs="Times New Roman"/>
          <w:sz w:val="20"/>
          <w:szCs w:val="20"/>
        </w:rPr>
        <w:t xml:space="preserve">performance </w:t>
      </w:r>
      <w:r w:rsidR="00A87082" w:rsidRPr="00F7263B">
        <w:rPr>
          <w:rFonts w:cs="Times New Roman"/>
          <w:sz w:val="20"/>
          <w:szCs w:val="20"/>
        </w:rPr>
        <w:t>measures</w:t>
      </w:r>
      <w:r w:rsidR="008073B5" w:rsidRPr="00F7263B">
        <w:rPr>
          <w:rFonts w:cs="Times New Roman"/>
          <w:sz w:val="20"/>
          <w:szCs w:val="20"/>
        </w:rPr>
        <w:t xml:space="preserve">.  </w:t>
      </w:r>
      <w:r w:rsidR="001D16F2" w:rsidRPr="00F7263B">
        <w:rPr>
          <w:rFonts w:cs="Times New Roman"/>
          <w:sz w:val="20"/>
          <w:szCs w:val="20"/>
        </w:rPr>
        <w:t>During their first year in the Program, they will receive considerable support to strengthen their capacity for effective urban management</w:t>
      </w:r>
      <w:r w:rsidR="008073B5" w:rsidRPr="00F7263B">
        <w:rPr>
          <w:rFonts w:cs="Times New Roman"/>
          <w:sz w:val="20"/>
          <w:szCs w:val="20"/>
        </w:rPr>
        <w:t xml:space="preserve">.  </w:t>
      </w:r>
      <w:r w:rsidR="001D16F2" w:rsidRPr="00F7263B">
        <w:rPr>
          <w:rFonts w:cs="Times New Roman"/>
          <w:sz w:val="20"/>
          <w:szCs w:val="20"/>
        </w:rPr>
        <w:t>Starting in the second year of the Program, the performance of the 26 new cities will be assessed through the APA, providing them with feedback on what they are doing well and what needs to be further improved.</w:t>
      </w:r>
    </w:p>
    <w:p w:rsidR="001D16F2" w:rsidRPr="00F7263B" w:rsidRDefault="001D16F2" w:rsidP="001D16F2">
      <w:pPr>
        <w:pStyle w:val="ListParagraph"/>
        <w:tabs>
          <w:tab w:val="left" w:pos="720"/>
          <w:tab w:val="left" w:pos="810"/>
        </w:tabs>
        <w:ind w:left="0"/>
        <w:jc w:val="both"/>
        <w:rPr>
          <w:rFonts w:cs="Times New Roman"/>
          <w:sz w:val="20"/>
          <w:szCs w:val="20"/>
        </w:rPr>
      </w:pPr>
    </w:p>
    <w:p w:rsidR="004C754F" w:rsidRPr="00F7263B" w:rsidRDefault="004C754F" w:rsidP="00A1368B">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On average, the Program’s IDA funds will provide about US$14.</w:t>
      </w:r>
      <w:r w:rsidR="00682C13" w:rsidRPr="00F7263B">
        <w:rPr>
          <w:rFonts w:cs="Times New Roman"/>
          <w:b/>
          <w:sz w:val="20"/>
          <w:szCs w:val="20"/>
        </w:rPr>
        <w:t>85</w:t>
      </w:r>
      <w:r w:rsidRPr="00F7263B">
        <w:rPr>
          <w:rFonts w:cs="Times New Roman"/>
          <w:b/>
          <w:sz w:val="20"/>
          <w:szCs w:val="20"/>
        </w:rPr>
        <w:t xml:space="preserve"> per capita per year for investment in urban infrastructure and services</w:t>
      </w:r>
      <w:r w:rsidR="00A1368B" w:rsidRPr="00F7263B">
        <w:rPr>
          <w:rFonts w:cs="Times New Roman"/>
          <w:sz w:val="20"/>
          <w:szCs w:val="20"/>
        </w:rPr>
        <w:t xml:space="preserve">.  </w:t>
      </w:r>
      <w:r w:rsidRPr="00F7263B">
        <w:rPr>
          <w:rFonts w:cs="Times New Roman"/>
          <w:sz w:val="20"/>
          <w:szCs w:val="20"/>
        </w:rPr>
        <w:t xml:space="preserve">When disaggregated, the IDA funds will provide about </w:t>
      </w:r>
      <w:r w:rsidR="000E4046" w:rsidRPr="00F7263B">
        <w:rPr>
          <w:rFonts w:cs="Times New Roman"/>
          <w:sz w:val="20"/>
          <w:szCs w:val="20"/>
        </w:rPr>
        <w:t>US$1</w:t>
      </w:r>
      <w:r w:rsidR="00B0591F" w:rsidRPr="00F7263B">
        <w:rPr>
          <w:rFonts w:cs="Times New Roman"/>
          <w:sz w:val="20"/>
          <w:szCs w:val="20"/>
        </w:rPr>
        <w:t>3.38</w:t>
      </w:r>
      <w:r w:rsidRPr="00F7263B">
        <w:rPr>
          <w:rFonts w:cs="Times New Roman"/>
          <w:sz w:val="20"/>
          <w:szCs w:val="20"/>
        </w:rPr>
        <w:t xml:space="preserve"> for the new 26 cities and about US$</w:t>
      </w:r>
      <w:r w:rsidR="000E4046" w:rsidRPr="00F7263B">
        <w:rPr>
          <w:rFonts w:cs="Times New Roman"/>
          <w:sz w:val="20"/>
          <w:szCs w:val="20"/>
        </w:rPr>
        <w:t>1</w:t>
      </w:r>
      <w:r w:rsidR="00B0591F" w:rsidRPr="00F7263B">
        <w:rPr>
          <w:rFonts w:cs="Times New Roman"/>
          <w:sz w:val="20"/>
          <w:szCs w:val="20"/>
        </w:rPr>
        <w:t>5.69</w:t>
      </w:r>
      <w:r w:rsidRPr="00F7263B">
        <w:rPr>
          <w:rFonts w:cs="Times New Roman"/>
          <w:sz w:val="20"/>
          <w:szCs w:val="20"/>
        </w:rPr>
        <w:t xml:space="preserve"> for the 18 ULGs currently benefiting from the Program</w:t>
      </w:r>
      <w:r w:rsidR="00A1368B" w:rsidRPr="00F7263B">
        <w:rPr>
          <w:rFonts w:cs="Times New Roman"/>
          <w:sz w:val="20"/>
          <w:szCs w:val="20"/>
        </w:rPr>
        <w:t xml:space="preserve">.  </w:t>
      </w:r>
      <w:r w:rsidRPr="00F7263B">
        <w:rPr>
          <w:rFonts w:cs="Times New Roman"/>
          <w:sz w:val="20"/>
          <w:szCs w:val="20"/>
        </w:rPr>
        <w:t xml:space="preserve">Including the financing from the regional and urban </w:t>
      </w:r>
      <w:r w:rsidR="00880A03" w:rsidRPr="00F7263B">
        <w:rPr>
          <w:rFonts w:cs="Times New Roman"/>
          <w:sz w:val="20"/>
          <w:szCs w:val="20"/>
        </w:rPr>
        <w:t xml:space="preserve">local </w:t>
      </w:r>
      <w:r w:rsidRPr="00F7263B">
        <w:rPr>
          <w:rFonts w:cs="Times New Roman"/>
          <w:sz w:val="20"/>
          <w:szCs w:val="20"/>
        </w:rPr>
        <w:t>government</w:t>
      </w:r>
      <w:r w:rsidR="000E3B7C" w:rsidRPr="00F7263B">
        <w:rPr>
          <w:rFonts w:cs="Times New Roman"/>
          <w:sz w:val="20"/>
          <w:szCs w:val="20"/>
        </w:rPr>
        <w:t>s</w:t>
      </w:r>
      <w:r w:rsidRPr="00F7263B">
        <w:rPr>
          <w:rFonts w:cs="Times New Roman"/>
          <w:sz w:val="20"/>
          <w:szCs w:val="20"/>
        </w:rPr>
        <w:t>, total Program financing will provide an average of</w:t>
      </w:r>
      <w:r w:rsidR="0014580F" w:rsidRPr="00F7263B">
        <w:rPr>
          <w:rFonts w:cs="Times New Roman"/>
          <w:sz w:val="20"/>
          <w:szCs w:val="20"/>
        </w:rPr>
        <w:t xml:space="preserve"> US$22.97 per year, </w:t>
      </w:r>
      <w:r w:rsidR="000E3B7C" w:rsidRPr="00F7263B">
        <w:rPr>
          <w:rFonts w:cs="Times New Roman"/>
          <w:sz w:val="20"/>
          <w:szCs w:val="20"/>
        </w:rPr>
        <w:t xml:space="preserve">of which the </w:t>
      </w:r>
      <w:r w:rsidR="000E4046" w:rsidRPr="00F7263B">
        <w:rPr>
          <w:rFonts w:cs="Times New Roman"/>
          <w:sz w:val="20"/>
          <w:szCs w:val="20"/>
        </w:rPr>
        <w:t xml:space="preserve">26 new cities </w:t>
      </w:r>
      <w:r w:rsidR="000E3B7C" w:rsidRPr="00F7263B">
        <w:rPr>
          <w:rFonts w:cs="Times New Roman"/>
          <w:sz w:val="20"/>
          <w:szCs w:val="20"/>
        </w:rPr>
        <w:t xml:space="preserve">will receive US$19.58 per year and the </w:t>
      </w:r>
      <w:r w:rsidRPr="00F7263B">
        <w:rPr>
          <w:rFonts w:cs="Times New Roman"/>
          <w:sz w:val="20"/>
          <w:szCs w:val="20"/>
        </w:rPr>
        <w:t>18 cities already in the Program</w:t>
      </w:r>
      <w:r w:rsidR="000E3B7C" w:rsidRPr="00F7263B">
        <w:rPr>
          <w:rFonts w:cs="Times New Roman"/>
          <w:sz w:val="20"/>
          <w:szCs w:val="20"/>
        </w:rPr>
        <w:t xml:space="preserve"> will receive US$24.88 per capita per year.</w:t>
      </w:r>
    </w:p>
    <w:p w:rsidR="00881C6A" w:rsidRPr="00F7263B" w:rsidRDefault="00881C6A" w:rsidP="00881C6A">
      <w:pPr>
        <w:pStyle w:val="ListParagraph"/>
        <w:tabs>
          <w:tab w:val="left" w:pos="720"/>
          <w:tab w:val="left" w:pos="810"/>
        </w:tabs>
        <w:ind w:left="0"/>
        <w:jc w:val="both"/>
        <w:rPr>
          <w:rFonts w:cs="Times New Roman"/>
          <w:sz w:val="20"/>
          <w:szCs w:val="20"/>
        </w:rPr>
      </w:pPr>
    </w:p>
    <w:p w:rsidR="000E41BF" w:rsidRPr="00F7263B" w:rsidRDefault="00880781" w:rsidP="00254260">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APA</w:t>
      </w:r>
      <w:r w:rsidR="00A1368B" w:rsidRPr="00F7263B">
        <w:rPr>
          <w:rFonts w:cs="Times New Roman"/>
          <w:b/>
          <w:sz w:val="20"/>
          <w:szCs w:val="20"/>
        </w:rPr>
        <w:t>s</w:t>
      </w:r>
      <w:r w:rsidR="00126FE8" w:rsidRPr="00F7263B">
        <w:rPr>
          <w:rFonts w:cs="Times New Roman"/>
          <w:b/>
          <w:sz w:val="20"/>
          <w:szCs w:val="20"/>
        </w:rPr>
        <w:t xml:space="preserve"> </w:t>
      </w:r>
      <w:r w:rsidR="00A1368B" w:rsidRPr="00F7263B">
        <w:rPr>
          <w:rFonts w:cs="Times New Roman"/>
          <w:b/>
          <w:sz w:val="20"/>
          <w:szCs w:val="20"/>
        </w:rPr>
        <w:t xml:space="preserve">will be carried out each year to </w:t>
      </w:r>
      <w:r w:rsidR="00503E92" w:rsidRPr="00F7263B">
        <w:rPr>
          <w:rFonts w:cs="Times New Roman"/>
          <w:b/>
          <w:sz w:val="20"/>
          <w:szCs w:val="20"/>
        </w:rPr>
        <w:t>review</w:t>
      </w:r>
      <w:r w:rsidR="00A1368B" w:rsidRPr="00F7263B">
        <w:rPr>
          <w:rFonts w:cs="Times New Roman"/>
          <w:b/>
          <w:sz w:val="20"/>
          <w:szCs w:val="20"/>
        </w:rPr>
        <w:t xml:space="preserve"> each city’s performance.  </w:t>
      </w:r>
      <w:r w:rsidRPr="00F7263B">
        <w:rPr>
          <w:rFonts w:cs="Times New Roman"/>
          <w:sz w:val="20"/>
          <w:szCs w:val="20"/>
        </w:rPr>
        <w:t xml:space="preserve">The APA will </w:t>
      </w:r>
      <w:r w:rsidR="00503E92" w:rsidRPr="00F7263B">
        <w:rPr>
          <w:rFonts w:cs="Times New Roman"/>
          <w:sz w:val="20"/>
          <w:szCs w:val="20"/>
        </w:rPr>
        <w:t>review</w:t>
      </w:r>
      <w:r w:rsidRPr="00F7263B">
        <w:rPr>
          <w:rFonts w:cs="Times New Roman"/>
          <w:sz w:val="20"/>
          <w:szCs w:val="20"/>
        </w:rPr>
        <w:t xml:space="preserve"> (</w:t>
      </w:r>
      <w:r w:rsidR="00503E92" w:rsidRPr="00F7263B">
        <w:rPr>
          <w:rFonts w:cs="Times New Roman"/>
          <w:sz w:val="20"/>
          <w:szCs w:val="20"/>
        </w:rPr>
        <w:t>a</w:t>
      </w:r>
      <w:r w:rsidRPr="00F7263B">
        <w:rPr>
          <w:rFonts w:cs="Times New Roman"/>
          <w:sz w:val="20"/>
          <w:szCs w:val="20"/>
        </w:rPr>
        <w:t xml:space="preserve">) a set of minimum conditions </w:t>
      </w:r>
      <w:r w:rsidR="00503E92" w:rsidRPr="00F7263B">
        <w:rPr>
          <w:rFonts w:cs="Times New Roman"/>
          <w:sz w:val="20"/>
          <w:szCs w:val="20"/>
        </w:rPr>
        <w:t>that</w:t>
      </w:r>
      <w:r w:rsidRPr="00F7263B">
        <w:rPr>
          <w:rFonts w:cs="Times New Roman"/>
          <w:sz w:val="20"/>
          <w:szCs w:val="20"/>
        </w:rPr>
        <w:t xml:space="preserve"> each ULG will be required to fulfill each year of the Program</w:t>
      </w:r>
      <w:r w:rsidR="00503E92" w:rsidRPr="00F7263B">
        <w:rPr>
          <w:rFonts w:cs="Times New Roman"/>
          <w:sz w:val="20"/>
          <w:szCs w:val="20"/>
        </w:rPr>
        <w:t>,</w:t>
      </w:r>
      <w:r w:rsidRPr="00F7263B">
        <w:rPr>
          <w:rFonts w:cs="Times New Roman"/>
          <w:sz w:val="20"/>
          <w:szCs w:val="20"/>
        </w:rPr>
        <w:t xml:space="preserve"> and (</w:t>
      </w:r>
      <w:r w:rsidR="00503E92" w:rsidRPr="00F7263B">
        <w:rPr>
          <w:rFonts w:cs="Times New Roman"/>
          <w:sz w:val="20"/>
          <w:szCs w:val="20"/>
        </w:rPr>
        <w:t>b</w:t>
      </w:r>
      <w:r w:rsidRPr="00F7263B">
        <w:rPr>
          <w:rFonts w:cs="Times New Roman"/>
          <w:sz w:val="20"/>
          <w:szCs w:val="20"/>
        </w:rPr>
        <w:t>)</w:t>
      </w:r>
      <w:r w:rsidR="00503E92" w:rsidRPr="00F7263B">
        <w:rPr>
          <w:rFonts w:cs="Times New Roman"/>
          <w:sz w:val="20"/>
          <w:szCs w:val="20"/>
        </w:rPr>
        <w:t xml:space="preserve"> a list of performance measures</w:t>
      </w:r>
      <w:r w:rsidRPr="00F7263B">
        <w:rPr>
          <w:rFonts w:cs="Times New Roman"/>
          <w:sz w:val="20"/>
          <w:szCs w:val="20"/>
        </w:rPr>
        <w:t xml:space="preserve"> which </w:t>
      </w:r>
      <w:r w:rsidR="00503E92" w:rsidRPr="00F7263B">
        <w:rPr>
          <w:rFonts w:cs="Times New Roman"/>
          <w:sz w:val="20"/>
          <w:szCs w:val="20"/>
        </w:rPr>
        <w:t>track</w:t>
      </w:r>
      <w:r w:rsidR="00126FE8" w:rsidRPr="00F7263B">
        <w:rPr>
          <w:rFonts w:cs="Times New Roman"/>
          <w:sz w:val="20"/>
          <w:szCs w:val="20"/>
        </w:rPr>
        <w:t xml:space="preserve"> </w:t>
      </w:r>
      <w:r w:rsidR="00503E92" w:rsidRPr="00F7263B">
        <w:rPr>
          <w:rFonts w:cs="Times New Roman"/>
          <w:sz w:val="20"/>
          <w:szCs w:val="20"/>
        </w:rPr>
        <w:t xml:space="preserve">each city’s </w:t>
      </w:r>
      <w:r w:rsidRPr="00F7263B">
        <w:rPr>
          <w:rFonts w:cs="Times New Roman"/>
          <w:sz w:val="20"/>
          <w:szCs w:val="20"/>
        </w:rPr>
        <w:t>progress each year</w:t>
      </w:r>
      <w:r w:rsidR="00A1368B" w:rsidRPr="00F7263B">
        <w:rPr>
          <w:rFonts w:cs="Times New Roman"/>
          <w:sz w:val="20"/>
          <w:szCs w:val="20"/>
        </w:rPr>
        <w:t xml:space="preserve">.  </w:t>
      </w:r>
      <w:r w:rsidR="00503E92" w:rsidRPr="00F7263B">
        <w:rPr>
          <w:rFonts w:cs="Times New Roman"/>
          <w:sz w:val="20"/>
          <w:szCs w:val="20"/>
        </w:rPr>
        <w:t xml:space="preserve">Minimum conditions </w:t>
      </w:r>
      <w:r w:rsidRPr="00F7263B">
        <w:rPr>
          <w:rFonts w:cs="Times New Roman"/>
          <w:sz w:val="20"/>
          <w:szCs w:val="20"/>
        </w:rPr>
        <w:t xml:space="preserve">will function like green and red lights and the </w:t>
      </w:r>
      <w:r w:rsidR="00503E92" w:rsidRPr="00F7263B">
        <w:rPr>
          <w:rFonts w:cs="Times New Roman"/>
          <w:sz w:val="20"/>
          <w:szCs w:val="20"/>
        </w:rPr>
        <w:t xml:space="preserve">performance measures </w:t>
      </w:r>
      <w:r w:rsidRPr="00F7263B">
        <w:rPr>
          <w:rFonts w:cs="Times New Roman"/>
          <w:sz w:val="20"/>
          <w:szCs w:val="20"/>
        </w:rPr>
        <w:t xml:space="preserve">will determine </w:t>
      </w:r>
      <w:r w:rsidR="00503E92" w:rsidRPr="00F7263B">
        <w:rPr>
          <w:rFonts w:cs="Times New Roman"/>
          <w:sz w:val="20"/>
          <w:szCs w:val="20"/>
        </w:rPr>
        <w:t>each city’s</w:t>
      </w:r>
      <w:r w:rsidRPr="00F7263B">
        <w:rPr>
          <w:rFonts w:cs="Times New Roman"/>
          <w:sz w:val="20"/>
          <w:szCs w:val="20"/>
        </w:rPr>
        <w:t xml:space="preserve"> score</w:t>
      </w:r>
      <w:r w:rsidR="00A1368B" w:rsidRPr="00F7263B">
        <w:rPr>
          <w:rFonts w:cs="Times New Roman"/>
          <w:sz w:val="20"/>
          <w:szCs w:val="20"/>
        </w:rPr>
        <w:t xml:space="preserve">.  </w:t>
      </w:r>
      <w:r w:rsidRPr="00F7263B">
        <w:rPr>
          <w:rFonts w:cs="Times New Roman"/>
          <w:color w:val="000000"/>
          <w:sz w:val="20"/>
          <w:szCs w:val="20"/>
        </w:rPr>
        <w:t>Key results areas measured are (</w:t>
      </w:r>
      <w:r w:rsidR="00503E92" w:rsidRPr="00F7263B">
        <w:rPr>
          <w:rFonts w:cs="Times New Roman"/>
          <w:color w:val="000000"/>
          <w:sz w:val="20"/>
          <w:szCs w:val="20"/>
        </w:rPr>
        <w:t>a</w:t>
      </w:r>
      <w:r w:rsidRPr="00F7263B">
        <w:rPr>
          <w:rFonts w:cs="Times New Roman"/>
          <w:color w:val="000000"/>
          <w:sz w:val="20"/>
          <w:szCs w:val="20"/>
        </w:rPr>
        <w:t>) participation of citizens in planning and budgeting, (</w:t>
      </w:r>
      <w:r w:rsidR="00503E92" w:rsidRPr="00F7263B">
        <w:rPr>
          <w:rFonts w:cs="Times New Roman"/>
          <w:color w:val="000000"/>
          <w:sz w:val="20"/>
          <w:szCs w:val="20"/>
        </w:rPr>
        <w:t>b</w:t>
      </w:r>
      <w:r w:rsidRPr="00F7263B">
        <w:rPr>
          <w:rFonts w:cs="Times New Roman"/>
          <w:color w:val="000000"/>
          <w:sz w:val="20"/>
          <w:szCs w:val="20"/>
        </w:rPr>
        <w:t>) fiduciary management, (</w:t>
      </w:r>
      <w:r w:rsidR="00503E92" w:rsidRPr="00F7263B">
        <w:rPr>
          <w:rFonts w:cs="Times New Roman"/>
          <w:color w:val="000000"/>
          <w:sz w:val="20"/>
          <w:szCs w:val="20"/>
        </w:rPr>
        <w:t>c</w:t>
      </w:r>
      <w:r w:rsidRPr="00F7263B">
        <w:rPr>
          <w:rFonts w:cs="Times New Roman"/>
          <w:color w:val="000000"/>
          <w:sz w:val="20"/>
          <w:szCs w:val="20"/>
        </w:rPr>
        <w:t>) mobilization of own source municipal revenues, (</w:t>
      </w:r>
      <w:r w:rsidR="00503E92" w:rsidRPr="00F7263B">
        <w:rPr>
          <w:rFonts w:cs="Times New Roman"/>
          <w:color w:val="000000"/>
          <w:sz w:val="20"/>
          <w:szCs w:val="20"/>
        </w:rPr>
        <w:t>d</w:t>
      </w:r>
      <w:r w:rsidRPr="00F7263B">
        <w:rPr>
          <w:rFonts w:cs="Times New Roman"/>
          <w:color w:val="000000"/>
          <w:sz w:val="20"/>
          <w:szCs w:val="20"/>
        </w:rPr>
        <w:t>) delivery of new infrastructure and services, and operation and maintenance of existing infrastructure and services, (</w:t>
      </w:r>
      <w:r w:rsidR="00503E92" w:rsidRPr="00F7263B">
        <w:rPr>
          <w:rFonts w:cs="Times New Roman"/>
          <w:color w:val="000000"/>
          <w:sz w:val="20"/>
          <w:szCs w:val="20"/>
        </w:rPr>
        <w:t>e</w:t>
      </w:r>
      <w:r w:rsidRPr="00F7263B">
        <w:rPr>
          <w:rFonts w:cs="Times New Roman"/>
          <w:color w:val="000000"/>
          <w:sz w:val="20"/>
          <w:szCs w:val="20"/>
        </w:rPr>
        <w:t>) accountability and oversight systems</w:t>
      </w:r>
      <w:r w:rsidR="003214AE" w:rsidRPr="00F7263B">
        <w:rPr>
          <w:rFonts w:cs="Times New Roman"/>
          <w:color w:val="000000"/>
          <w:sz w:val="20"/>
          <w:szCs w:val="20"/>
        </w:rPr>
        <w:t xml:space="preserve"> and (f) environmental and social safeguards</w:t>
      </w:r>
      <w:r w:rsidR="00A1368B" w:rsidRPr="00F7263B">
        <w:rPr>
          <w:rFonts w:cs="Times New Roman"/>
          <w:color w:val="000000"/>
          <w:sz w:val="20"/>
          <w:szCs w:val="20"/>
        </w:rPr>
        <w:t xml:space="preserve">.  </w:t>
      </w:r>
      <w:r w:rsidRPr="00F7263B">
        <w:rPr>
          <w:rFonts w:cs="Times New Roman"/>
          <w:sz w:val="20"/>
          <w:szCs w:val="20"/>
        </w:rPr>
        <w:t xml:space="preserve">The </w:t>
      </w:r>
      <w:r w:rsidR="007F4503" w:rsidRPr="00F7263B">
        <w:rPr>
          <w:rFonts w:cs="Times New Roman"/>
          <w:sz w:val="20"/>
          <w:szCs w:val="20"/>
        </w:rPr>
        <w:t xml:space="preserve">results of the </w:t>
      </w:r>
      <w:r w:rsidRPr="00F7263B">
        <w:rPr>
          <w:rFonts w:cs="Times New Roman"/>
          <w:sz w:val="20"/>
          <w:szCs w:val="20"/>
        </w:rPr>
        <w:t xml:space="preserve">APA will </w:t>
      </w:r>
      <w:r w:rsidR="007F4503" w:rsidRPr="00F7263B">
        <w:rPr>
          <w:rFonts w:cs="Times New Roman"/>
          <w:sz w:val="20"/>
          <w:szCs w:val="20"/>
        </w:rPr>
        <w:t xml:space="preserve">also </w:t>
      </w:r>
      <w:r w:rsidRPr="00F7263B">
        <w:rPr>
          <w:rFonts w:cs="Times New Roman"/>
          <w:sz w:val="20"/>
          <w:szCs w:val="20"/>
        </w:rPr>
        <w:t>be used to verify the DLIs</w:t>
      </w:r>
      <w:r w:rsidR="007F4503" w:rsidRPr="00F7263B">
        <w:rPr>
          <w:rFonts w:cs="Times New Roman"/>
          <w:sz w:val="20"/>
          <w:szCs w:val="20"/>
        </w:rPr>
        <w:t xml:space="preserve">, which are </w:t>
      </w:r>
      <w:r w:rsidRPr="00F7263B">
        <w:rPr>
          <w:rFonts w:cs="Times New Roman"/>
          <w:sz w:val="20"/>
          <w:szCs w:val="20"/>
        </w:rPr>
        <w:t>elaborated in later sections.</w:t>
      </w:r>
      <w:r w:rsidR="00126FE8" w:rsidRPr="00F7263B">
        <w:rPr>
          <w:rFonts w:cs="Times New Roman"/>
          <w:sz w:val="20"/>
          <w:szCs w:val="20"/>
        </w:rPr>
        <w:t xml:space="preserve"> </w:t>
      </w:r>
      <w:r w:rsidR="000E41BF" w:rsidRPr="00F7263B">
        <w:rPr>
          <w:rFonts w:cs="Times New Roman"/>
          <w:sz w:val="20"/>
          <w:szCs w:val="20"/>
        </w:rPr>
        <w:t>In addition, the APA</w:t>
      </w:r>
      <w:r w:rsidR="00CB0692" w:rsidRPr="00F7263B">
        <w:rPr>
          <w:rFonts w:cs="Times New Roman"/>
          <w:sz w:val="20"/>
          <w:szCs w:val="20"/>
        </w:rPr>
        <w:t>s</w:t>
      </w:r>
      <w:r w:rsidR="00126FE8" w:rsidRPr="00F7263B">
        <w:rPr>
          <w:rFonts w:cs="Times New Roman"/>
          <w:sz w:val="20"/>
          <w:szCs w:val="20"/>
        </w:rPr>
        <w:t xml:space="preserve"> </w:t>
      </w:r>
      <w:r w:rsidR="00D26275" w:rsidRPr="00F7263B">
        <w:rPr>
          <w:rFonts w:cs="Times New Roman"/>
          <w:sz w:val="20"/>
          <w:szCs w:val="20"/>
        </w:rPr>
        <w:t xml:space="preserve">will review the performance of </w:t>
      </w:r>
      <w:r w:rsidR="000E41BF" w:rsidRPr="00F7263B">
        <w:rPr>
          <w:rFonts w:cs="Times New Roman"/>
          <w:sz w:val="20"/>
          <w:szCs w:val="20"/>
        </w:rPr>
        <w:t xml:space="preserve">the regional government </w:t>
      </w:r>
      <w:r w:rsidR="004E672B" w:rsidRPr="00F7263B">
        <w:rPr>
          <w:rFonts w:cs="Times New Roman"/>
          <w:sz w:val="20"/>
          <w:szCs w:val="20"/>
        </w:rPr>
        <w:t xml:space="preserve">in the </w:t>
      </w:r>
      <w:r w:rsidR="000E41BF" w:rsidRPr="00F7263B">
        <w:rPr>
          <w:rFonts w:cs="Times New Roman"/>
          <w:sz w:val="20"/>
          <w:szCs w:val="20"/>
        </w:rPr>
        <w:t xml:space="preserve">areas of </w:t>
      </w:r>
      <w:r w:rsidR="00D26275" w:rsidRPr="00F7263B">
        <w:rPr>
          <w:rFonts w:cs="Times New Roman"/>
          <w:sz w:val="20"/>
          <w:szCs w:val="20"/>
        </w:rPr>
        <w:t xml:space="preserve">(a) capacity building, (b) </w:t>
      </w:r>
      <w:r w:rsidR="004E672B" w:rsidRPr="00F7263B">
        <w:rPr>
          <w:rFonts w:cs="Times New Roman"/>
          <w:sz w:val="20"/>
          <w:szCs w:val="20"/>
        </w:rPr>
        <w:t xml:space="preserve">carrying out timely </w:t>
      </w:r>
      <w:r w:rsidR="00CB0692" w:rsidRPr="00F7263B">
        <w:rPr>
          <w:rFonts w:cs="Times New Roman"/>
          <w:sz w:val="20"/>
          <w:szCs w:val="20"/>
        </w:rPr>
        <w:t xml:space="preserve">annual audits of ULGs, (c) </w:t>
      </w:r>
      <w:r w:rsidR="004E672B" w:rsidRPr="00F7263B">
        <w:rPr>
          <w:rFonts w:cs="Times New Roman"/>
          <w:sz w:val="20"/>
          <w:szCs w:val="20"/>
        </w:rPr>
        <w:t xml:space="preserve">performing </w:t>
      </w:r>
      <w:r w:rsidR="00CB0692" w:rsidRPr="00F7263B">
        <w:rPr>
          <w:rFonts w:cs="Times New Roman"/>
          <w:sz w:val="20"/>
          <w:szCs w:val="20"/>
        </w:rPr>
        <w:t>social and environmental audits</w:t>
      </w:r>
      <w:r w:rsidR="004E672B" w:rsidRPr="00F7263B">
        <w:rPr>
          <w:rFonts w:cs="Times New Roman"/>
          <w:sz w:val="20"/>
          <w:szCs w:val="20"/>
        </w:rPr>
        <w:t>,</w:t>
      </w:r>
      <w:r w:rsidR="00CB0692" w:rsidRPr="00F7263B">
        <w:rPr>
          <w:rFonts w:cs="Times New Roman"/>
          <w:sz w:val="20"/>
          <w:szCs w:val="20"/>
        </w:rPr>
        <w:t xml:space="preserve"> and (d) support</w:t>
      </w:r>
      <w:r w:rsidR="004E672B" w:rsidRPr="00F7263B">
        <w:rPr>
          <w:rFonts w:cs="Times New Roman"/>
          <w:sz w:val="20"/>
          <w:szCs w:val="20"/>
        </w:rPr>
        <w:t>ing</w:t>
      </w:r>
      <w:r w:rsidR="00CB0692" w:rsidRPr="00F7263B">
        <w:rPr>
          <w:rFonts w:cs="Times New Roman"/>
          <w:sz w:val="20"/>
          <w:szCs w:val="20"/>
        </w:rPr>
        <w:t xml:space="preserve"> ULGs</w:t>
      </w:r>
      <w:r w:rsidR="00227AB9" w:rsidRPr="00F7263B">
        <w:rPr>
          <w:rFonts w:cs="Times New Roman"/>
          <w:sz w:val="20"/>
          <w:szCs w:val="20"/>
        </w:rPr>
        <w:t>’</w:t>
      </w:r>
      <w:r w:rsidR="00126FE8" w:rsidRPr="00F7263B">
        <w:rPr>
          <w:rFonts w:cs="Times New Roman"/>
          <w:sz w:val="20"/>
          <w:szCs w:val="20"/>
        </w:rPr>
        <w:t xml:space="preserve"> </w:t>
      </w:r>
      <w:r w:rsidR="004E672B" w:rsidRPr="00F7263B">
        <w:rPr>
          <w:rFonts w:cs="Times New Roman"/>
          <w:sz w:val="20"/>
          <w:szCs w:val="20"/>
        </w:rPr>
        <w:t>with respect to</w:t>
      </w:r>
      <w:r w:rsidR="00227AB9" w:rsidRPr="00F7263B">
        <w:rPr>
          <w:rFonts w:cs="Times New Roman"/>
          <w:sz w:val="20"/>
          <w:szCs w:val="20"/>
        </w:rPr>
        <w:t xml:space="preserve"> urban</w:t>
      </w:r>
      <w:r w:rsidR="00CB0692" w:rsidRPr="00F7263B">
        <w:rPr>
          <w:rFonts w:cs="Times New Roman"/>
          <w:sz w:val="20"/>
          <w:szCs w:val="20"/>
        </w:rPr>
        <w:t xml:space="preserve"> revenue mobilization. </w:t>
      </w:r>
    </w:p>
    <w:p w:rsidR="00156D53" w:rsidRPr="00F7263B" w:rsidRDefault="00156D53" w:rsidP="00556F1B">
      <w:pPr>
        <w:pStyle w:val="ListParagraph"/>
        <w:tabs>
          <w:tab w:val="left" w:pos="720"/>
          <w:tab w:val="left" w:pos="810"/>
        </w:tabs>
        <w:ind w:left="0"/>
        <w:jc w:val="both"/>
        <w:rPr>
          <w:rFonts w:cs="Times New Roman"/>
          <w:i/>
          <w:sz w:val="20"/>
          <w:szCs w:val="20"/>
        </w:rPr>
      </w:pPr>
    </w:p>
    <w:p w:rsidR="00412197" w:rsidRPr="00F7263B" w:rsidRDefault="00412197" w:rsidP="00556F1B">
      <w:pPr>
        <w:pStyle w:val="ListParagraph"/>
        <w:tabs>
          <w:tab w:val="left" w:pos="720"/>
          <w:tab w:val="left" w:pos="810"/>
        </w:tabs>
        <w:ind w:left="0"/>
        <w:jc w:val="both"/>
        <w:rPr>
          <w:rFonts w:cs="Times New Roman"/>
          <w:i/>
          <w:sz w:val="20"/>
          <w:szCs w:val="20"/>
        </w:rPr>
      </w:pPr>
      <w:r w:rsidRPr="00F7263B">
        <w:rPr>
          <w:rFonts w:cs="Times New Roman"/>
          <w:i/>
          <w:sz w:val="20"/>
          <w:szCs w:val="20"/>
        </w:rPr>
        <w:t>Comparing ULGDP and ULGDP II</w:t>
      </w:r>
    </w:p>
    <w:p w:rsidR="00412197" w:rsidRPr="00F7263B" w:rsidRDefault="00412197" w:rsidP="00556F1B">
      <w:pPr>
        <w:pStyle w:val="ListParagraph"/>
        <w:tabs>
          <w:tab w:val="left" w:pos="720"/>
          <w:tab w:val="left" w:pos="810"/>
        </w:tabs>
        <w:ind w:left="0"/>
        <w:jc w:val="both"/>
        <w:rPr>
          <w:rFonts w:cs="Times New Roman"/>
          <w:b/>
          <w:sz w:val="20"/>
          <w:szCs w:val="20"/>
        </w:rPr>
      </w:pPr>
    </w:p>
    <w:p w:rsidR="00412197" w:rsidRPr="00F7263B" w:rsidRDefault="007F4503" w:rsidP="00D92D63">
      <w:pPr>
        <w:pStyle w:val="ListParagraph"/>
        <w:numPr>
          <w:ilvl w:val="0"/>
          <w:numId w:val="9"/>
        </w:numPr>
        <w:tabs>
          <w:tab w:val="left" w:pos="720"/>
          <w:tab w:val="left" w:pos="810"/>
        </w:tabs>
        <w:ind w:left="0" w:firstLine="0"/>
        <w:jc w:val="both"/>
        <w:rPr>
          <w:rFonts w:cs="Times New Roman"/>
          <w:sz w:val="20"/>
          <w:szCs w:val="20"/>
        </w:rPr>
      </w:pPr>
      <w:r w:rsidRPr="00F7263B">
        <w:rPr>
          <w:rFonts w:cs="Times New Roman"/>
          <w:b/>
          <w:sz w:val="20"/>
          <w:szCs w:val="20"/>
        </w:rPr>
        <w:t xml:space="preserve">The </w:t>
      </w:r>
      <w:r w:rsidR="00412197" w:rsidRPr="00F7263B">
        <w:rPr>
          <w:rFonts w:cs="Times New Roman"/>
          <w:b/>
          <w:sz w:val="20"/>
          <w:szCs w:val="20"/>
        </w:rPr>
        <w:t>ULGDP II will maintain m</w:t>
      </w:r>
      <w:r w:rsidR="00DD1140" w:rsidRPr="00F7263B">
        <w:rPr>
          <w:rFonts w:cs="Times New Roman"/>
          <w:b/>
          <w:sz w:val="20"/>
          <w:szCs w:val="20"/>
        </w:rPr>
        <w:t>any</w:t>
      </w:r>
      <w:r w:rsidR="00412197" w:rsidRPr="00F7263B">
        <w:rPr>
          <w:rFonts w:cs="Times New Roman"/>
          <w:b/>
          <w:sz w:val="20"/>
          <w:szCs w:val="20"/>
        </w:rPr>
        <w:t xml:space="preserve"> of the design features of ULGDP</w:t>
      </w:r>
      <w:r w:rsidR="00B17066" w:rsidRPr="00F7263B">
        <w:rPr>
          <w:rFonts w:cs="Times New Roman"/>
          <w:b/>
          <w:sz w:val="20"/>
          <w:szCs w:val="20"/>
        </w:rPr>
        <w:t>.</w:t>
      </w:r>
      <w:r w:rsidR="00B17066" w:rsidRPr="00F7263B">
        <w:rPr>
          <w:rFonts w:cs="Times New Roman"/>
          <w:sz w:val="20"/>
          <w:szCs w:val="20"/>
        </w:rPr>
        <w:t xml:space="preserve">Theseinclude </w:t>
      </w:r>
      <w:r w:rsidR="00412197" w:rsidRPr="00F7263B">
        <w:rPr>
          <w:rFonts w:cs="Times New Roman"/>
          <w:sz w:val="20"/>
          <w:szCs w:val="20"/>
        </w:rPr>
        <w:t>the performance orientation and the measurement of progress and results through independent annual performance assessments</w:t>
      </w:r>
      <w:r w:rsidR="00A1368B" w:rsidRPr="00F7263B">
        <w:rPr>
          <w:rFonts w:cs="Times New Roman"/>
          <w:sz w:val="20"/>
          <w:szCs w:val="20"/>
        </w:rPr>
        <w:t xml:space="preserve">.  </w:t>
      </w:r>
      <w:r w:rsidR="00412197" w:rsidRPr="00F7263B">
        <w:rPr>
          <w:rFonts w:cs="Times New Roman"/>
          <w:sz w:val="20"/>
          <w:szCs w:val="20"/>
        </w:rPr>
        <w:t xml:space="preserve">Also similar to the ULGDP, </w:t>
      </w:r>
      <w:r w:rsidRPr="00F7263B">
        <w:rPr>
          <w:rFonts w:cs="Times New Roman"/>
          <w:sz w:val="20"/>
          <w:szCs w:val="20"/>
        </w:rPr>
        <w:t xml:space="preserve">ULGs may </w:t>
      </w:r>
      <w:r w:rsidR="00412197" w:rsidRPr="00F7263B">
        <w:rPr>
          <w:rFonts w:cs="Times New Roman"/>
          <w:sz w:val="20"/>
          <w:szCs w:val="20"/>
        </w:rPr>
        <w:t xml:space="preserve">use Program funds </w:t>
      </w:r>
      <w:r w:rsidRPr="00F7263B">
        <w:rPr>
          <w:rFonts w:cs="Times New Roman"/>
          <w:sz w:val="20"/>
          <w:szCs w:val="20"/>
        </w:rPr>
        <w:t xml:space="preserve">only </w:t>
      </w:r>
      <w:r w:rsidR="00412197" w:rsidRPr="00F7263B">
        <w:rPr>
          <w:rFonts w:cs="Times New Roman"/>
          <w:sz w:val="20"/>
          <w:szCs w:val="20"/>
        </w:rPr>
        <w:t>for activities specified in the investment</w:t>
      </w:r>
      <w:r w:rsidR="003236B6" w:rsidRPr="00F7263B">
        <w:rPr>
          <w:rFonts w:cs="Times New Roman"/>
          <w:sz w:val="20"/>
          <w:szCs w:val="20"/>
        </w:rPr>
        <w:t xml:space="preserve"> menu</w:t>
      </w:r>
      <w:r w:rsidRPr="00F7263B">
        <w:rPr>
          <w:rFonts w:cs="Times New Roman"/>
          <w:sz w:val="20"/>
          <w:szCs w:val="20"/>
        </w:rPr>
        <w:t xml:space="preserve">, including </w:t>
      </w:r>
      <w:r w:rsidR="003236B6" w:rsidRPr="00F7263B">
        <w:rPr>
          <w:rFonts w:cs="Times New Roman"/>
          <w:sz w:val="20"/>
          <w:szCs w:val="20"/>
        </w:rPr>
        <w:t>urban roads and drainage, water supply and sanitation services, public parks, street lighting</w:t>
      </w:r>
      <w:r w:rsidRPr="00F7263B">
        <w:rPr>
          <w:rFonts w:cs="Times New Roman"/>
          <w:sz w:val="20"/>
          <w:szCs w:val="20"/>
        </w:rPr>
        <w:t xml:space="preserve">, and other core urban infrastructure and </w:t>
      </w:r>
      <w:r w:rsidR="003236B6" w:rsidRPr="00F7263B">
        <w:rPr>
          <w:rFonts w:cs="Times New Roman"/>
          <w:sz w:val="20"/>
          <w:szCs w:val="20"/>
        </w:rPr>
        <w:t xml:space="preserve">capacity building activities </w:t>
      </w:r>
      <w:r w:rsidR="00412197" w:rsidRPr="00F7263B">
        <w:rPr>
          <w:rFonts w:cs="Times New Roman"/>
          <w:sz w:val="20"/>
          <w:szCs w:val="20"/>
        </w:rPr>
        <w:t>menu(seeannex 1)</w:t>
      </w:r>
      <w:r w:rsidR="00A1368B" w:rsidRPr="00F7263B">
        <w:rPr>
          <w:rFonts w:cs="Times New Roman"/>
          <w:sz w:val="20"/>
          <w:szCs w:val="20"/>
        </w:rPr>
        <w:t xml:space="preserve">.  </w:t>
      </w:r>
      <w:r w:rsidRPr="00F7263B">
        <w:rPr>
          <w:rFonts w:cs="Times New Roman"/>
          <w:sz w:val="20"/>
          <w:szCs w:val="20"/>
        </w:rPr>
        <w:t>C</w:t>
      </w:r>
      <w:r w:rsidR="00412197" w:rsidRPr="00F7263B">
        <w:rPr>
          <w:rFonts w:cs="Times New Roman"/>
          <w:sz w:val="20"/>
          <w:szCs w:val="20"/>
        </w:rPr>
        <w:t>ities cannot use Program funds for investments that could have significant negative environmental impacts or that which would result in the resettlement of more than 200 people</w:t>
      </w:r>
      <w:r w:rsidR="00A1368B" w:rsidRPr="00F7263B">
        <w:rPr>
          <w:rFonts w:cs="Times New Roman"/>
          <w:sz w:val="20"/>
          <w:szCs w:val="20"/>
        </w:rPr>
        <w:t xml:space="preserve">.  </w:t>
      </w:r>
      <w:r w:rsidR="00412197" w:rsidRPr="00F7263B">
        <w:rPr>
          <w:rFonts w:cs="Times New Roman"/>
          <w:sz w:val="20"/>
          <w:szCs w:val="20"/>
        </w:rPr>
        <w:t>Compliance with the investment</w:t>
      </w:r>
      <w:r w:rsidR="00D42F39" w:rsidRPr="00F7263B">
        <w:rPr>
          <w:rFonts w:cs="Times New Roman"/>
          <w:sz w:val="20"/>
          <w:szCs w:val="20"/>
        </w:rPr>
        <w:t xml:space="preserve"> and capacity building activities</w:t>
      </w:r>
      <w:r w:rsidR="00412197" w:rsidRPr="00F7263B">
        <w:rPr>
          <w:rFonts w:cs="Times New Roman"/>
          <w:sz w:val="20"/>
          <w:szCs w:val="20"/>
        </w:rPr>
        <w:t xml:space="preserve"> menu will be a minimum condition and be verified </w:t>
      </w:r>
      <w:r w:rsidRPr="00F7263B">
        <w:rPr>
          <w:rFonts w:cs="Times New Roman"/>
          <w:sz w:val="20"/>
          <w:szCs w:val="20"/>
        </w:rPr>
        <w:t xml:space="preserve">each year </w:t>
      </w:r>
      <w:r w:rsidR="00412197" w:rsidRPr="00F7263B">
        <w:rPr>
          <w:rFonts w:cs="Times New Roman"/>
          <w:sz w:val="20"/>
          <w:szCs w:val="20"/>
        </w:rPr>
        <w:t>through the APA</w:t>
      </w:r>
      <w:r w:rsidRPr="00F7263B">
        <w:rPr>
          <w:rFonts w:cs="Times New Roman"/>
          <w:sz w:val="20"/>
          <w:szCs w:val="20"/>
        </w:rPr>
        <w:t xml:space="preserve">.  </w:t>
      </w:r>
      <w:r w:rsidR="00412197" w:rsidRPr="00F7263B">
        <w:rPr>
          <w:rFonts w:cs="Times New Roman"/>
          <w:sz w:val="20"/>
          <w:szCs w:val="20"/>
        </w:rPr>
        <w:t>A</w:t>
      </w:r>
      <w:r w:rsidRPr="00F7263B">
        <w:rPr>
          <w:rFonts w:cs="Times New Roman"/>
          <w:sz w:val="20"/>
          <w:szCs w:val="20"/>
        </w:rPr>
        <w:t xml:space="preserve"> city </w:t>
      </w:r>
      <w:r w:rsidR="00412197" w:rsidRPr="00F7263B">
        <w:rPr>
          <w:rFonts w:cs="Times New Roman"/>
          <w:sz w:val="20"/>
          <w:szCs w:val="20"/>
        </w:rPr>
        <w:t>that has used Program funds for activities outside of the</w:t>
      </w:r>
      <w:r w:rsidR="0020334A" w:rsidRPr="00F7263B">
        <w:rPr>
          <w:rFonts w:cs="Times New Roman"/>
          <w:sz w:val="20"/>
          <w:szCs w:val="20"/>
        </w:rPr>
        <w:t>se</w:t>
      </w:r>
      <w:r w:rsidR="00412197" w:rsidRPr="00F7263B">
        <w:rPr>
          <w:rFonts w:cs="Times New Roman"/>
          <w:sz w:val="20"/>
          <w:szCs w:val="20"/>
        </w:rPr>
        <w:t xml:space="preserve"> menu</w:t>
      </w:r>
      <w:r w:rsidR="0020334A" w:rsidRPr="00F7263B">
        <w:rPr>
          <w:rFonts w:cs="Times New Roman"/>
          <w:sz w:val="20"/>
          <w:szCs w:val="20"/>
        </w:rPr>
        <w:t>s</w:t>
      </w:r>
      <w:r w:rsidR="00412197" w:rsidRPr="00F7263B">
        <w:rPr>
          <w:rFonts w:cs="Times New Roman"/>
          <w:sz w:val="20"/>
          <w:szCs w:val="20"/>
        </w:rPr>
        <w:t xml:space="preserve"> will not receive Program funds for the following year.</w:t>
      </w:r>
    </w:p>
    <w:p w:rsidR="000127C9" w:rsidRPr="00F7263B" w:rsidRDefault="000127C9" w:rsidP="0068255C">
      <w:pPr>
        <w:pStyle w:val="ListParagraph"/>
        <w:tabs>
          <w:tab w:val="left" w:pos="720"/>
          <w:tab w:val="left" w:pos="810"/>
        </w:tabs>
        <w:ind w:left="0"/>
        <w:jc w:val="both"/>
        <w:rPr>
          <w:sz w:val="20"/>
          <w:szCs w:val="20"/>
        </w:rPr>
      </w:pPr>
    </w:p>
    <w:p w:rsidR="000127C9" w:rsidRPr="00F7263B" w:rsidRDefault="000127C9" w:rsidP="000127C9">
      <w:pPr>
        <w:pStyle w:val="ListParagraph"/>
        <w:numPr>
          <w:ilvl w:val="0"/>
          <w:numId w:val="9"/>
        </w:numPr>
        <w:tabs>
          <w:tab w:val="left" w:pos="720"/>
          <w:tab w:val="left" w:pos="810"/>
        </w:tabs>
        <w:ind w:left="0" w:firstLine="0"/>
        <w:jc w:val="both"/>
        <w:rPr>
          <w:sz w:val="20"/>
          <w:szCs w:val="20"/>
        </w:rPr>
      </w:pPr>
      <w:r w:rsidRPr="00F7263B">
        <w:rPr>
          <w:rFonts w:cs="Times New Roman"/>
          <w:b/>
          <w:color w:val="000000"/>
          <w:sz w:val="20"/>
          <w:szCs w:val="20"/>
        </w:rPr>
        <w:t xml:space="preserve">ULGDP II will consolidate and expand the achievements </w:t>
      </w:r>
      <w:r w:rsidR="001218D2" w:rsidRPr="00F7263B">
        <w:rPr>
          <w:rFonts w:cs="Times New Roman"/>
          <w:b/>
          <w:color w:val="000000"/>
          <w:sz w:val="20"/>
          <w:szCs w:val="20"/>
        </w:rPr>
        <w:t>with respect to social accountability</w:t>
      </w:r>
      <w:r w:rsidRPr="00F7263B">
        <w:rPr>
          <w:rFonts w:cs="Times New Roman"/>
          <w:b/>
          <w:color w:val="000000"/>
          <w:sz w:val="20"/>
          <w:szCs w:val="20"/>
        </w:rPr>
        <w:t xml:space="preserve">under </w:t>
      </w:r>
      <w:r w:rsidR="00C77660" w:rsidRPr="00F7263B">
        <w:rPr>
          <w:rFonts w:cs="Times New Roman"/>
          <w:b/>
          <w:color w:val="000000"/>
          <w:sz w:val="20"/>
          <w:szCs w:val="20"/>
        </w:rPr>
        <w:t xml:space="preserve">the </w:t>
      </w:r>
      <w:r w:rsidRPr="00F7263B">
        <w:rPr>
          <w:rFonts w:cs="Times New Roman"/>
          <w:b/>
          <w:color w:val="000000"/>
          <w:sz w:val="20"/>
          <w:szCs w:val="20"/>
        </w:rPr>
        <w:t>ULGDP</w:t>
      </w:r>
      <w:r w:rsidRPr="00F7263B">
        <w:rPr>
          <w:rFonts w:cs="Times New Roman"/>
          <w:color w:val="000000"/>
          <w:sz w:val="20"/>
          <w:szCs w:val="20"/>
        </w:rPr>
        <w:t xml:space="preserve">. In particular, the </w:t>
      </w:r>
      <w:r w:rsidR="00C77660" w:rsidRPr="00F7263B">
        <w:rPr>
          <w:rFonts w:cs="Times New Roman"/>
          <w:color w:val="000000"/>
          <w:sz w:val="20"/>
          <w:szCs w:val="20"/>
        </w:rPr>
        <w:t xml:space="preserve">ULGDP II will further strengthen the </w:t>
      </w:r>
      <w:r w:rsidRPr="00F7263B">
        <w:rPr>
          <w:rFonts w:cs="Times New Roman"/>
          <w:color w:val="000000"/>
          <w:sz w:val="20"/>
          <w:szCs w:val="20"/>
        </w:rPr>
        <w:t>engagement between ULGs and citizens,</w:t>
      </w:r>
      <w:r w:rsidR="00C77660" w:rsidRPr="00F7263B">
        <w:rPr>
          <w:rFonts w:cs="Times New Roman"/>
          <w:color w:val="000000"/>
          <w:sz w:val="20"/>
          <w:szCs w:val="20"/>
        </w:rPr>
        <w:t xml:space="preserve"> by</w:t>
      </w:r>
      <w:r w:rsidRPr="00F7263B">
        <w:rPr>
          <w:rFonts w:cs="Times New Roman"/>
          <w:color w:val="000000"/>
          <w:sz w:val="20"/>
          <w:szCs w:val="20"/>
        </w:rPr>
        <w:t xml:space="preserve"> promoting participatory budgeting, financial transparency</w:t>
      </w:r>
      <w:r w:rsidR="00C77660" w:rsidRPr="00F7263B">
        <w:rPr>
          <w:rFonts w:cs="Times New Roman"/>
          <w:color w:val="000000"/>
          <w:sz w:val="20"/>
          <w:szCs w:val="20"/>
        </w:rPr>
        <w:t>,</w:t>
      </w:r>
      <w:r w:rsidRPr="00F7263B">
        <w:rPr>
          <w:rFonts w:cs="Times New Roman"/>
          <w:color w:val="000000"/>
          <w:sz w:val="20"/>
          <w:szCs w:val="20"/>
        </w:rPr>
        <w:t xml:space="preserve"> and publication of local government budgets. </w:t>
      </w:r>
      <w:r w:rsidR="00C77660" w:rsidRPr="00F7263B">
        <w:rPr>
          <w:rFonts w:cs="Times New Roman"/>
          <w:color w:val="000000"/>
          <w:sz w:val="20"/>
          <w:szCs w:val="20"/>
        </w:rPr>
        <w:t xml:space="preserve"> T</w:t>
      </w:r>
      <w:r w:rsidRPr="00F7263B">
        <w:rPr>
          <w:rFonts w:cs="Times New Roman"/>
          <w:color w:val="000000"/>
          <w:sz w:val="20"/>
          <w:szCs w:val="20"/>
        </w:rPr>
        <w:t xml:space="preserve">he rigor of the </w:t>
      </w:r>
      <w:r w:rsidR="00C77660" w:rsidRPr="00F7263B">
        <w:rPr>
          <w:rFonts w:cs="Times New Roman"/>
          <w:color w:val="000000"/>
          <w:sz w:val="20"/>
          <w:szCs w:val="20"/>
        </w:rPr>
        <w:t xml:space="preserve">social </w:t>
      </w:r>
      <w:r w:rsidRPr="00F7263B">
        <w:rPr>
          <w:rFonts w:cs="Times New Roman"/>
          <w:color w:val="000000"/>
          <w:sz w:val="20"/>
          <w:szCs w:val="20"/>
        </w:rPr>
        <w:t xml:space="preserve">accountability measures </w:t>
      </w:r>
      <w:r w:rsidR="00C77660" w:rsidRPr="00F7263B">
        <w:rPr>
          <w:rFonts w:cs="Times New Roman"/>
          <w:color w:val="000000"/>
          <w:sz w:val="20"/>
          <w:szCs w:val="20"/>
        </w:rPr>
        <w:t>in</w:t>
      </w:r>
      <w:r w:rsidRPr="00F7263B">
        <w:rPr>
          <w:rFonts w:cs="Times New Roman"/>
          <w:color w:val="000000"/>
          <w:sz w:val="20"/>
          <w:szCs w:val="20"/>
        </w:rPr>
        <w:t>the Program’s performance system</w:t>
      </w:r>
      <w:r w:rsidR="00C77660" w:rsidRPr="00F7263B">
        <w:rPr>
          <w:rFonts w:cs="Times New Roman"/>
          <w:color w:val="000000"/>
          <w:sz w:val="20"/>
          <w:szCs w:val="20"/>
        </w:rPr>
        <w:t xml:space="preserve"> will be strengthened.  This</w:t>
      </w:r>
      <w:r w:rsidRPr="00F7263B">
        <w:rPr>
          <w:rFonts w:cs="Times New Roman"/>
          <w:color w:val="000000"/>
          <w:sz w:val="20"/>
          <w:szCs w:val="20"/>
        </w:rPr>
        <w:t xml:space="preserve"> will require, among other things</w:t>
      </w:r>
      <w:r w:rsidR="00C77660" w:rsidRPr="00F7263B">
        <w:rPr>
          <w:rFonts w:cs="Times New Roman"/>
          <w:color w:val="000000"/>
          <w:sz w:val="20"/>
          <w:szCs w:val="20"/>
        </w:rPr>
        <w:t>,</w:t>
      </w:r>
      <w:r w:rsidRPr="00F7263B">
        <w:rPr>
          <w:rFonts w:cs="Times New Roman"/>
          <w:color w:val="000000"/>
          <w:sz w:val="20"/>
          <w:szCs w:val="20"/>
        </w:rPr>
        <w:t xml:space="preserve"> that each Program ULG</w:t>
      </w:r>
      <w:r w:rsidR="00C77660" w:rsidRPr="00F7263B">
        <w:rPr>
          <w:rFonts w:cs="Times New Roman"/>
          <w:color w:val="000000"/>
          <w:sz w:val="20"/>
          <w:szCs w:val="20"/>
        </w:rPr>
        <w:t>:</w:t>
      </w:r>
    </w:p>
    <w:p w:rsidR="000127C9" w:rsidRPr="00F7263B" w:rsidRDefault="000127C9" w:rsidP="00254260">
      <w:pPr>
        <w:pStyle w:val="ListParagraph"/>
        <w:numPr>
          <w:ilvl w:val="0"/>
          <w:numId w:val="89"/>
        </w:numPr>
        <w:autoSpaceDE w:val="0"/>
        <w:autoSpaceDN w:val="0"/>
        <w:adjustRightInd w:val="0"/>
        <w:ind w:left="1440" w:hanging="720"/>
        <w:jc w:val="both"/>
        <w:rPr>
          <w:rFonts w:cs="Times New Roman"/>
          <w:color w:val="000000"/>
          <w:sz w:val="20"/>
          <w:szCs w:val="20"/>
        </w:rPr>
      </w:pPr>
      <w:r w:rsidRPr="00F7263B">
        <w:rPr>
          <w:rFonts w:cs="Times New Roman"/>
          <w:color w:val="000000"/>
          <w:sz w:val="20"/>
          <w:szCs w:val="20"/>
        </w:rPr>
        <w:t>Has a functioning complaints handling mechanism</w:t>
      </w:r>
      <w:r w:rsidR="00C01852" w:rsidRPr="00F7263B">
        <w:rPr>
          <w:rFonts w:cs="Times New Roman"/>
          <w:color w:val="000000"/>
          <w:sz w:val="20"/>
          <w:szCs w:val="20"/>
        </w:rPr>
        <w:t>, as required by Ethiopian law</w:t>
      </w:r>
      <w:r w:rsidR="00022202" w:rsidRPr="00F7263B">
        <w:rPr>
          <w:rFonts w:cs="Times New Roman"/>
          <w:color w:val="000000"/>
          <w:sz w:val="20"/>
          <w:szCs w:val="20"/>
        </w:rPr>
        <w:t xml:space="preserve"> (</w:t>
      </w:r>
      <w:r w:rsidRPr="00F7263B">
        <w:rPr>
          <w:rFonts w:cs="Times New Roman"/>
          <w:color w:val="000000"/>
          <w:sz w:val="20"/>
          <w:szCs w:val="20"/>
        </w:rPr>
        <w:t>minimum condition to access Program funds</w:t>
      </w:r>
      <w:r w:rsidR="00022202" w:rsidRPr="00F7263B">
        <w:rPr>
          <w:rFonts w:cs="Times New Roman"/>
          <w:color w:val="000000"/>
          <w:sz w:val="20"/>
          <w:szCs w:val="20"/>
        </w:rPr>
        <w:t>)</w:t>
      </w:r>
      <w:r w:rsidR="009D4118" w:rsidRPr="00F7263B">
        <w:rPr>
          <w:rFonts w:cs="Times New Roman"/>
          <w:color w:val="000000"/>
          <w:sz w:val="20"/>
          <w:szCs w:val="20"/>
        </w:rPr>
        <w:t>.</w:t>
      </w:r>
    </w:p>
    <w:p w:rsidR="00022202" w:rsidRPr="00F7263B" w:rsidRDefault="000127C9" w:rsidP="00254260">
      <w:pPr>
        <w:pStyle w:val="ListParagraph"/>
        <w:numPr>
          <w:ilvl w:val="0"/>
          <w:numId w:val="89"/>
        </w:numPr>
        <w:autoSpaceDE w:val="0"/>
        <w:autoSpaceDN w:val="0"/>
        <w:adjustRightInd w:val="0"/>
        <w:ind w:left="1440" w:hanging="720"/>
        <w:jc w:val="both"/>
        <w:rPr>
          <w:rFonts w:cs="Times New Roman"/>
          <w:color w:val="000000"/>
          <w:sz w:val="20"/>
          <w:szCs w:val="20"/>
        </w:rPr>
      </w:pPr>
      <w:r w:rsidRPr="00F7263B">
        <w:rPr>
          <w:rFonts w:cs="Times New Roman"/>
          <w:color w:val="000000"/>
          <w:sz w:val="20"/>
          <w:szCs w:val="20"/>
        </w:rPr>
        <w:t>Ensures participation of citizens in the planning process</w:t>
      </w:r>
      <w:r w:rsidR="00022202" w:rsidRPr="00F7263B">
        <w:rPr>
          <w:rFonts w:cs="Times New Roman"/>
          <w:color w:val="000000"/>
          <w:sz w:val="20"/>
          <w:szCs w:val="20"/>
        </w:rPr>
        <w:t xml:space="preserve"> (performance measure).</w:t>
      </w:r>
    </w:p>
    <w:p w:rsidR="000127C9" w:rsidRPr="00F7263B" w:rsidRDefault="000127C9" w:rsidP="00254260">
      <w:pPr>
        <w:pStyle w:val="ListParagraph"/>
        <w:numPr>
          <w:ilvl w:val="0"/>
          <w:numId w:val="89"/>
        </w:numPr>
        <w:autoSpaceDE w:val="0"/>
        <w:autoSpaceDN w:val="0"/>
        <w:adjustRightInd w:val="0"/>
        <w:ind w:left="1440" w:hanging="720"/>
        <w:jc w:val="both"/>
        <w:rPr>
          <w:rFonts w:cs="Times New Roman"/>
          <w:color w:val="000000"/>
          <w:sz w:val="20"/>
          <w:szCs w:val="20"/>
        </w:rPr>
      </w:pPr>
      <w:r w:rsidRPr="00F7263B">
        <w:rPr>
          <w:rFonts w:cs="Times New Roman"/>
          <w:color w:val="000000"/>
          <w:sz w:val="20"/>
          <w:szCs w:val="20"/>
        </w:rPr>
        <w:t>Identifies the top three basic municipal services</w:t>
      </w:r>
      <w:r w:rsidR="00022202" w:rsidRPr="00F7263B">
        <w:rPr>
          <w:rFonts w:cs="Times New Roman"/>
          <w:color w:val="000000"/>
          <w:sz w:val="20"/>
          <w:szCs w:val="20"/>
        </w:rPr>
        <w:t xml:space="preserve"> in accordance with citizen demand</w:t>
      </w:r>
      <w:r w:rsidRPr="00F7263B">
        <w:rPr>
          <w:rFonts w:cs="Times New Roman"/>
          <w:color w:val="000000"/>
          <w:sz w:val="20"/>
          <w:szCs w:val="20"/>
        </w:rPr>
        <w:t xml:space="preserve">, and prepared a standard for </w:t>
      </w:r>
      <w:r w:rsidR="00022202" w:rsidRPr="00F7263B">
        <w:rPr>
          <w:rFonts w:cs="Times New Roman"/>
          <w:color w:val="000000"/>
          <w:sz w:val="20"/>
          <w:szCs w:val="20"/>
        </w:rPr>
        <w:t xml:space="preserve">their </w:t>
      </w:r>
      <w:r w:rsidRPr="00F7263B">
        <w:rPr>
          <w:rFonts w:cs="Times New Roman"/>
          <w:color w:val="000000"/>
          <w:sz w:val="20"/>
          <w:szCs w:val="20"/>
        </w:rPr>
        <w:t>delivery along with citizen charter</w:t>
      </w:r>
      <w:r w:rsidR="00022202" w:rsidRPr="00F7263B">
        <w:rPr>
          <w:rFonts w:cs="Times New Roman"/>
          <w:color w:val="000000"/>
          <w:sz w:val="20"/>
          <w:szCs w:val="20"/>
        </w:rPr>
        <w:t xml:space="preserve"> (performance measure)</w:t>
      </w:r>
      <w:r w:rsidR="009D4118" w:rsidRPr="00F7263B">
        <w:rPr>
          <w:rFonts w:cs="Times New Roman"/>
          <w:color w:val="000000"/>
          <w:sz w:val="20"/>
          <w:szCs w:val="20"/>
        </w:rPr>
        <w:t>.</w:t>
      </w:r>
    </w:p>
    <w:p w:rsidR="000127C9" w:rsidRPr="00F7263B" w:rsidRDefault="00022202" w:rsidP="00254260">
      <w:pPr>
        <w:pStyle w:val="ListParagraph"/>
        <w:numPr>
          <w:ilvl w:val="0"/>
          <w:numId w:val="89"/>
        </w:numPr>
        <w:autoSpaceDE w:val="0"/>
        <w:autoSpaceDN w:val="0"/>
        <w:adjustRightInd w:val="0"/>
        <w:ind w:left="1440" w:hanging="720"/>
        <w:jc w:val="both"/>
        <w:rPr>
          <w:rFonts w:cs="Times New Roman"/>
          <w:color w:val="000000"/>
          <w:sz w:val="20"/>
          <w:szCs w:val="20"/>
        </w:rPr>
      </w:pPr>
      <w:r w:rsidRPr="00F7263B">
        <w:rPr>
          <w:rFonts w:cs="Times New Roman"/>
          <w:color w:val="000000"/>
          <w:sz w:val="20"/>
          <w:szCs w:val="20"/>
        </w:rPr>
        <w:t>Strives to d</w:t>
      </w:r>
      <w:r w:rsidR="000127C9" w:rsidRPr="00F7263B">
        <w:rPr>
          <w:rFonts w:cs="Times New Roman"/>
          <w:color w:val="000000"/>
          <w:sz w:val="20"/>
          <w:szCs w:val="20"/>
        </w:rPr>
        <w:t xml:space="preserve">eliver </w:t>
      </w:r>
      <w:r w:rsidRPr="00F7263B">
        <w:rPr>
          <w:rFonts w:cs="Times New Roman"/>
          <w:color w:val="000000"/>
          <w:sz w:val="20"/>
          <w:szCs w:val="20"/>
        </w:rPr>
        <w:t>the</w:t>
      </w:r>
      <w:r w:rsidR="000127C9" w:rsidRPr="00F7263B">
        <w:rPr>
          <w:rFonts w:cs="Times New Roman"/>
          <w:color w:val="000000"/>
          <w:sz w:val="20"/>
          <w:szCs w:val="20"/>
        </w:rPr>
        <w:t xml:space="preserve"> municipal services as per the standard and citizen charter</w:t>
      </w:r>
      <w:r w:rsidRPr="00F7263B">
        <w:rPr>
          <w:rFonts w:cs="Times New Roman"/>
          <w:color w:val="000000"/>
          <w:sz w:val="20"/>
          <w:szCs w:val="20"/>
        </w:rPr>
        <w:t xml:space="preserve"> (performance measure)</w:t>
      </w:r>
      <w:r w:rsidR="009D4118" w:rsidRPr="00F7263B">
        <w:rPr>
          <w:rFonts w:cs="Times New Roman"/>
          <w:color w:val="000000"/>
          <w:sz w:val="20"/>
          <w:szCs w:val="20"/>
        </w:rPr>
        <w:t>.</w:t>
      </w:r>
    </w:p>
    <w:p w:rsidR="000127C9" w:rsidRPr="00F7263B" w:rsidRDefault="000127C9" w:rsidP="00254260">
      <w:pPr>
        <w:pStyle w:val="ListParagraph"/>
        <w:numPr>
          <w:ilvl w:val="0"/>
          <w:numId w:val="89"/>
        </w:numPr>
        <w:autoSpaceDE w:val="0"/>
        <w:autoSpaceDN w:val="0"/>
        <w:adjustRightInd w:val="0"/>
        <w:ind w:left="1440" w:hanging="720"/>
        <w:jc w:val="both"/>
        <w:rPr>
          <w:rFonts w:cs="Times New Roman"/>
          <w:color w:val="000000"/>
          <w:sz w:val="20"/>
          <w:szCs w:val="20"/>
        </w:rPr>
      </w:pPr>
      <w:r w:rsidRPr="00F7263B">
        <w:rPr>
          <w:rFonts w:cs="Times New Roman"/>
          <w:color w:val="000000"/>
          <w:sz w:val="20"/>
          <w:szCs w:val="20"/>
        </w:rPr>
        <w:t>Disseminate</w:t>
      </w:r>
      <w:r w:rsidR="00022202" w:rsidRPr="00F7263B">
        <w:rPr>
          <w:rFonts w:cs="Times New Roman"/>
          <w:color w:val="000000"/>
          <w:sz w:val="20"/>
          <w:szCs w:val="20"/>
        </w:rPr>
        <w:t>s</w:t>
      </w:r>
      <w:r w:rsidRPr="00F7263B">
        <w:rPr>
          <w:rFonts w:cs="Times New Roman"/>
          <w:color w:val="000000"/>
          <w:sz w:val="20"/>
          <w:szCs w:val="20"/>
        </w:rPr>
        <w:t xml:space="preserve"> the summary of annual budgets, approved projects, expenditures, audited accounts and results of the procurement decisions in city offices and other public places, or web-pages, newspapers</w:t>
      </w:r>
      <w:r w:rsidR="00022202" w:rsidRPr="00F7263B">
        <w:rPr>
          <w:rFonts w:cs="Times New Roman"/>
          <w:color w:val="000000"/>
          <w:sz w:val="20"/>
          <w:szCs w:val="20"/>
        </w:rPr>
        <w:t xml:space="preserve"> (performance measure)</w:t>
      </w:r>
      <w:r w:rsidRPr="00F7263B">
        <w:rPr>
          <w:rFonts w:cs="Times New Roman"/>
          <w:color w:val="000000"/>
          <w:sz w:val="20"/>
          <w:szCs w:val="20"/>
        </w:rPr>
        <w:t xml:space="preserve">. </w:t>
      </w:r>
    </w:p>
    <w:p w:rsidR="00C77660" w:rsidRPr="00F7263B" w:rsidRDefault="00C77660" w:rsidP="0068255C">
      <w:pPr>
        <w:contextualSpacing/>
        <w:jc w:val="both"/>
        <w:rPr>
          <w:rFonts w:cs="Times New Roman"/>
          <w:color w:val="000000"/>
          <w:sz w:val="20"/>
          <w:szCs w:val="20"/>
        </w:rPr>
      </w:pPr>
    </w:p>
    <w:p w:rsidR="00735223" w:rsidRPr="00F7263B" w:rsidRDefault="00735223" w:rsidP="00D92D63">
      <w:pPr>
        <w:pStyle w:val="ListParagraph"/>
        <w:numPr>
          <w:ilvl w:val="0"/>
          <w:numId w:val="9"/>
        </w:numPr>
        <w:ind w:left="0" w:firstLine="0"/>
        <w:jc w:val="both"/>
        <w:rPr>
          <w:rFonts w:cs="Times New Roman"/>
          <w:sz w:val="20"/>
          <w:szCs w:val="20"/>
        </w:rPr>
      </w:pPr>
      <w:r w:rsidRPr="00F7263B">
        <w:rPr>
          <w:rFonts w:cs="Times New Roman"/>
          <w:b/>
          <w:sz w:val="20"/>
          <w:szCs w:val="20"/>
        </w:rPr>
        <w:t xml:space="preserve">The </w:t>
      </w:r>
      <w:r w:rsidR="005072B9" w:rsidRPr="00F7263B">
        <w:rPr>
          <w:rFonts w:cs="Times New Roman"/>
          <w:b/>
          <w:sz w:val="20"/>
          <w:szCs w:val="20"/>
        </w:rPr>
        <w:t xml:space="preserve">design of the </w:t>
      </w:r>
      <w:r w:rsidRPr="00F7263B">
        <w:rPr>
          <w:rFonts w:cs="Times New Roman"/>
          <w:b/>
          <w:sz w:val="20"/>
          <w:szCs w:val="20"/>
        </w:rPr>
        <w:t xml:space="preserve">ULGDP II </w:t>
      </w:r>
      <w:r w:rsidR="00CD5A5F" w:rsidRPr="00F7263B">
        <w:rPr>
          <w:rFonts w:cs="Times New Roman"/>
          <w:b/>
          <w:sz w:val="20"/>
          <w:szCs w:val="20"/>
        </w:rPr>
        <w:t>takes</w:t>
      </w:r>
      <w:r w:rsidR="00AD015E" w:rsidRPr="00F7263B">
        <w:rPr>
          <w:rFonts w:cs="Times New Roman"/>
          <w:b/>
          <w:sz w:val="20"/>
          <w:szCs w:val="20"/>
        </w:rPr>
        <w:t xml:space="preserve"> into consideration the</w:t>
      </w:r>
      <w:r w:rsidRPr="00F7263B">
        <w:rPr>
          <w:rFonts w:cs="Times New Roman"/>
          <w:b/>
          <w:sz w:val="20"/>
          <w:szCs w:val="20"/>
        </w:rPr>
        <w:t xml:space="preserve"> key challenges </w:t>
      </w:r>
      <w:r w:rsidR="00F768FC" w:rsidRPr="00F7263B">
        <w:rPr>
          <w:rFonts w:cs="Times New Roman"/>
          <w:b/>
          <w:sz w:val="20"/>
          <w:szCs w:val="20"/>
        </w:rPr>
        <w:t xml:space="preserve">faced in ULGDP </w:t>
      </w:r>
      <w:r w:rsidR="00CD5A5F" w:rsidRPr="00F7263B">
        <w:rPr>
          <w:rFonts w:cs="Times New Roman"/>
          <w:b/>
          <w:sz w:val="20"/>
          <w:szCs w:val="20"/>
        </w:rPr>
        <w:t xml:space="preserve">and </w:t>
      </w:r>
      <w:r w:rsidR="005072B9" w:rsidRPr="00F7263B">
        <w:rPr>
          <w:rFonts w:cs="Times New Roman"/>
          <w:b/>
          <w:sz w:val="20"/>
          <w:szCs w:val="20"/>
        </w:rPr>
        <w:t>supports the</w:t>
      </w:r>
      <w:r w:rsidR="00F768FC" w:rsidRPr="00F7263B">
        <w:rPr>
          <w:rFonts w:cs="Times New Roman"/>
          <w:b/>
          <w:sz w:val="20"/>
          <w:szCs w:val="20"/>
        </w:rPr>
        <w:t xml:space="preserve"> government</w:t>
      </w:r>
      <w:r w:rsidR="005072B9" w:rsidRPr="00F7263B">
        <w:rPr>
          <w:rFonts w:cs="Times New Roman"/>
          <w:b/>
          <w:sz w:val="20"/>
          <w:szCs w:val="20"/>
        </w:rPr>
        <w:t>’s new</w:t>
      </w:r>
      <w:r w:rsidR="00F768FC" w:rsidRPr="00F7263B">
        <w:rPr>
          <w:rFonts w:cs="Times New Roman"/>
          <w:b/>
          <w:sz w:val="20"/>
          <w:szCs w:val="20"/>
        </w:rPr>
        <w:t xml:space="preserve"> urban policy and strategy</w:t>
      </w:r>
      <w:r w:rsidR="00FC1C47" w:rsidRPr="00F7263B">
        <w:rPr>
          <w:rFonts w:cs="Times New Roman"/>
          <w:b/>
          <w:sz w:val="20"/>
          <w:szCs w:val="20"/>
        </w:rPr>
        <w:t xml:space="preserve"> as</w:t>
      </w:r>
      <w:r w:rsidR="00F768FC" w:rsidRPr="00F7263B">
        <w:rPr>
          <w:rFonts w:cs="Times New Roman"/>
          <w:b/>
          <w:sz w:val="20"/>
          <w:szCs w:val="20"/>
        </w:rPr>
        <w:t xml:space="preserve"> highlighted below</w:t>
      </w:r>
      <w:r w:rsidR="00F768FC" w:rsidRPr="00F7263B">
        <w:rPr>
          <w:rFonts w:cs="Times New Roman"/>
          <w:sz w:val="20"/>
          <w:szCs w:val="20"/>
        </w:rPr>
        <w:t xml:space="preserve">: </w:t>
      </w:r>
    </w:p>
    <w:p w:rsidR="00735223" w:rsidRPr="00F7263B" w:rsidRDefault="00735223" w:rsidP="00735223">
      <w:pPr>
        <w:pStyle w:val="ListParagraph"/>
        <w:rPr>
          <w:rFonts w:cs="Times New Roman"/>
          <w:sz w:val="20"/>
          <w:szCs w:val="20"/>
        </w:rPr>
      </w:pPr>
    </w:p>
    <w:p w:rsidR="00FC1C47" w:rsidRPr="00F7263B" w:rsidRDefault="004B733A" w:rsidP="00C17208">
      <w:pPr>
        <w:pStyle w:val="ListParagraph"/>
        <w:numPr>
          <w:ilvl w:val="1"/>
          <w:numId w:val="9"/>
        </w:numPr>
        <w:ind w:hanging="720"/>
        <w:jc w:val="both"/>
        <w:rPr>
          <w:rFonts w:cs="Times New Roman"/>
          <w:sz w:val="20"/>
          <w:szCs w:val="20"/>
        </w:rPr>
      </w:pPr>
      <w:r w:rsidRPr="00F7263B">
        <w:rPr>
          <w:rFonts w:cs="Times New Roman"/>
          <w:sz w:val="20"/>
          <w:szCs w:val="20"/>
        </w:rPr>
        <w:t xml:space="preserve">The Program’s technical focus </w:t>
      </w:r>
      <w:r w:rsidR="00FC1C47" w:rsidRPr="00F7263B">
        <w:rPr>
          <w:rFonts w:cs="Times New Roman"/>
          <w:sz w:val="20"/>
          <w:szCs w:val="20"/>
        </w:rPr>
        <w:t xml:space="preserve">will continue </w:t>
      </w:r>
      <w:r w:rsidR="00F11CBC" w:rsidRPr="00F7263B">
        <w:rPr>
          <w:rFonts w:cs="Times New Roman"/>
          <w:sz w:val="20"/>
          <w:szCs w:val="20"/>
        </w:rPr>
        <w:t xml:space="preserve">to </w:t>
      </w:r>
      <w:r w:rsidR="00EC7789" w:rsidRPr="00F7263B">
        <w:rPr>
          <w:rFonts w:cs="Times New Roman"/>
          <w:sz w:val="20"/>
          <w:szCs w:val="20"/>
        </w:rPr>
        <w:t>leverage</w:t>
      </w:r>
      <w:r w:rsidR="00FC1C47" w:rsidRPr="00F7263B">
        <w:rPr>
          <w:rFonts w:cs="Times New Roman"/>
          <w:sz w:val="20"/>
          <w:szCs w:val="20"/>
        </w:rPr>
        <w:t xml:space="preserve"> institutional results </w:t>
      </w:r>
      <w:r w:rsidR="00440AF5" w:rsidRPr="00F7263B">
        <w:rPr>
          <w:rFonts w:cs="Times New Roman"/>
          <w:sz w:val="20"/>
          <w:szCs w:val="20"/>
        </w:rPr>
        <w:t>across ULGs</w:t>
      </w:r>
      <w:r w:rsidR="00156D53" w:rsidRPr="00F7263B">
        <w:rPr>
          <w:rFonts w:cs="Times New Roman"/>
          <w:sz w:val="20"/>
          <w:szCs w:val="20"/>
        </w:rPr>
        <w:t xml:space="preserve">.  </w:t>
      </w:r>
      <w:r w:rsidR="00FC1C47" w:rsidRPr="00F7263B">
        <w:rPr>
          <w:rFonts w:cs="Times New Roman"/>
          <w:sz w:val="20"/>
          <w:szCs w:val="20"/>
        </w:rPr>
        <w:t xml:space="preserve">As a result of implementation of phase one, the capacity in the 18 cities has improved, although gaps </w:t>
      </w:r>
      <w:r w:rsidR="00FC1C47" w:rsidRPr="00F7263B">
        <w:rPr>
          <w:rFonts w:cs="Times New Roman"/>
          <w:sz w:val="20"/>
          <w:szCs w:val="20"/>
        </w:rPr>
        <w:lastRenderedPageBreak/>
        <w:t>still remain</w:t>
      </w:r>
      <w:r w:rsidR="00F11CBC" w:rsidRPr="00F7263B">
        <w:rPr>
          <w:rFonts w:cs="Times New Roman"/>
          <w:sz w:val="20"/>
          <w:szCs w:val="20"/>
        </w:rPr>
        <w:t xml:space="preserve"> as mentioned above</w:t>
      </w:r>
      <w:r w:rsidR="00156D53" w:rsidRPr="00F7263B">
        <w:rPr>
          <w:rFonts w:cs="Times New Roman"/>
          <w:sz w:val="20"/>
          <w:szCs w:val="20"/>
        </w:rPr>
        <w:t xml:space="preserve">.  </w:t>
      </w:r>
      <w:r w:rsidR="00FC1C47" w:rsidRPr="00F7263B">
        <w:rPr>
          <w:rFonts w:cs="Times New Roman"/>
          <w:sz w:val="20"/>
          <w:szCs w:val="20"/>
        </w:rPr>
        <w:t>Additionally, the new set of 26 ULGs requires strong incentives for institutional enhancements</w:t>
      </w:r>
      <w:r w:rsidR="00156D53" w:rsidRPr="00F7263B">
        <w:rPr>
          <w:rFonts w:cs="Times New Roman"/>
          <w:sz w:val="20"/>
          <w:szCs w:val="20"/>
        </w:rPr>
        <w:t xml:space="preserve">.  </w:t>
      </w:r>
      <w:r w:rsidR="00FC1C47" w:rsidRPr="00F7263B">
        <w:rPr>
          <w:rFonts w:cs="Times New Roman"/>
          <w:sz w:val="20"/>
          <w:szCs w:val="20"/>
        </w:rPr>
        <w:t xml:space="preserve">The Program’s capacity building </w:t>
      </w:r>
      <w:r w:rsidR="00156D53" w:rsidRPr="00F7263B">
        <w:rPr>
          <w:rFonts w:cs="Times New Roman"/>
          <w:sz w:val="20"/>
          <w:szCs w:val="20"/>
        </w:rPr>
        <w:t>design, explained in detail in a</w:t>
      </w:r>
      <w:r w:rsidR="00FC1C47" w:rsidRPr="00F7263B">
        <w:rPr>
          <w:rFonts w:cs="Times New Roman"/>
          <w:sz w:val="20"/>
          <w:szCs w:val="20"/>
        </w:rPr>
        <w:t xml:space="preserve">nnex 1, fully takes this differentiation </w:t>
      </w:r>
      <w:r w:rsidR="00F11CBC" w:rsidRPr="00F7263B">
        <w:rPr>
          <w:rFonts w:cs="Times New Roman"/>
          <w:sz w:val="20"/>
          <w:szCs w:val="20"/>
        </w:rPr>
        <w:t>between two sets of Program ULGs into account</w:t>
      </w:r>
      <w:r w:rsidR="00156D53" w:rsidRPr="00F7263B">
        <w:rPr>
          <w:rFonts w:cs="Times New Roman"/>
          <w:sz w:val="20"/>
          <w:szCs w:val="20"/>
        </w:rPr>
        <w:t xml:space="preserve">.  </w:t>
      </w:r>
    </w:p>
    <w:p w:rsidR="00735223" w:rsidRPr="00F7263B" w:rsidRDefault="00735223" w:rsidP="00C17208">
      <w:pPr>
        <w:pStyle w:val="ListParagraph"/>
        <w:numPr>
          <w:ilvl w:val="1"/>
          <w:numId w:val="9"/>
        </w:numPr>
        <w:ind w:hanging="720"/>
        <w:jc w:val="both"/>
        <w:rPr>
          <w:rFonts w:cs="Times New Roman"/>
          <w:sz w:val="20"/>
          <w:szCs w:val="20"/>
        </w:rPr>
      </w:pPr>
      <w:r w:rsidRPr="00F7263B">
        <w:rPr>
          <w:rFonts w:cs="Times New Roman"/>
          <w:sz w:val="20"/>
          <w:szCs w:val="20"/>
        </w:rPr>
        <w:t>All cities will be assessed on the set of minimum access conditions every year, not just at the start of the Program</w:t>
      </w:r>
      <w:r w:rsidR="00156D53" w:rsidRPr="00F7263B">
        <w:rPr>
          <w:rFonts w:cs="Times New Roman"/>
          <w:sz w:val="20"/>
          <w:szCs w:val="20"/>
        </w:rPr>
        <w:t xml:space="preserve">.  </w:t>
      </w:r>
      <w:r w:rsidRPr="00F7263B">
        <w:rPr>
          <w:rFonts w:cs="Times New Roman"/>
          <w:sz w:val="20"/>
          <w:szCs w:val="20"/>
        </w:rPr>
        <w:t>This is to ensure that cities maintain the staffing and basic systems required to effectively administer urban local governments</w:t>
      </w:r>
      <w:r w:rsidR="00156D53" w:rsidRPr="00F7263B">
        <w:rPr>
          <w:rFonts w:cs="Times New Roman"/>
          <w:sz w:val="20"/>
          <w:szCs w:val="20"/>
        </w:rPr>
        <w:t xml:space="preserve">.  </w:t>
      </w:r>
    </w:p>
    <w:p w:rsidR="00735223" w:rsidRPr="00F7263B" w:rsidRDefault="00735223" w:rsidP="00C17208">
      <w:pPr>
        <w:pStyle w:val="ListParagraph"/>
        <w:numPr>
          <w:ilvl w:val="1"/>
          <w:numId w:val="9"/>
        </w:numPr>
        <w:ind w:hanging="720"/>
        <w:jc w:val="both"/>
        <w:rPr>
          <w:rFonts w:cs="Times New Roman"/>
          <w:sz w:val="20"/>
          <w:szCs w:val="20"/>
        </w:rPr>
      </w:pPr>
      <w:r w:rsidRPr="00F7263B">
        <w:rPr>
          <w:rFonts w:cs="Times New Roman"/>
          <w:sz w:val="20"/>
          <w:szCs w:val="20"/>
        </w:rPr>
        <w:t xml:space="preserve">Cities will receive disbursements in line with their score on the </w:t>
      </w:r>
      <w:r w:rsidR="00CD5A5F" w:rsidRPr="00F7263B">
        <w:rPr>
          <w:rFonts w:cs="Times New Roman"/>
          <w:sz w:val="20"/>
          <w:szCs w:val="20"/>
        </w:rPr>
        <w:t>APA</w:t>
      </w:r>
      <w:r w:rsidR="00156D53" w:rsidRPr="00F7263B">
        <w:rPr>
          <w:rFonts w:cs="Times New Roman"/>
          <w:sz w:val="20"/>
          <w:szCs w:val="20"/>
        </w:rPr>
        <w:t xml:space="preserve">.  </w:t>
      </w:r>
      <w:r w:rsidRPr="00F7263B">
        <w:rPr>
          <w:rFonts w:cs="Times New Roman"/>
          <w:sz w:val="20"/>
          <w:szCs w:val="20"/>
        </w:rPr>
        <w:t xml:space="preserve">This is in contrast to the current system, which provides all cities </w:t>
      </w:r>
      <w:r w:rsidR="00CD5A5F" w:rsidRPr="00F7263B">
        <w:rPr>
          <w:rFonts w:cs="Times New Roman"/>
          <w:sz w:val="20"/>
          <w:szCs w:val="20"/>
        </w:rPr>
        <w:t>which</w:t>
      </w:r>
      <w:r w:rsidRPr="00F7263B">
        <w:rPr>
          <w:rFonts w:cs="Times New Roman"/>
          <w:sz w:val="20"/>
          <w:szCs w:val="20"/>
        </w:rPr>
        <w:t xml:space="preserve"> score above a threshold </w:t>
      </w:r>
      <w:r w:rsidR="00CD5A5F" w:rsidRPr="00F7263B">
        <w:rPr>
          <w:rFonts w:cs="Times New Roman"/>
          <w:sz w:val="20"/>
          <w:szCs w:val="20"/>
        </w:rPr>
        <w:t>of</w:t>
      </w:r>
      <w:r w:rsidRPr="00F7263B">
        <w:rPr>
          <w:rFonts w:cs="Times New Roman"/>
          <w:sz w:val="20"/>
          <w:szCs w:val="20"/>
        </w:rPr>
        <w:t xml:space="preserve"> 20 percent </w:t>
      </w:r>
      <w:r w:rsidR="00CD5A5F" w:rsidRPr="00F7263B">
        <w:rPr>
          <w:rFonts w:cs="Times New Roman"/>
          <w:sz w:val="20"/>
          <w:szCs w:val="20"/>
        </w:rPr>
        <w:t xml:space="preserve">an </w:t>
      </w:r>
      <w:r w:rsidRPr="00F7263B">
        <w:rPr>
          <w:rFonts w:cs="Times New Roman"/>
          <w:sz w:val="20"/>
          <w:szCs w:val="20"/>
        </w:rPr>
        <w:t>accelerated allocation</w:t>
      </w:r>
      <w:r w:rsidR="00156D53" w:rsidRPr="00F7263B">
        <w:rPr>
          <w:rFonts w:cs="Times New Roman"/>
          <w:sz w:val="20"/>
          <w:szCs w:val="20"/>
        </w:rPr>
        <w:t xml:space="preserve">.  </w:t>
      </w:r>
      <w:r w:rsidR="009044B7" w:rsidRPr="00F7263B">
        <w:rPr>
          <w:rFonts w:cs="Times New Roman"/>
          <w:sz w:val="20"/>
          <w:szCs w:val="20"/>
        </w:rPr>
        <w:t>The new system will mean that every point will count and that the incentives for continuous improvements are strengthened.</w:t>
      </w:r>
    </w:p>
    <w:p w:rsidR="00E95199" w:rsidRPr="00F7263B" w:rsidRDefault="00735223" w:rsidP="00C17208">
      <w:pPr>
        <w:pStyle w:val="ListParagraph"/>
        <w:numPr>
          <w:ilvl w:val="1"/>
          <w:numId w:val="9"/>
        </w:numPr>
        <w:ind w:hanging="720"/>
        <w:jc w:val="both"/>
        <w:rPr>
          <w:rFonts w:cs="Times New Roman"/>
          <w:sz w:val="20"/>
          <w:szCs w:val="20"/>
        </w:rPr>
      </w:pPr>
      <w:r w:rsidRPr="00F7263B">
        <w:rPr>
          <w:rFonts w:cs="Times New Roman"/>
          <w:sz w:val="20"/>
          <w:szCs w:val="20"/>
        </w:rPr>
        <w:t>Several new targets</w:t>
      </w:r>
      <w:r w:rsidR="00156D53" w:rsidRPr="00F7263B">
        <w:rPr>
          <w:rFonts w:cs="Times New Roman"/>
          <w:sz w:val="20"/>
          <w:szCs w:val="20"/>
        </w:rPr>
        <w:t xml:space="preserve"> and </w:t>
      </w:r>
      <w:r w:rsidR="00CD5A5F" w:rsidRPr="00F7263B">
        <w:rPr>
          <w:rFonts w:cs="Times New Roman"/>
          <w:sz w:val="20"/>
          <w:szCs w:val="20"/>
        </w:rPr>
        <w:t>results areas</w:t>
      </w:r>
      <w:r w:rsidRPr="00F7263B">
        <w:rPr>
          <w:rFonts w:cs="Times New Roman"/>
          <w:sz w:val="20"/>
          <w:szCs w:val="20"/>
        </w:rPr>
        <w:t xml:space="preserve"> have been added to the performance assessment, reflecting </w:t>
      </w:r>
      <w:r w:rsidR="00CD5A5F" w:rsidRPr="00F7263B">
        <w:rPr>
          <w:rFonts w:cs="Times New Roman"/>
          <w:sz w:val="20"/>
          <w:szCs w:val="20"/>
        </w:rPr>
        <w:t xml:space="preserve">new government policies and the </w:t>
      </w:r>
      <w:r w:rsidRPr="00F7263B">
        <w:rPr>
          <w:rFonts w:cs="Times New Roman"/>
          <w:sz w:val="20"/>
          <w:szCs w:val="20"/>
        </w:rPr>
        <w:t>growing administrative sophistication</w:t>
      </w:r>
      <w:r w:rsidR="00CD5A5F" w:rsidRPr="00F7263B">
        <w:rPr>
          <w:rFonts w:cs="Times New Roman"/>
          <w:sz w:val="20"/>
          <w:szCs w:val="20"/>
        </w:rPr>
        <w:t xml:space="preserve"> of cities</w:t>
      </w:r>
      <w:r w:rsidR="00156D53" w:rsidRPr="00F7263B">
        <w:rPr>
          <w:rFonts w:cs="Times New Roman"/>
          <w:sz w:val="20"/>
          <w:szCs w:val="20"/>
        </w:rPr>
        <w:t xml:space="preserve">.  </w:t>
      </w:r>
      <w:r w:rsidRPr="00F7263B">
        <w:rPr>
          <w:rFonts w:cs="Times New Roman"/>
          <w:sz w:val="20"/>
          <w:szCs w:val="20"/>
        </w:rPr>
        <w:t xml:space="preserve">For example, </w:t>
      </w:r>
      <w:r w:rsidR="00CD5A5F" w:rsidRPr="00F7263B">
        <w:rPr>
          <w:rFonts w:cs="Times New Roman"/>
          <w:sz w:val="20"/>
          <w:szCs w:val="20"/>
        </w:rPr>
        <w:t>results areas now include (a) urban land management and urban planning, and (b) employment generation</w:t>
      </w:r>
      <w:r w:rsidR="00156D53" w:rsidRPr="00F7263B">
        <w:rPr>
          <w:rFonts w:cs="Times New Roman"/>
          <w:sz w:val="20"/>
          <w:szCs w:val="20"/>
        </w:rPr>
        <w:t xml:space="preserve">.  </w:t>
      </w:r>
      <w:r w:rsidR="00CD5A5F" w:rsidRPr="00F7263B">
        <w:rPr>
          <w:rFonts w:cs="Times New Roman"/>
          <w:sz w:val="20"/>
          <w:szCs w:val="20"/>
        </w:rPr>
        <w:t xml:space="preserve">In addition, </w:t>
      </w:r>
      <w:r w:rsidRPr="00F7263B">
        <w:rPr>
          <w:rFonts w:cs="Times New Roman"/>
          <w:sz w:val="20"/>
          <w:szCs w:val="20"/>
        </w:rPr>
        <w:t>all cities are now expected to screen all investments for environmental and social impacts, and to prepare environmental and social impact assessments, and related documents to address any adverse impacts</w:t>
      </w:r>
      <w:r w:rsidR="00156D53" w:rsidRPr="00F7263B">
        <w:rPr>
          <w:rFonts w:cs="Times New Roman"/>
          <w:sz w:val="20"/>
          <w:szCs w:val="20"/>
        </w:rPr>
        <w:t xml:space="preserve">.  </w:t>
      </w:r>
      <w:r w:rsidRPr="00F7263B">
        <w:rPr>
          <w:rFonts w:cs="Times New Roman"/>
          <w:sz w:val="20"/>
          <w:szCs w:val="20"/>
        </w:rPr>
        <w:t>All cities are also expected to reflect Program funds in IBEX, rather than using a separate accounting system</w:t>
      </w:r>
      <w:r w:rsidR="00A1368B" w:rsidRPr="00F7263B">
        <w:rPr>
          <w:rFonts w:cs="Times New Roman"/>
          <w:sz w:val="20"/>
          <w:szCs w:val="20"/>
        </w:rPr>
        <w:t>.</w:t>
      </w:r>
    </w:p>
    <w:p w:rsidR="00735223" w:rsidRPr="00F7263B" w:rsidRDefault="00E95199" w:rsidP="00C17208">
      <w:pPr>
        <w:pStyle w:val="ListParagraph"/>
        <w:numPr>
          <w:ilvl w:val="1"/>
          <w:numId w:val="9"/>
        </w:numPr>
        <w:ind w:hanging="720"/>
        <w:jc w:val="both"/>
        <w:rPr>
          <w:rFonts w:cs="Times New Roman"/>
          <w:sz w:val="20"/>
          <w:szCs w:val="20"/>
        </w:rPr>
      </w:pPr>
      <w:r w:rsidRPr="00F7263B">
        <w:rPr>
          <w:rFonts w:cs="Times New Roman"/>
          <w:sz w:val="20"/>
          <w:szCs w:val="20"/>
        </w:rPr>
        <w:t>The challenges with mobilization of urban revenues</w:t>
      </w:r>
      <w:r w:rsidR="004D2289">
        <w:rPr>
          <w:rFonts w:cs="Times New Roman"/>
          <w:sz w:val="20"/>
          <w:szCs w:val="20"/>
        </w:rPr>
        <w:t xml:space="preserve"> </w:t>
      </w:r>
      <w:r w:rsidRPr="00F7263B">
        <w:rPr>
          <w:rFonts w:cs="Times New Roman"/>
          <w:sz w:val="20"/>
          <w:szCs w:val="20"/>
        </w:rPr>
        <w:t xml:space="preserve">have been addressed through strengthening of the minimum </w:t>
      </w:r>
      <w:r w:rsidR="00493770" w:rsidRPr="00F7263B">
        <w:rPr>
          <w:rFonts w:cs="Times New Roman"/>
          <w:sz w:val="20"/>
          <w:szCs w:val="20"/>
        </w:rPr>
        <w:t xml:space="preserve">conditions (matching funding is </w:t>
      </w:r>
      <w:r w:rsidRPr="00F7263B">
        <w:rPr>
          <w:rFonts w:cs="Times New Roman"/>
          <w:sz w:val="20"/>
          <w:szCs w:val="20"/>
        </w:rPr>
        <w:t>a condition for access to funds), and performance measures, as well as through support to promote a more conducive environment for ULGs through dialogue and support from the regions</w:t>
      </w:r>
      <w:r w:rsidR="00493770" w:rsidRPr="00F7263B">
        <w:rPr>
          <w:rFonts w:cs="Times New Roman"/>
          <w:sz w:val="20"/>
          <w:szCs w:val="20"/>
        </w:rPr>
        <w:t>.</w:t>
      </w:r>
      <w:r w:rsidR="003A3E05" w:rsidRPr="00F7263B">
        <w:rPr>
          <w:rStyle w:val="FootnoteReference"/>
          <w:rFonts w:cs="Times New Roman"/>
          <w:sz w:val="20"/>
          <w:szCs w:val="20"/>
        </w:rPr>
        <w:footnoteReference w:id="12"/>
      </w:r>
      <w:r w:rsidR="00C90ED8" w:rsidRPr="00F7263B">
        <w:rPr>
          <w:rFonts w:cs="Times New Roman"/>
          <w:sz w:val="20"/>
          <w:szCs w:val="20"/>
        </w:rPr>
        <w:t>Performance measure</w:t>
      </w:r>
      <w:r w:rsidR="00246600" w:rsidRPr="00F7263B">
        <w:rPr>
          <w:rFonts w:cs="Times New Roman"/>
          <w:sz w:val="20"/>
          <w:szCs w:val="20"/>
        </w:rPr>
        <w:t>s</w:t>
      </w:r>
      <w:r w:rsidR="004D2289">
        <w:rPr>
          <w:rFonts w:cs="Times New Roman"/>
          <w:sz w:val="20"/>
          <w:szCs w:val="20"/>
        </w:rPr>
        <w:t xml:space="preserve"> </w:t>
      </w:r>
      <w:r w:rsidR="00C90ED8" w:rsidRPr="00F7263B">
        <w:rPr>
          <w:rFonts w:cs="Times New Roman"/>
          <w:sz w:val="20"/>
          <w:szCs w:val="20"/>
        </w:rPr>
        <w:t xml:space="preserve">under DLI </w:t>
      </w:r>
      <w:r w:rsidR="00927329" w:rsidRPr="00F7263B">
        <w:rPr>
          <w:rFonts w:cs="Times New Roman"/>
          <w:sz w:val="20"/>
          <w:szCs w:val="20"/>
        </w:rPr>
        <w:t xml:space="preserve">2 </w:t>
      </w:r>
      <w:r w:rsidR="00C90ED8" w:rsidRPr="00F7263B">
        <w:rPr>
          <w:rFonts w:cs="Times New Roman"/>
          <w:sz w:val="20"/>
          <w:szCs w:val="20"/>
        </w:rPr>
        <w:t>are now more focused on results through provision of incentives to</w:t>
      </w:r>
      <w:r w:rsidR="00375685" w:rsidRPr="00F7263B">
        <w:rPr>
          <w:rFonts w:cs="Times New Roman"/>
          <w:sz w:val="20"/>
          <w:szCs w:val="20"/>
        </w:rPr>
        <w:t xml:space="preserve"> ULGs to (a)</w:t>
      </w:r>
      <w:r w:rsidR="00C90ED8" w:rsidRPr="00F7263B">
        <w:rPr>
          <w:rFonts w:cs="Times New Roman"/>
          <w:sz w:val="20"/>
          <w:szCs w:val="20"/>
        </w:rPr>
        <w:t xml:space="preserve"> mobilize additional municipal core revenues, </w:t>
      </w:r>
      <w:r w:rsidR="00375685" w:rsidRPr="00F7263B">
        <w:rPr>
          <w:rFonts w:cs="Times New Roman"/>
          <w:sz w:val="20"/>
          <w:szCs w:val="20"/>
        </w:rPr>
        <w:t>(b)</w:t>
      </w:r>
      <w:r w:rsidR="00C90ED8" w:rsidRPr="00F7263B">
        <w:rPr>
          <w:rFonts w:cs="Times New Roman"/>
          <w:sz w:val="20"/>
          <w:szCs w:val="20"/>
        </w:rPr>
        <w:t xml:space="preserve"> contribute</w:t>
      </w:r>
      <w:r w:rsidR="004D2289">
        <w:rPr>
          <w:rFonts w:cs="Times New Roman"/>
          <w:sz w:val="20"/>
          <w:szCs w:val="20"/>
        </w:rPr>
        <w:t xml:space="preserve"> </w:t>
      </w:r>
      <w:r w:rsidR="00375685" w:rsidRPr="00F7263B">
        <w:rPr>
          <w:rFonts w:cs="Times New Roman"/>
          <w:sz w:val="20"/>
          <w:szCs w:val="20"/>
        </w:rPr>
        <w:t xml:space="preserve">more </w:t>
      </w:r>
      <w:r w:rsidR="00C90ED8" w:rsidRPr="00F7263B">
        <w:rPr>
          <w:rFonts w:cs="Times New Roman"/>
          <w:sz w:val="20"/>
          <w:szCs w:val="20"/>
        </w:rPr>
        <w:t>t</w:t>
      </w:r>
      <w:r w:rsidR="00FD5DE4" w:rsidRPr="00F7263B">
        <w:rPr>
          <w:rFonts w:cs="Times New Roman"/>
          <w:sz w:val="20"/>
          <w:szCs w:val="20"/>
        </w:rPr>
        <w:t xml:space="preserve">owards </w:t>
      </w:r>
      <w:r w:rsidR="00375685" w:rsidRPr="00F7263B">
        <w:rPr>
          <w:rFonts w:cs="Times New Roman"/>
          <w:sz w:val="20"/>
          <w:szCs w:val="20"/>
        </w:rPr>
        <w:t xml:space="preserve">capital </w:t>
      </w:r>
      <w:r w:rsidR="00FD5DE4" w:rsidRPr="00F7263B">
        <w:rPr>
          <w:rFonts w:cs="Times New Roman"/>
          <w:sz w:val="20"/>
          <w:szCs w:val="20"/>
        </w:rPr>
        <w:t>investments</w:t>
      </w:r>
      <w:r w:rsidR="00C90ED8" w:rsidRPr="00F7263B">
        <w:rPr>
          <w:rFonts w:cs="Times New Roman"/>
          <w:sz w:val="20"/>
          <w:szCs w:val="20"/>
        </w:rPr>
        <w:t xml:space="preserve"> (rewards for a higher level of matching funding)</w:t>
      </w:r>
      <w:r w:rsidR="00375685" w:rsidRPr="00F7263B">
        <w:rPr>
          <w:rFonts w:cs="Times New Roman"/>
          <w:sz w:val="20"/>
          <w:szCs w:val="20"/>
        </w:rPr>
        <w:t>.</w:t>
      </w:r>
      <w:r w:rsidR="003A3E05" w:rsidRPr="00F7263B">
        <w:rPr>
          <w:rStyle w:val="FootnoteReference"/>
          <w:rFonts w:cs="Times New Roman"/>
          <w:sz w:val="20"/>
          <w:szCs w:val="20"/>
        </w:rPr>
        <w:footnoteReference w:id="13"/>
      </w:r>
      <w:r w:rsidR="00D228D1" w:rsidRPr="00F7263B">
        <w:rPr>
          <w:rFonts w:cs="Times New Roman"/>
          <w:sz w:val="20"/>
          <w:szCs w:val="20"/>
        </w:rPr>
        <w:t>Furthermore, the targeting of</w:t>
      </w:r>
      <w:r w:rsidR="00CC24FB" w:rsidRPr="00F7263B">
        <w:rPr>
          <w:rFonts w:cs="Times New Roman"/>
          <w:sz w:val="20"/>
          <w:szCs w:val="20"/>
        </w:rPr>
        <w:t xml:space="preserve"> the regional governments’ support to ULGs in </w:t>
      </w:r>
      <w:r w:rsidR="00D5646A" w:rsidRPr="00F7263B">
        <w:rPr>
          <w:rFonts w:cs="Times New Roman"/>
          <w:sz w:val="20"/>
          <w:szCs w:val="20"/>
        </w:rPr>
        <w:t>own source revenue</w:t>
      </w:r>
      <w:r w:rsidR="00CC24FB" w:rsidRPr="00F7263B">
        <w:rPr>
          <w:rFonts w:cs="Times New Roman"/>
          <w:sz w:val="20"/>
          <w:szCs w:val="20"/>
        </w:rPr>
        <w:t xml:space="preserve"> mobilization will be strengthened </w:t>
      </w:r>
      <w:r w:rsidR="00C17208" w:rsidRPr="00F7263B">
        <w:rPr>
          <w:rFonts w:cs="Times New Roman"/>
          <w:sz w:val="20"/>
          <w:szCs w:val="20"/>
        </w:rPr>
        <w:t xml:space="preserve">by </w:t>
      </w:r>
      <w:r w:rsidR="00CC24FB" w:rsidRPr="00F7263B">
        <w:rPr>
          <w:rFonts w:cs="Times New Roman"/>
          <w:sz w:val="20"/>
          <w:szCs w:val="20"/>
        </w:rPr>
        <w:t>promot</w:t>
      </w:r>
      <w:r w:rsidR="00C17208" w:rsidRPr="00F7263B">
        <w:rPr>
          <w:rFonts w:cs="Times New Roman"/>
          <w:sz w:val="20"/>
          <w:szCs w:val="20"/>
        </w:rPr>
        <w:t>ing</w:t>
      </w:r>
      <w:r w:rsidR="00CC24FB" w:rsidRPr="00F7263B">
        <w:rPr>
          <w:rFonts w:cs="Times New Roman"/>
          <w:sz w:val="20"/>
          <w:szCs w:val="20"/>
        </w:rPr>
        <w:t xml:space="preserve"> stronger consultations and dialogue, and through capacity building support within this core area</w:t>
      </w:r>
      <w:r w:rsidR="00156D53" w:rsidRPr="00F7263B">
        <w:rPr>
          <w:rFonts w:cs="Times New Roman"/>
          <w:sz w:val="20"/>
          <w:szCs w:val="20"/>
        </w:rPr>
        <w:t xml:space="preserve">.  </w:t>
      </w:r>
    </w:p>
    <w:p w:rsidR="00735223" w:rsidRPr="00F7263B" w:rsidRDefault="00735223" w:rsidP="00C17208">
      <w:pPr>
        <w:pStyle w:val="ListParagraph"/>
        <w:numPr>
          <w:ilvl w:val="1"/>
          <w:numId w:val="9"/>
        </w:numPr>
        <w:ind w:hanging="720"/>
        <w:jc w:val="both"/>
        <w:rPr>
          <w:rFonts w:cs="Times New Roman"/>
          <w:sz w:val="20"/>
          <w:szCs w:val="20"/>
        </w:rPr>
      </w:pPr>
      <w:r w:rsidRPr="00F7263B">
        <w:rPr>
          <w:rFonts w:cs="Times New Roman"/>
          <w:sz w:val="20"/>
          <w:szCs w:val="20"/>
        </w:rPr>
        <w:t xml:space="preserve">Financing for the regional governments and federal government entities (including </w:t>
      </w:r>
      <w:r w:rsidR="00821460" w:rsidRPr="00F7263B">
        <w:rPr>
          <w:rFonts w:cs="Times New Roman"/>
          <w:sz w:val="20"/>
          <w:szCs w:val="20"/>
        </w:rPr>
        <w:t>MUDHCo</w:t>
      </w:r>
      <w:r w:rsidRPr="00F7263B">
        <w:rPr>
          <w:rFonts w:cs="Times New Roman"/>
          <w:sz w:val="20"/>
          <w:szCs w:val="20"/>
        </w:rPr>
        <w:t>), will no longer be input</w:t>
      </w:r>
      <w:r w:rsidR="004D2289">
        <w:rPr>
          <w:rFonts w:cs="Times New Roman"/>
          <w:sz w:val="20"/>
          <w:szCs w:val="20"/>
        </w:rPr>
        <w:t xml:space="preserve"> </w:t>
      </w:r>
      <w:r w:rsidRPr="00F7263B">
        <w:rPr>
          <w:rFonts w:cs="Times New Roman"/>
          <w:sz w:val="20"/>
          <w:szCs w:val="20"/>
        </w:rPr>
        <w:t>based, but will also be results based</w:t>
      </w:r>
      <w:r w:rsidR="00156D53" w:rsidRPr="00F7263B">
        <w:rPr>
          <w:rFonts w:cs="Times New Roman"/>
          <w:sz w:val="20"/>
          <w:szCs w:val="20"/>
        </w:rPr>
        <w:t xml:space="preserve">.  </w:t>
      </w:r>
      <w:r w:rsidRPr="00F7263B">
        <w:rPr>
          <w:rFonts w:cs="Times New Roman"/>
          <w:sz w:val="20"/>
          <w:szCs w:val="20"/>
        </w:rPr>
        <w:t xml:space="preserve">As detailed in the DLIs which target these two levels of government, </w:t>
      </w:r>
      <w:r w:rsidR="00C17208" w:rsidRPr="00F7263B">
        <w:rPr>
          <w:rFonts w:cs="Times New Roman"/>
          <w:sz w:val="20"/>
          <w:szCs w:val="20"/>
        </w:rPr>
        <w:t xml:space="preserve">Program </w:t>
      </w:r>
      <w:r w:rsidRPr="00F7263B">
        <w:rPr>
          <w:rFonts w:cs="Times New Roman"/>
          <w:sz w:val="20"/>
          <w:szCs w:val="20"/>
        </w:rPr>
        <w:t>funds will be disbursed to these entities only after the verification of the results for which they are responsible</w:t>
      </w:r>
      <w:r w:rsidR="00156D53" w:rsidRPr="00F7263B">
        <w:rPr>
          <w:rFonts w:cs="Times New Roman"/>
          <w:sz w:val="20"/>
          <w:szCs w:val="20"/>
        </w:rPr>
        <w:t xml:space="preserve">.  </w:t>
      </w:r>
    </w:p>
    <w:p w:rsidR="00735223" w:rsidRPr="00F7263B" w:rsidRDefault="00735223" w:rsidP="00C17208">
      <w:pPr>
        <w:pStyle w:val="ListParagraph"/>
        <w:numPr>
          <w:ilvl w:val="1"/>
          <w:numId w:val="9"/>
        </w:numPr>
        <w:ind w:hanging="720"/>
        <w:jc w:val="both"/>
        <w:rPr>
          <w:rFonts w:cs="Times New Roman"/>
          <w:sz w:val="20"/>
          <w:szCs w:val="20"/>
        </w:rPr>
      </w:pPr>
      <w:r w:rsidRPr="00F7263B">
        <w:rPr>
          <w:rFonts w:cs="Times New Roman"/>
          <w:sz w:val="20"/>
          <w:szCs w:val="20"/>
        </w:rPr>
        <w:t xml:space="preserve">Disbursements </w:t>
      </w:r>
      <w:r w:rsidR="005072B9" w:rsidRPr="00F7263B">
        <w:rPr>
          <w:rFonts w:cs="Times New Roman"/>
          <w:sz w:val="20"/>
          <w:szCs w:val="20"/>
        </w:rPr>
        <w:t xml:space="preserve">will </w:t>
      </w:r>
      <w:r w:rsidRPr="00F7263B">
        <w:rPr>
          <w:rFonts w:cs="Times New Roman"/>
          <w:sz w:val="20"/>
          <w:szCs w:val="20"/>
        </w:rPr>
        <w:t xml:space="preserve">flow to cities in two annual tranches, rather than on the basis of </w:t>
      </w:r>
      <w:r w:rsidR="005F2935" w:rsidRPr="00F7263B">
        <w:rPr>
          <w:rFonts w:cs="Times New Roman"/>
          <w:sz w:val="20"/>
          <w:szCs w:val="20"/>
        </w:rPr>
        <w:t xml:space="preserve">Interim Financial Reports and </w:t>
      </w:r>
      <w:r w:rsidRPr="00F7263B">
        <w:rPr>
          <w:rFonts w:cs="Times New Roman"/>
          <w:sz w:val="20"/>
          <w:szCs w:val="20"/>
        </w:rPr>
        <w:t>withdrawal applications</w:t>
      </w:r>
      <w:r w:rsidR="00156D53" w:rsidRPr="00F7263B">
        <w:rPr>
          <w:rFonts w:cs="Times New Roman"/>
          <w:sz w:val="20"/>
          <w:szCs w:val="20"/>
        </w:rPr>
        <w:t xml:space="preserve">.  </w:t>
      </w:r>
    </w:p>
    <w:p w:rsidR="00735223" w:rsidRPr="00F7263B" w:rsidRDefault="00735223" w:rsidP="00C17208">
      <w:pPr>
        <w:pStyle w:val="ListParagraph"/>
        <w:numPr>
          <w:ilvl w:val="1"/>
          <w:numId w:val="9"/>
        </w:numPr>
        <w:ind w:hanging="720"/>
        <w:jc w:val="both"/>
        <w:rPr>
          <w:rFonts w:cs="Times New Roman"/>
          <w:sz w:val="20"/>
          <w:szCs w:val="20"/>
        </w:rPr>
      </w:pPr>
      <w:r w:rsidRPr="00F7263B">
        <w:rPr>
          <w:rFonts w:cs="Times New Roman"/>
          <w:sz w:val="20"/>
          <w:szCs w:val="20"/>
        </w:rPr>
        <w:t>ULGDP II will not include Addis</w:t>
      </w:r>
      <w:r w:rsidR="00382E0F" w:rsidRPr="00F7263B">
        <w:rPr>
          <w:rFonts w:cs="Times New Roman"/>
          <w:sz w:val="20"/>
          <w:szCs w:val="20"/>
        </w:rPr>
        <w:t xml:space="preserve"> Ababa</w:t>
      </w:r>
      <w:r w:rsidR="00156D53" w:rsidRPr="00F7263B">
        <w:rPr>
          <w:rFonts w:cs="Times New Roman"/>
          <w:sz w:val="20"/>
          <w:szCs w:val="20"/>
        </w:rPr>
        <w:t xml:space="preserve">.  </w:t>
      </w:r>
      <w:r w:rsidRPr="00F7263B">
        <w:rPr>
          <w:rFonts w:cs="Times New Roman"/>
          <w:sz w:val="20"/>
          <w:szCs w:val="20"/>
        </w:rPr>
        <w:t>Addis</w:t>
      </w:r>
      <w:r w:rsidR="00382E0F" w:rsidRPr="00F7263B">
        <w:rPr>
          <w:rFonts w:cs="Times New Roman"/>
          <w:sz w:val="20"/>
          <w:szCs w:val="20"/>
        </w:rPr>
        <w:t xml:space="preserve"> Ababa’s</w:t>
      </w:r>
      <w:r w:rsidRPr="00F7263B">
        <w:rPr>
          <w:rFonts w:cs="Times New Roman"/>
          <w:sz w:val="20"/>
          <w:szCs w:val="20"/>
        </w:rPr>
        <w:t xml:space="preserve"> institutional, infrastructure, and financial needs of Addis are distinctly different than the other ULGs in Ethiopia</w:t>
      </w:r>
      <w:r w:rsidR="00A1368B" w:rsidRPr="00F7263B">
        <w:rPr>
          <w:rFonts w:cs="Times New Roman"/>
          <w:sz w:val="20"/>
          <w:szCs w:val="20"/>
        </w:rPr>
        <w:t>.</w:t>
      </w:r>
      <w:r w:rsidR="009E2794" w:rsidRPr="00F7263B">
        <w:rPr>
          <w:rStyle w:val="FootnoteReference"/>
          <w:rFonts w:cs="Times New Roman"/>
          <w:sz w:val="20"/>
          <w:szCs w:val="20"/>
        </w:rPr>
        <w:footnoteReference w:id="14"/>
      </w:r>
    </w:p>
    <w:p w:rsidR="00735223" w:rsidRPr="00F7263B" w:rsidRDefault="00735223" w:rsidP="00C17208">
      <w:pPr>
        <w:pStyle w:val="ListParagraph"/>
        <w:numPr>
          <w:ilvl w:val="1"/>
          <w:numId w:val="9"/>
        </w:numPr>
        <w:ind w:hanging="720"/>
        <w:jc w:val="both"/>
        <w:rPr>
          <w:rFonts w:cs="Times New Roman"/>
          <w:sz w:val="20"/>
          <w:szCs w:val="20"/>
        </w:rPr>
      </w:pPr>
      <w:r w:rsidRPr="00F7263B">
        <w:rPr>
          <w:rFonts w:cs="Times New Roman"/>
          <w:sz w:val="20"/>
          <w:szCs w:val="20"/>
        </w:rPr>
        <w:t xml:space="preserve">A more </w:t>
      </w:r>
      <w:r w:rsidR="005F74F4" w:rsidRPr="00F7263B">
        <w:rPr>
          <w:rFonts w:cs="Times New Roman"/>
          <w:sz w:val="20"/>
          <w:szCs w:val="20"/>
        </w:rPr>
        <w:t xml:space="preserve">structured and </w:t>
      </w:r>
      <w:r w:rsidRPr="00F7263B">
        <w:rPr>
          <w:rFonts w:cs="Times New Roman"/>
          <w:sz w:val="20"/>
          <w:szCs w:val="20"/>
        </w:rPr>
        <w:t xml:space="preserve">systematic approach </w:t>
      </w:r>
      <w:r w:rsidR="005F74F4" w:rsidRPr="00F7263B">
        <w:rPr>
          <w:rFonts w:cs="Times New Roman"/>
          <w:sz w:val="20"/>
          <w:szCs w:val="20"/>
        </w:rPr>
        <w:t>is adopted for</w:t>
      </w:r>
      <w:r w:rsidRPr="00F7263B">
        <w:rPr>
          <w:rFonts w:cs="Times New Roman"/>
          <w:sz w:val="20"/>
          <w:szCs w:val="20"/>
        </w:rPr>
        <w:t xml:space="preserve"> capacity building to support all three levels of government</w:t>
      </w:r>
      <w:r w:rsidR="005072B9" w:rsidRPr="00F7263B">
        <w:rPr>
          <w:rFonts w:cs="Times New Roman"/>
          <w:sz w:val="20"/>
          <w:szCs w:val="20"/>
        </w:rPr>
        <w:t xml:space="preserve">: </w:t>
      </w:r>
      <w:r w:rsidR="00880781" w:rsidRPr="00F7263B">
        <w:rPr>
          <w:rFonts w:cs="Times New Roman"/>
          <w:sz w:val="20"/>
          <w:szCs w:val="20"/>
        </w:rPr>
        <w:t>federal, regional and local</w:t>
      </w:r>
      <w:r w:rsidR="00156D53" w:rsidRPr="00F7263B">
        <w:rPr>
          <w:rFonts w:cs="Times New Roman"/>
          <w:sz w:val="20"/>
          <w:szCs w:val="20"/>
        </w:rPr>
        <w:t xml:space="preserve">.  </w:t>
      </w:r>
      <w:r w:rsidR="005072B9" w:rsidRPr="00F7263B">
        <w:rPr>
          <w:rFonts w:cs="Times New Roman"/>
          <w:sz w:val="20"/>
          <w:szCs w:val="20"/>
        </w:rPr>
        <w:t>(</w:t>
      </w:r>
      <w:r w:rsidR="00920316" w:rsidRPr="00F7263B">
        <w:rPr>
          <w:rFonts w:cs="Times New Roman"/>
          <w:sz w:val="20"/>
          <w:szCs w:val="20"/>
        </w:rPr>
        <w:t>D</w:t>
      </w:r>
      <w:r w:rsidRPr="00F7263B">
        <w:rPr>
          <w:rFonts w:cs="Times New Roman"/>
          <w:sz w:val="20"/>
          <w:szCs w:val="20"/>
        </w:rPr>
        <w:t>etails about capacity building are provided in the later section and in the annex</w:t>
      </w:r>
      <w:r w:rsidR="005072B9" w:rsidRPr="00F7263B">
        <w:rPr>
          <w:rFonts w:cs="Times New Roman"/>
          <w:sz w:val="20"/>
          <w:szCs w:val="20"/>
        </w:rPr>
        <w:t xml:space="preserve"> 1</w:t>
      </w:r>
      <w:r w:rsidRPr="00F7263B">
        <w:rPr>
          <w:rFonts w:cs="Times New Roman"/>
          <w:sz w:val="20"/>
          <w:szCs w:val="20"/>
        </w:rPr>
        <w:t xml:space="preserve">.) </w:t>
      </w:r>
    </w:p>
    <w:p w:rsidR="00906001" w:rsidRPr="00F7263B" w:rsidRDefault="00906001" w:rsidP="00556F1B">
      <w:pPr>
        <w:pStyle w:val="ListParagraph"/>
        <w:tabs>
          <w:tab w:val="left" w:pos="720"/>
          <w:tab w:val="left" w:pos="810"/>
        </w:tabs>
        <w:ind w:left="0"/>
        <w:jc w:val="both"/>
        <w:rPr>
          <w:rFonts w:cs="Times New Roman"/>
          <w:sz w:val="20"/>
          <w:szCs w:val="20"/>
        </w:rPr>
      </w:pPr>
    </w:p>
    <w:p w:rsidR="004E4895" w:rsidRPr="00F7263B" w:rsidRDefault="001D2940" w:rsidP="00556F1B">
      <w:pPr>
        <w:pStyle w:val="Heading2"/>
        <w:jc w:val="both"/>
        <w:rPr>
          <w:sz w:val="20"/>
          <w:szCs w:val="20"/>
        </w:rPr>
      </w:pPr>
      <w:bookmarkStart w:id="11" w:name="_Toc380167571"/>
      <w:r w:rsidRPr="00F7263B">
        <w:rPr>
          <w:sz w:val="20"/>
          <w:szCs w:val="20"/>
        </w:rPr>
        <w:t>P</w:t>
      </w:r>
      <w:r w:rsidR="000635E9" w:rsidRPr="00F7263B">
        <w:rPr>
          <w:sz w:val="20"/>
          <w:szCs w:val="20"/>
        </w:rPr>
        <w:t xml:space="preserve">rogram </w:t>
      </w:r>
      <w:r w:rsidRPr="00F7263B">
        <w:rPr>
          <w:sz w:val="20"/>
          <w:szCs w:val="20"/>
        </w:rPr>
        <w:t>D</w:t>
      </w:r>
      <w:r w:rsidR="000635E9" w:rsidRPr="00F7263B">
        <w:rPr>
          <w:sz w:val="20"/>
          <w:szCs w:val="20"/>
        </w:rPr>
        <w:t xml:space="preserve">evelopment </w:t>
      </w:r>
      <w:r w:rsidRPr="00F7263B">
        <w:rPr>
          <w:sz w:val="20"/>
          <w:szCs w:val="20"/>
        </w:rPr>
        <w:t>O</w:t>
      </w:r>
      <w:r w:rsidR="000635E9" w:rsidRPr="00F7263B">
        <w:rPr>
          <w:sz w:val="20"/>
          <w:szCs w:val="20"/>
        </w:rPr>
        <w:t>bjective</w:t>
      </w:r>
      <w:r w:rsidR="0015218C" w:rsidRPr="00F7263B">
        <w:rPr>
          <w:sz w:val="20"/>
          <w:szCs w:val="20"/>
        </w:rPr>
        <w:t>s</w:t>
      </w:r>
      <w:bookmarkEnd w:id="11"/>
    </w:p>
    <w:p w:rsidR="000F69D0" w:rsidRPr="00F7263B" w:rsidRDefault="000F69D0" w:rsidP="00556F1B">
      <w:pPr>
        <w:pStyle w:val="NoSpacing"/>
        <w:jc w:val="both"/>
        <w:rPr>
          <w:rFonts w:ascii="Times New Roman" w:hAnsi="Times New Roman" w:cs="Times New Roman"/>
          <w:sz w:val="20"/>
          <w:szCs w:val="20"/>
        </w:rPr>
      </w:pPr>
    </w:p>
    <w:p w:rsidR="001B4D34" w:rsidRPr="00F7263B" w:rsidRDefault="001B4D34" w:rsidP="00D92D63">
      <w:pPr>
        <w:pStyle w:val="ListParagraph"/>
        <w:numPr>
          <w:ilvl w:val="0"/>
          <w:numId w:val="9"/>
        </w:numPr>
        <w:ind w:left="0" w:firstLine="0"/>
        <w:jc w:val="both"/>
        <w:rPr>
          <w:rFonts w:cs="Times New Roman"/>
          <w:color w:val="000000"/>
          <w:sz w:val="20"/>
          <w:szCs w:val="20"/>
        </w:rPr>
      </w:pPr>
      <w:r w:rsidRPr="00F7263B">
        <w:rPr>
          <w:rFonts w:cs="Times New Roman"/>
          <w:color w:val="000000"/>
          <w:sz w:val="20"/>
          <w:szCs w:val="20"/>
        </w:rPr>
        <w:t>The Program Development Objective (PDO) is to enhance the institutional performance of participating urban local governments in developing and sustaining urban infrastructure and services</w:t>
      </w:r>
      <w:r w:rsidR="00A1368B" w:rsidRPr="00F7263B">
        <w:rPr>
          <w:rFonts w:cs="Times New Roman"/>
          <w:color w:val="000000"/>
          <w:sz w:val="20"/>
          <w:szCs w:val="20"/>
        </w:rPr>
        <w:t xml:space="preserve">.  </w:t>
      </w:r>
    </w:p>
    <w:p w:rsidR="00CF0BDB" w:rsidRPr="00F7263B" w:rsidRDefault="00CF0BDB" w:rsidP="00556F1B">
      <w:pPr>
        <w:pStyle w:val="ListParagraph"/>
        <w:ind w:left="0"/>
        <w:jc w:val="both"/>
        <w:rPr>
          <w:rFonts w:cs="Times New Roman"/>
          <w:color w:val="000000"/>
          <w:sz w:val="20"/>
          <w:szCs w:val="20"/>
        </w:rPr>
      </w:pPr>
    </w:p>
    <w:p w:rsidR="002648FD" w:rsidRPr="00F7263B" w:rsidRDefault="001D2940" w:rsidP="00556F1B">
      <w:pPr>
        <w:pStyle w:val="Heading2"/>
        <w:jc w:val="both"/>
        <w:rPr>
          <w:sz w:val="20"/>
          <w:szCs w:val="20"/>
        </w:rPr>
      </w:pPr>
      <w:bookmarkStart w:id="12" w:name="_Toc380167572"/>
      <w:r w:rsidRPr="00F7263B">
        <w:rPr>
          <w:sz w:val="20"/>
          <w:szCs w:val="20"/>
        </w:rPr>
        <w:t>Program Key Results</w:t>
      </w:r>
      <w:r w:rsidR="00126FE8" w:rsidRPr="00F7263B">
        <w:rPr>
          <w:sz w:val="20"/>
          <w:szCs w:val="20"/>
        </w:rPr>
        <w:t xml:space="preserve"> </w:t>
      </w:r>
      <w:r w:rsidR="00912C91" w:rsidRPr="00F7263B">
        <w:rPr>
          <w:sz w:val="20"/>
          <w:szCs w:val="20"/>
        </w:rPr>
        <w:t>and Disbursement Linked Indicators</w:t>
      </w:r>
      <w:bookmarkEnd w:id="12"/>
    </w:p>
    <w:p w:rsidR="002648FD" w:rsidRPr="00F7263B" w:rsidRDefault="002648FD" w:rsidP="00556F1B">
      <w:pPr>
        <w:pStyle w:val="NoSpacing"/>
        <w:jc w:val="both"/>
        <w:rPr>
          <w:rFonts w:ascii="Times New Roman" w:hAnsi="Times New Roman" w:cs="Times New Roman"/>
          <w:sz w:val="20"/>
          <w:szCs w:val="20"/>
        </w:rPr>
      </w:pPr>
    </w:p>
    <w:p w:rsidR="00A90981" w:rsidRPr="00F7263B" w:rsidRDefault="00A90981" w:rsidP="00D92D63">
      <w:pPr>
        <w:pStyle w:val="ListParagraph"/>
        <w:numPr>
          <w:ilvl w:val="0"/>
          <w:numId w:val="9"/>
        </w:numPr>
        <w:tabs>
          <w:tab w:val="left" w:pos="0"/>
        </w:tabs>
        <w:ind w:left="0" w:firstLine="0"/>
        <w:jc w:val="both"/>
        <w:rPr>
          <w:rFonts w:cs="Times New Roman"/>
          <w:sz w:val="20"/>
          <w:szCs w:val="20"/>
        </w:rPr>
      </w:pPr>
      <w:r w:rsidRPr="00F7263B">
        <w:rPr>
          <w:rFonts w:cs="Times New Roman"/>
          <w:sz w:val="20"/>
          <w:szCs w:val="20"/>
        </w:rPr>
        <w:t>The proposed key Program results indicators are:</w:t>
      </w:r>
    </w:p>
    <w:p w:rsidR="00A90981" w:rsidRPr="00F7263B" w:rsidRDefault="00A90981" w:rsidP="00556F1B">
      <w:pPr>
        <w:pStyle w:val="ListParagraph"/>
        <w:tabs>
          <w:tab w:val="left" w:pos="0"/>
        </w:tabs>
        <w:ind w:left="0"/>
        <w:jc w:val="both"/>
        <w:rPr>
          <w:rFonts w:cs="Times New Roman"/>
          <w:sz w:val="20"/>
          <w:szCs w:val="20"/>
        </w:rPr>
      </w:pPr>
    </w:p>
    <w:p w:rsidR="006E7278" w:rsidRPr="00F7263B" w:rsidRDefault="00445E1B" w:rsidP="00056FC8">
      <w:pPr>
        <w:pStyle w:val="ListParagraph"/>
        <w:numPr>
          <w:ilvl w:val="0"/>
          <w:numId w:val="70"/>
        </w:numPr>
        <w:spacing w:before="240" w:after="240"/>
        <w:ind w:left="1440" w:hanging="720"/>
        <w:jc w:val="both"/>
        <w:rPr>
          <w:rFonts w:cs="Times New Roman"/>
          <w:color w:val="000000"/>
          <w:sz w:val="20"/>
          <w:szCs w:val="20"/>
        </w:rPr>
      </w:pPr>
      <w:r w:rsidRPr="00F7263B">
        <w:rPr>
          <w:rFonts w:cs="Times New Roman"/>
          <w:sz w:val="20"/>
          <w:szCs w:val="20"/>
        </w:rPr>
        <w:t>Score in the APA for institutional performance of</w:t>
      </w:r>
      <w:r w:rsidR="00126FE8" w:rsidRPr="00F7263B">
        <w:rPr>
          <w:rFonts w:cs="Times New Roman"/>
          <w:sz w:val="20"/>
          <w:szCs w:val="20"/>
        </w:rPr>
        <w:t xml:space="preserve"> </w:t>
      </w:r>
      <w:r w:rsidRPr="00F7263B">
        <w:rPr>
          <w:rFonts w:cs="Times New Roman"/>
          <w:sz w:val="20"/>
          <w:szCs w:val="20"/>
        </w:rPr>
        <w:t>participating</w:t>
      </w:r>
      <w:r w:rsidR="004D2289">
        <w:rPr>
          <w:rFonts w:cs="Times New Roman"/>
          <w:sz w:val="20"/>
          <w:szCs w:val="20"/>
        </w:rPr>
        <w:t xml:space="preserve"> </w:t>
      </w:r>
      <w:r w:rsidRPr="00F7263B">
        <w:rPr>
          <w:rFonts w:cs="Times New Roman"/>
          <w:sz w:val="20"/>
          <w:szCs w:val="20"/>
        </w:rPr>
        <w:t>ULGs, averaged across all cities.</w:t>
      </w:r>
      <w:r w:rsidRPr="00F7263B">
        <w:rPr>
          <w:rFonts w:cs="Times New Roman"/>
          <w:sz w:val="20"/>
          <w:szCs w:val="20"/>
          <w:vertAlign w:val="superscript"/>
        </w:rPr>
        <w:footnoteReference w:id="15"/>
      </w:r>
    </w:p>
    <w:p w:rsidR="006E7278" w:rsidRPr="00F7263B" w:rsidRDefault="00445E1B" w:rsidP="00056FC8">
      <w:pPr>
        <w:pStyle w:val="ListParagraph"/>
        <w:numPr>
          <w:ilvl w:val="0"/>
          <w:numId w:val="70"/>
        </w:numPr>
        <w:tabs>
          <w:tab w:val="left" w:pos="0"/>
          <w:tab w:val="left" w:pos="90"/>
        </w:tabs>
        <w:spacing w:before="240" w:after="240"/>
        <w:ind w:left="1440" w:hanging="720"/>
        <w:jc w:val="both"/>
        <w:rPr>
          <w:rFonts w:cs="Times New Roman"/>
          <w:color w:val="000000"/>
          <w:sz w:val="20"/>
          <w:szCs w:val="20"/>
        </w:rPr>
      </w:pPr>
      <w:r w:rsidRPr="00F7263B">
        <w:rPr>
          <w:rFonts w:cs="Times New Roman"/>
          <w:sz w:val="20"/>
          <w:szCs w:val="20"/>
        </w:rPr>
        <w:lastRenderedPageBreak/>
        <w:t>Score in the APA for</w:t>
      </w:r>
      <w:r w:rsidR="00126FE8" w:rsidRPr="00F7263B">
        <w:rPr>
          <w:rFonts w:cs="Times New Roman"/>
          <w:sz w:val="20"/>
          <w:szCs w:val="20"/>
        </w:rPr>
        <w:t xml:space="preserve"> </w:t>
      </w:r>
      <w:r w:rsidRPr="00F7263B">
        <w:rPr>
          <w:rFonts w:cs="Times New Roman"/>
          <w:sz w:val="20"/>
          <w:szCs w:val="20"/>
        </w:rPr>
        <w:t>achievement of urban infrastructure targets by ULGs, averaged across all cities.</w:t>
      </w:r>
    </w:p>
    <w:p w:rsidR="0014501F" w:rsidRPr="00F7263B" w:rsidRDefault="0014501F" w:rsidP="00CD5A5F">
      <w:pPr>
        <w:pStyle w:val="ListParagraph"/>
        <w:tabs>
          <w:tab w:val="left" w:pos="0"/>
        </w:tabs>
        <w:ind w:left="0"/>
        <w:jc w:val="both"/>
        <w:rPr>
          <w:rFonts w:cs="Times New Roman"/>
          <w:sz w:val="20"/>
          <w:szCs w:val="20"/>
        </w:rPr>
      </w:pPr>
    </w:p>
    <w:p w:rsidR="00A90981" w:rsidRPr="00F7263B" w:rsidRDefault="00175254" w:rsidP="00CD5A5F">
      <w:pPr>
        <w:pStyle w:val="ListParagraph"/>
        <w:tabs>
          <w:tab w:val="left" w:pos="0"/>
        </w:tabs>
        <w:ind w:left="0"/>
        <w:jc w:val="both"/>
        <w:rPr>
          <w:rFonts w:cs="Times New Roman"/>
          <w:sz w:val="20"/>
          <w:szCs w:val="20"/>
        </w:rPr>
      </w:pPr>
      <w:r w:rsidRPr="00F7263B">
        <w:rPr>
          <w:rFonts w:cs="Times New Roman"/>
          <w:sz w:val="20"/>
          <w:szCs w:val="20"/>
        </w:rPr>
        <w:t>(</w:t>
      </w:r>
      <w:r w:rsidR="00B176C4" w:rsidRPr="00F7263B">
        <w:rPr>
          <w:rFonts w:cs="Times New Roman"/>
          <w:sz w:val="20"/>
          <w:szCs w:val="20"/>
        </w:rPr>
        <w:t>The complete</w:t>
      </w:r>
      <w:r w:rsidR="00F84B46" w:rsidRPr="00F7263B">
        <w:rPr>
          <w:rFonts w:cs="Times New Roman"/>
          <w:sz w:val="20"/>
          <w:szCs w:val="20"/>
        </w:rPr>
        <w:t xml:space="preserve"> table on the </w:t>
      </w:r>
      <w:r w:rsidR="00A62904" w:rsidRPr="00F7263B">
        <w:rPr>
          <w:rFonts w:cs="Times New Roman"/>
          <w:sz w:val="20"/>
          <w:szCs w:val="20"/>
        </w:rPr>
        <w:t>r</w:t>
      </w:r>
      <w:r w:rsidR="00F84B46" w:rsidRPr="00F7263B">
        <w:rPr>
          <w:rFonts w:cs="Times New Roman"/>
          <w:sz w:val="20"/>
          <w:szCs w:val="20"/>
        </w:rPr>
        <w:t xml:space="preserve">esults </w:t>
      </w:r>
      <w:r w:rsidR="00A62904" w:rsidRPr="00F7263B">
        <w:rPr>
          <w:rFonts w:cs="Times New Roman"/>
          <w:sz w:val="20"/>
          <w:szCs w:val="20"/>
        </w:rPr>
        <w:t>f</w:t>
      </w:r>
      <w:r w:rsidR="00F84B46" w:rsidRPr="00F7263B">
        <w:rPr>
          <w:rFonts w:cs="Times New Roman"/>
          <w:sz w:val="20"/>
          <w:szCs w:val="20"/>
        </w:rPr>
        <w:t xml:space="preserve">ramework and </w:t>
      </w:r>
      <w:r w:rsidR="00A62904" w:rsidRPr="00F7263B">
        <w:rPr>
          <w:rFonts w:cs="Times New Roman"/>
          <w:sz w:val="20"/>
          <w:szCs w:val="20"/>
        </w:rPr>
        <w:t>m</w:t>
      </w:r>
      <w:r w:rsidR="00F84B46" w:rsidRPr="00F7263B">
        <w:rPr>
          <w:rFonts w:cs="Times New Roman"/>
          <w:sz w:val="20"/>
          <w:szCs w:val="20"/>
        </w:rPr>
        <w:t>onitoring is</w:t>
      </w:r>
      <w:r w:rsidR="00B176C4" w:rsidRPr="00F7263B">
        <w:rPr>
          <w:rFonts w:cs="Times New Roman"/>
          <w:sz w:val="20"/>
          <w:szCs w:val="20"/>
        </w:rPr>
        <w:t xml:space="preserve"> provided in </w:t>
      </w:r>
      <w:r w:rsidR="0014501F" w:rsidRPr="00F7263B">
        <w:rPr>
          <w:rFonts w:cs="Times New Roman"/>
          <w:sz w:val="20"/>
          <w:szCs w:val="20"/>
        </w:rPr>
        <w:t>a</w:t>
      </w:r>
      <w:r w:rsidR="00F84B46" w:rsidRPr="00F7263B">
        <w:rPr>
          <w:rFonts w:cs="Times New Roman"/>
          <w:sz w:val="20"/>
          <w:szCs w:val="20"/>
        </w:rPr>
        <w:t>nnex 2.</w:t>
      </w:r>
      <w:r w:rsidRPr="00F7263B">
        <w:rPr>
          <w:rFonts w:cs="Times New Roman"/>
          <w:sz w:val="20"/>
          <w:szCs w:val="20"/>
        </w:rPr>
        <w:t>)</w:t>
      </w:r>
    </w:p>
    <w:p w:rsidR="00F84B46" w:rsidRPr="00F7263B" w:rsidRDefault="00F84B46" w:rsidP="00556F1B">
      <w:pPr>
        <w:pStyle w:val="ListParagraph"/>
        <w:tabs>
          <w:tab w:val="left" w:pos="0"/>
        </w:tabs>
        <w:ind w:left="0"/>
        <w:jc w:val="both"/>
        <w:rPr>
          <w:rFonts w:cs="Times New Roman"/>
          <w:sz w:val="20"/>
          <w:szCs w:val="20"/>
        </w:rPr>
      </w:pPr>
    </w:p>
    <w:p w:rsidR="00F31DC3" w:rsidRPr="00F7263B" w:rsidRDefault="00FF36D5" w:rsidP="00D92D63">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b/>
          <w:sz w:val="20"/>
          <w:szCs w:val="20"/>
        </w:rPr>
        <w:t>All Program funds will be provided through DLI</w:t>
      </w:r>
      <w:r w:rsidR="008706BD" w:rsidRPr="00F7263B">
        <w:rPr>
          <w:rFonts w:cs="Times New Roman"/>
          <w:b/>
          <w:sz w:val="20"/>
          <w:szCs w:val="20"/>
        </w:rPr>
        <w:t>s</w:t>
      </w:r>
      <w:r w:rsidR="00A1368B" w:rsidRPr="00F7263B">
        <w:rPr>
          <w:rFonts w:cs="Times New Roman"/>
          <w:b/>
          <w:sz w:val="20"/>
          <w:szCs w:val="20"/>
        </w:rPr>
        <w:t>.</w:t>
      </w:r>
      <w:r w:rsidR="004D2289">
        <w:rPr>
          <w:rFonts w:cs="Times New Roman"/>
          <w:b/>
          <w:sz w:val="20"/>
          <w:szCs w:val="20"/>
        </w:rPr>
        <w:t xml:space="preserve"> </w:t>
      </w:r>
      <w:r w:rsidR="00DC76D2" w:rsidRPr="00F7263B">
        <w:rPr>
          <w:rFonts w:cs="Times New Roman"/>
          <w:sz w:val="20"/>
          <w:szCs w:val="20"/>
        </w:rPr>
        <w:t>All</w:t>
      </w:r>
      <w:r w:rsidR="004D2289">
        <w:rPr>
          <w:rFonts w:cs="Times New Roman"/>
          <w:sz w:val="20"/>
          <w:szCs w:val="20"/>
        </w:rPr>
        <w:t xml:space="preserve"> </w:t>
      </w:r>
      <w:r w:rsidR="00DC76D2" w:rsidRPr="00F7263B">
        <w:rPr>
          <w:rFonts w:cs="Times New Roman"/>
          <w:sz w:val="20"/>
          <w:szCs w:val="20"/>
        </w:rPr>
        <w:t>t</w:t>
      </w:r>
      <w:r w:rsidR="008706BD" w:rsidRPr="00F7263B">
        <w:rPr>
          <w:rFonts w:cs="Times New Roman"/>
          <w:sz w:val="20"/>
          <w:szCs w:val="20"/>
        </w:rPr>
        <w:t xml:space="preserve">he </w:t>
      </w:r>
      <w:r w:rsidR="00D51402" w:rsidRPr="00F7263B">
        <w:rPr>
          <w:rFonts w:cs="Times New Roman"/>
          <w:sz w:val="20"/>
          <w:szCs w:val="20"/>
        </w:rPr>
        <w:t>DLIs focus on strengthening i</w:t>
      </w:r>
      <w:r w:rsidR="00DC76D2" w:rsidRPr="00F7263B">
        <w:rPr>
          <w:rFonts w:cs="Times New Roman"/>
          <w:sz w:val="20"/>
          <w:szCs w:val="20"/>
        </w:rPr>
        <w:t xml:space="preserve">nstitutions of urban management, </w:t>
      </w:r>
      <w:r w:rsidR="00D51402" w:rsidRPr="00F7263B">
        <w:rPr>
          <w:rFonts w:cs="Times New Roman"/>
          <w:sz w:val="20"/>
          <w:szCs w:val="20"/>
        </w:rPr>
        <w:t>by providing incentives to entities at all three levels of government that have key roles to play.  The first set of DLIs (1 through 3) aims to strengthen ULGs’ institutions and delivery of infrastructure and services.  The second set of DLIs (4 through 7) will target strengthening of regional government entities so that they can properly fulfill their mandates to support ULGs.  The third set of DLIs (8 and 9) focus on strengthening the capacity of federal government entities to assist both regions and ULGs.</w:t>
      </w:r>
      <w:r w:rsidR="00F31DC3" w:rsidRPr="00F7263B">
        <w:rPr>
          <w:rFonts w:cs="Times New Roman"/>
          <w:sz w:val="20"/>
          <w:szCs w:val="20"/>
        </w:rPr>
        <w:t xml:space="preserve">  Together, the nine DLIs provide strong incentives for improved management of urban areas.  Details of the DLIs follow.</w:t>
      </w:r>
    </w:p>
    <w:p w:rsidR="00F31DC3" w:rsidRPr="00F7263B" w:rsidRDefault="00F31DC3" w:rsidP="00F31DC3">
      <w:pPr>
        <w:pStyle w:val="ListParagraph"/>
        <w:tabs>
          <w:tab w:val="left" w:pos="0"/>
        </w:tabs>
        <w:spacing w:before="240" w:after="240"/>
        <w:ind w:left="0"/>
        <w:jc w:val="both"/>
        <w:rPr>
          <w:rFonts w:cs="Times New Roman"/>
          <w:sz w:val="20"/>
          <w:szCs w:val="20"/>
        </w:rPr>
      </w:pPr>
    </w:p>
    <w:p w:rsidR="00FF36D5" w:rsidRPr="00F7263B" w:rsidRDefault="00F31DC3" w:rsidP="00D92D63">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b/>
          <w:sz w:val="20"/>
          <w:szCs w:val="20"/>
        </w:rPr>
        <w:t>DLIs focusing on ULGs</w:t>
      </w:r>
      <w:r w:rsidR="00B620D0" w:rsidRPr="00F7263B">
        <w:rPr>
          <w:rFonts w:cs="Times New Roman"/>
          <w:sz w:val="20"/>
          <w:szCs w:val="20"/>
        </w:rPr>
        <w:t>.</w:t>
      </w:r>
      <w:r w:rsidR="004D2289">
        <w:rPr>
          <w:rFonts w:cs="Times New Roman"/>
          <w:sz w:val="20"/>
          <w:szCs w:val="20"/>
        </w:rPr>
        <w:t xml:space="preserve"> </w:t>
      </w:r>
      <w:r w:rsidR="00AE64C2" w:rsidRPr="00F7263B">
        <w:rPr>
          <w:rFonts w:cs="Times New Roman"/>
          <w:sz w:val="20"/>
          <w:szCs w:val="20"/>
        </w:rPr>
        <w:t>A total of</w:t>
      </w:r>
      <w:r w:rsidR="00FF36D5" w:rsidRPr="00F7263B">
        <w:rPr>
          <w:rFonts w:cs="Times New Roman"/>
          <w:sz w:val="20"/>
          <w:szCs w:val="20"/>
        </w:rPr>
        <w:t xml:space="preserve"> US$4</w:t>
      </w:r>
      <w:r w:rsidR="005D4275" w:rsidRPr="00F7263B">
        <w:rPr>
          <w:rFonts w:cs="Times New Roman"/>
          <w:sz w:val="20"/>
          <w:szCs w:val="20"/>
        </w:rPr>
        <w:t>99.5</w:t>
      </w:r>
      <w:r w:rsidR="00403187" w:rsidRPr="00F7263B">
        <w:rPr>
          <w:rFonts w:cs="Times New Roman"/>
          <w:sz w:val="20"/>
          <w:szCs w:val="20"/>
        </w:rPr>
        <w:t>3</w:t>
      </w:r>
      <w:r w:rsidR="00AE64C2" w:rsidRPr="00F7263B">
        <w:rPr>
          <w:rFonts w:cs="Times New Roman"/>
          <w:sz w:val="20"/>
          <w:szCs w:val="20"/>
        </w:rPr>
        <w:t>m</w:t>
      </w:r>
      <w:r w:rsidR="00FF36D5" w:rsidRPr="00F7263B">
        <w:rPr>
          <w:rFonts w:cs="Times New Roman"/>
          <w:sz w:val="20"/>
          <w:szCs w:val="20"/>
        </w:rPr>
        <w:t xml:space="preserve">illion (IDA: </w:t>
      </w:r>
      <w:r w:rsidR="00AE64C2" w:rsidRPr="00F7263B">
        <w:rPr>
          <w:rFonts w:cs="Times New Roman"/>
          <w:sz w:val="20"/>
          <w:szCs w:val="20"/>
        </w:rPr>
        <w:t>US$</w:t>
      </w:r>
      <w:r w:rsidR="00FF36D5" w:rsidRPr="00F7263B">
        <w:rPr>
          <w:rFonts w:cs="Times New Roman"/>
          <w:sz w:val="20"/>
          <w:szCs w:val="20"/>
        </w:rPr>
        <w:t>3</w:t>
      </w:r>
      <w:r w:rsidR="005D4275" w:rsidRPr="00F7263B">
        <w:rPr>
          <w:rFonts w:cs="Times New Roman"/>
          <w:sz w:val="20"/>
          <w:szCs w:val="20"/>
        </w:rPr>
        <w:t>23</w:t>
      </w:r>
      <w:r w:rsidR="00403187" w:rsidRPr="00F7263B">
        <w:rPr>
          <w:rFonts w:cs="Times New Roman"/>
          <w:sz w:val="20"/>
          <w:szCs w:val="20"/>
        </w:rPr>
        <w:t>.00</w:t>
      </w:r>
      <w:r w:rsidR="00FF36D5" w:rsidRPr="00F7263B">
        <w:rPr>
          <w:rFonts w:cs="Times New Roman"/>
          <w:sz w:val="20"/>
          <w:szCs w:val="20"/>
        </w:rPr>
        <w:t xml:space="preserve"> million</w:t>
      </w:r>
      <w:r w:rsidR="00AE64C2" w:rsidRPr="00F7263B">
        <w:rPr>
          <w:rFonts w:cs="Times New Roman"/>
          <w:sz w:val="20"/>
          <w:szCs w:val="20"/>
        </w:rPr>
        <w:t>,</w:t>
      </w:r>
      <w:r w:rsidR="004D2289">
        <w:rPr>
          <w:rFonts w:cs="Times New Roman"/>
          <w:sz w:val="20"/>
          <w:szCs w:val="20"/>
        </w:rPr>
        <w:t xml:space="preserve"> </w:t>
      </w:r>
      <w:r w:rsidR="00AE64C2" w:rsidRPr="00F7263B">
        <w:rPr>
          <w:rFonts w:cs="Times New Roman"/>
          <w:sz w:val="20"/>
          <w:szCs w:val="20"/>
        </w:rPr>
        <w:t>government: US$</w:t>
      </w:r>
      <w:r w:rsidR="005B52A3" w:rsidRPr="00F7263B">
        <w:rPr>
          <w:rFonts w:cs="Times New Roman"/>
          <w:sz w:val="20"/>
          <w:szCs w:val="20"/>
        </w:rPr>
        <w:t>176</w:t>
      </w:r>
      <w:r w:rsidR="005D4275" w:rsidRPr="00F7263B">
        <w:rPr>
          <w:rFonts w:cs="Times New Roman"/>
          <w:sz w:val="20"/>
          <w:szCs w:val="20"/>
        </w:rPr>
        <w:t>.5</w:t>
      </w:r>
      <w:r w:rsidR="00403187" w:rsidRPr="00F7263B">
        <w:rPr>
          <w:rFonts w:cs="Times New Roman"/>
          <w:sz w:val="20"/>
          <w:szCs w:val="20"/>
        </w:rPr>
        <w:t>3</w:t>
      </w:r>
      <w:r w:rsidR="00AE64C2" w:rsidRPr="00F7263B">
        <w:rPr>
          <w:rFonts w:cs="Times New Roman"/>
          <w:sz w:val="20"/>
          <w:szCs w:val="20"/>
        </w:rPr>
        <w:t xml:space="preserve"> m</w:t>
      </w:r>
      <w:r w:rsidR="00FF36D5" w:rsidRPr="00F7263B">
        <w:rPr>
          <w:rFonts w:cs="Times New Roman"/>
          <w:sz w:val="20"/>
          <w:szCs w:val="20"/>
        </w:rPr>
        <w:t xml:space="preserve">illion) </w:t>
      </w:r>
      <w:r w:rsidR="00AE64C2" w:rsidRPr="00F7263B">
        <w:rPr>
          <w:rFonts w:cs="Times New Roman"/>
          <w:sz w:val="20"/>
          <w:szCs w:val="20"/>
        </w:rPr>
        <w:t>has been allocated for these DLIs</w:t>
      </w:r>
      <w:r w:rsidR="00A1368B" w:rsidRPr="00F7263B">
        <w:rPr>
          <w:rFonts w:cs="Times New Roman"/>
          <w:sz w:val="20"/>
          <w:szCs w:val="20"/>
        </w:rPr>
        <w:t xml:space="preserve">.  </w:t>
      </w:r>
    </w:p>
    <w:p w:rsidR="0014501F" w:rsidRPr="00F7263B" w:rsidRDefault="0014501F" w:rsidP="0014501F">
      <w:pPr>
        <w:pStyle w:val="ListParagraph"/>
        <w:tabs>
          <w:tab w:val="left" w:pos="0"/>
        </w:tabs>
        <w:spacing w:before="240" w:after="240"/>
        <w:ind w:left="0"/>
        <w:jc w:val="both"/>
        <w:rPr>
          <w:rFonts w:cs="Times New Roman"/>
          <w:sz w:val="20"/>
          <w:szCs w:val="20"/>
        </w:rPr>
      </w:pPr>
    </w:p>
    <w:p w:rsidR="006E7278" w:rsidRPr="00F7263B" w:rsidRDefault="00FF36D5"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 xml:space="preserve">DLI 1: </w:t>
      </w:r>
      <w:r w:rsidR="00A77276" w:rsidRPr="00F7263B">
        <w:rPr>
          <w:rFonts w:cs="Times New Roman"/>
          <w:sz w:val="20"/>
          <w:szCs w:val="20"/>
        </w:rPr>
        <w:t xml:space="preserve">ULGs have achieved Program minimum conditions </w:t>
      </w:r>
      <w:r w:rsidR="00AE64C2" w:rsidRPr="00F7263B">
        <w:rPr>
          <w:rFonts w:cs="Times New Roman"/>
          <w:sz w:val="20"/>
          <w:szCs w:val="20"/>
        </w:rPr>
        <w:t>as demonstrated in the APA.</w:t>
      </w:r>
    </w:p>
    <w:p w:rsidR="006E7278" w:rsidRPr="00F7263B" w:rsidRDefault="00FF36D5"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 xml:space="preserve">DLI2: </w:t>
      </w:r>
      <w:r w:rsidR="00A77276" w:rsidRPr="00F7263B">
        <w:rPr>
          <w:rFonts w:cs="Times New Roman"/>
          <w:sz w:val="20"/>
          <w:szCs w:val="20"/>
        </w:rPr>
        <w:t xml:space="preserve">ULGs have strengthened institutional performance as </w:t>
      </w:r>
      <w:r w:rsidR="00AE64C2" w:rsidRPr="00F7263B">
        <w:rPr>
          <w:rFonts w:cs="Times New Roman"/>
          <w:sz w:val="20"/>
          <w:szCs w:val="20"/>
        </w:rPr>
        <w:t>demonstrated in the APA.</w:t>
      </w:r>
    </w:p>
    <w:p w:rsidR="006E7278" w:rsidRPr="00F7263B" w:rsidRDefault="00FF36D5"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 xml:space="preserve">DLI 3: </w:t>
      </w:r>
      <w:r w:rsidR="00A77276" w:rsidRPr="00F7263B">
        <w:rPr>
          <w:rFonts w:cs="Times New Roman"/>
          <w:sz w:val="20"/>
          <w:szCs w:val="20"/>
        </w:rPr>
        <w:t>ULGs have delivered infrastructure, maintenance and supported job creation as per their capital investment plans</w:t>
      </w:r>
      <w:r w:rsidR="00AE64C2" w:rsidRPr="00F7263B">
        <w:rPr>
          <w:rFonts w:cs="Times New Roman"/>
          <w:sz w:val="20"/>
          <w:szCs w:val="20"/>
        </w:rPr>
        <w:t xml:space="preserve"> and their annual action plans</w:t>
      </w:r>
      <w:r w:rsidR="00A77276" w:rsidRPr="00F7263B">
        <w:rPr>
          <w:rFonts w:cs="Times New Roman"/>
          <w:sz w:val="20"/>
          <w:szCs w:val="20"/>
        </w:rPr>
        <w:t xml:space="preserve">, as </w:t>
      </w:r>
      <w:r w:rsidR="00AE64C2" w:rsidRPr="00F7263B">
        <w:rPr>
          <w:rFonts w:cs="Times New Roman"/>
          <w:sz w:val="20"/>
          <w:szCs w:val="20"/>
        </w:rPr>
        <w:t>demonstrated in the APA</w:t>
      </w:r>
      <w:r w:rsidR="00FC2905" w:rsidRPr="00F7263B">
        <w:rPr>
          <w:rFonts w:cs="Times New Roman"/>
          <w:sz w:val="20"/>
          <w:szCs w:val="20"/>
        </w:rPr>
        <w:t>, and ensured that value for money</w:t>
      </w:r>
      <w:r w:rsidR="00AE5A90" w:rsidRPr="00F7263B">
        <w:rPr>
          <w:rFonts w:cs="Times New Roman"/>
          <w:sz w:val="20"/>
          <w:szCs w:val="20"/>
        </w:rPr>
        <w:t xml:space="preserve"> is </w:t>
      </w:r>
      <w:r w:rsidR="005C1A90" w:rsidRPr="00F7263B">
        <w:rPr>
          <w:rFonts w:cs="Times New Roman"/>
          <w:sz w:val="20"/>
          <w:szCs w:val="20"/>
        </w:rPr>
        <w:t>achieved</w:t>
      </w:r>
      <w:r w:rsidR="009609C1" w:rsidRPr="00F7263B">
        <w:rPr>
          <w:rFonts w:cs="Times New Roman"/>
          <w:sz w:val="20"/>
          <w:szCs w:val="20"/>
        </w:rPr>
        <w:t>.</w:t>
      </w:r>
    </w:p>
    <w:p w:rsidR="00FF36D5" w:rsidRPr="00F7263B" w:rsidRDefault="00FF36D5" w:rsidP="00FF36D5">
      <w:pPr>
        <w:pStyle w:val="ListParagraph"/>
        <w:spacing w:before="240"/>
        <w:ind w:left="0"/>
        <w:jc w:val="both"/>
        <w:rPr>
          <w:rFonts w:cs="Times New Roman"/>
          <w:i/>
          <w:sz w:val="20"/>
          <w:szCs w:val="20"/>
        </w:rPr>
      </w:pPr>
    </w:p>
    <w:p w:rsidR="00FF36D5" w:rsidRPr="00F7263B" w:rsidRDefault="009609C1" w:rsidP="00D92D63">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sz w:val="20"/>
          <w:szCs w:val="20"/>
        </w:rPr>
        <w:t xml:space="preserve">These </w:t>
      </w:r>
      <w:r w:rsidR="00FF36D5" w:rsidRPr="00F7263B">
        <w:rPr>
          <w:rFonts w:cs="Times New Roman"/>
          <w:sz w:val="20"/>
          <w:szCs w:val="20"/>
        </w:rPr>
        <w:t>DLIs support the Program’s overall result</w:t>
      </w:r>
      <w:r w:rsidRPr="00F7263B">
        <w:rPr>
          <w:rFonts w:cs="Times New Roman"/>
          <w:sz w:val="20"/>
          <w:szCs w:val="20"/>
        </w:rPr>
        <w:t>s</w:t>
      </w:r>
      <w:r w:rsidR="00FF36D5" w:rsidRPr="00F7263B">
        <w:rPr>
          <w:rFonts w:cs="Times New Roman"/>
          <w:sz w:val="20"/>
          <w:szCs w:val="20"/>
        </w:rPr>
        <w:t xml:space="preserve"> orientation</w:t>
      </w:r>
      <w:r w:rsidR="00A1368B" w:rsidRPr="00F7263B">
        <w:rPr>
          <w:rFonts w:cs="Times New Roman"/>
          <w:sz w:val="20"/>
          <w:szCs w:val="20"/>
        </w:rPr>
        <w:t xml:space="preserve">.  </w:t>
      </w:r>
      <w:r w:rsidR="00FF36D5" w:rsidRPr="00F7263B">
        <w:rPr>
          <w:rFonts w:cs="Times New Roman"/>
          <w:sz w:val="20"/>
          <w:szCs w:val="20"/>
        </w:rPr>
        <w:t xml:space="preserve">As such, these </w:t>
      </w:r>
      <w:r w:rsidR="00A77276" w:rsidRPr="00F7263B">
        <w:rPr>
          <w:rFonts w:cs="Times New Roman"/>
          <w:sz w:val="20"/>
          <w:szCs w:val="20"/>
        </w:rPr>
        <w:t>three</w:t>
      </w:r>
      <w:r w:rsidR="00FF36D5" w:rsidRPr="00F7263B">
        <w:rPr>
          <w:rFonts w:cs="Times New Roman"/>
          <w:sz w:val="20"/>
          <w:szCs w:val="20"/>
        </w:rPr>
        <w:t xml:space="preserve"> DLIs in particular build on ULGDP performance assessment system and aim to ensure t</w:t>
      </w:r>
      <w:r w:rsidR="00A77276" w:rsidRPr="00F7263B">
        <w:rPr>
          <w:rFonts w:cs="Times New Roman"/>
          <w:sz w:val="20"/>
          <w:szCs w:val="20"/>
        </w:rPr>
        <w:t>hat:</w:t>
      </w:r>
    </w:p>
    <w:p w:rsidR="0014501F" w:rsidRPr="00F7263B" w:rsidRDefault="0014501F" w:rsidP="0014501F">
      <w:pPr>
        <w:pStyle w:val="ListParagraph"/>
        <w:tabs>
          <w:tab w:val="left" w:pos="0"/>
        </w:tabs>
        <w:spacing w:before="240" w:after="240"/>
        <w:ind w:left="0"/>
        <w:jc w:val="both"/>
        <w:rPr>
          <w:rFonts w:cs="Times New Roman"/>
          <w:sz w:val="20"/>
          <w:szCs w:val="20"/>
        </w:rPr>
      </w:pPr>
    </w:p>
    <w:p w:rsidR="006E7278" w:rsidRPr="00F7263B" w:rsidRDefault="00FF36D5"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 xml:space="preserve">Basic fiduciary, project planning and execution, and environmental and social management </w:t>
      </w:r>
      <w:r w:rsidR="00572DAF" w:rsidRPr="00F7263B">
        <w:rPr>
          <w:rFonts w:cs="Times New Roman"/>
          <w:sz w:val="20"/>
          <w:szCs w:val="20"/>
        </w:rPr>
        <w:t>systems</w:t>
      </w:r>
      <w:r w:rsidR="00126FE8" w:rsidRPr="00F7263B">
        <w:rPr>
          <w:rFonts w:cs="Times New Roman"/>
          <w:sz w:val="20"/>
          <w:szCs w:val="20"/>
        </w:rPr>
        <w:t xml:space="preserve"> </w:t>
      </w:r>
      <w:r w:rsidRPr="00F7263B">
        <w:rPr>
          <w:rFonts w:cs="Times New Roman"/>
          <w:sz w:val="20"/>
          <w:szCs w:val="20"/>
        </w:rPr>
        <w:t>are in place such that local governments can absorb the Program funding</w:t>
      </w:r>
      <w:r w:rsidR="009609C1" w:rsidRPr="00F7263B">
        <w:rPr>
          <w:rFonts w:cs="Times New Roman"/>
          <w:sz w:val="20"/>
          <w:szCs w:val="20"/>
        </w:rPr>
        <w:t>.</w:t>
      </w:r>
    </w:p>
    <w:p w:rsidR="006E7278" w:rsidRPr="00F7263B" w:rsidRDefault="00FF36D5"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ULGs continue to strengthen their institutions of urban management</w:t>
      </w:r>
      <w:r w:rsidR="009609C1" w:rsidRPr="00F7263B">
        <w:rPr>
          <w:rFonts w:cs="Times New Roman"/>
          <w:sz w:val="20"/>
          <w:szCs w:val="20"/>
        </w:rPr>
        <w:t>.</w:t>
      </w:r>
    </w:p>
    <w:p w:rsidR="006E7278" w:rsidRPr="00F7263B" w:rsidRDefault="009609C1" w:rsidP="00827BD7">
      <w:pPr>
        <w:pStyle w:val="ListParagraph"/>
        <w:numPr>
          <w:ilvl w:val="0"/>
          <w:numId w:val="25"/>
        </w:numPr>
        <w:spacing w:before="240" w:after="200"/>
        <w:ind w:left="1440" w:hanging="720"/>
        <w:jc w:val="both"/>
        <w:rPr>
          <w:rFonts w:cs="Times New Roman"/>
          <w:i/>
          <w:sz w:val="20"/>
          <w:szCs w:val="20"/>
        </w:rPr>
      </w:pPr>
      <w:r w:rsidRPr="00F7263B">
        <w:rPr>
          <w:rFonts w:cs="Times New Roman"/>
          <w:sz w:val="20"/>
          <w:szCs w:val="20"/>
        </w:rPr>
        <w:t>ULGs use P</w:t>
      </w:r>
      <w:r w:rsidR="00FF36D5" w:rsidRPr="00F7263B">
        <w:rPr>
          <w:rFonts w:cs="Times New Roman"/>
          <w:sz w:val="20"/>
          <w:szCs w:val="20"/>
        </w:rPr>
        <w:t>rogram funds effectively in creating infrastructure and delivering services.</w:t>
      </w:r>
    </w:p>
    <w:p w:rsidR="00FF36D5" w:rsidRPr="00F7263B" w:rsidRDefault="00FF36D5" w:rsidP="00FF36D5">
      <w:pPr>
        <w:pStyle w:val="ListParagraph"/>
        <w:spacing w:before="240"/>
        <w:ind w:left="0"/>
        <w:jc w:val="both"/>
        <w:rPr>
          <w:rFonts w:cs="Times New Roman"/>
          <w:i/>
          <w:sz w:val="20"/>
          <w:szCs w:val="20"/>
        </w:rPr>
      </w:pPr>
    </w:p>
    <w:p w:rsidR="004838A4" w:rsidRPr="00F7263B" w:rsidRDefault="004838A4" w:rsidP="0068255C">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b/>
          <w:sz w:val="20"/>
          <w:szCs w:val="20"/>
        </w:rPr>
        <w:t>The disbursement system for DLIs 1, 2</w:t>
      </w:r>
      <w:r w:rsidR="00A67DF6" w:rsidRPr="00F7263B">
        <w:rPr>
          <w:rFonts w:cs="Times New Roman"/>
          <w:b/>
          <w:sz w:val="20"/>
          <w:szCs w:val="20"/>
        </w:rPr>
        <w:t>,</w:t>
      </w:r>
      <w:r w:rsidRPr="00F7263B">
        <w:rPr>
          <w:rFonts w:cs="Times New Roman"/>
          <w:b/>
          <w:sz w:val="20"/>
          <w:szCs w:val="20"/>
        </w:rPr>
        <w:t xml:space="preserve"> and 3 is flexible towards actual performance of ULGs</w:t>
      </w:r>
      <w:r w:rsidRPr="00F7263B">
        <w:rPr>
          <w:rFonts w:cs="Times New Roman"/>
          <w:sz w:val="20"/>
          <w:szCs w:val="20"/>
        </w:rPr>
        <w:t xml:space="preserve">. It is particularly important to note that if Program ULGs perform better (or </w:t>
      </w:r>
      <w:r w:rsidR="00A67DF6" w:rsidRPr="00F7263B">
        <w:rPr>
          <w:rFonts w:cs="Times New Roman"/>
          <w:sz w:val="20"/>
          <w:szCs w:val="20"/>
        </w:rPr>
        <w:t>worse</w:t>
      </w:r>
      <w:r w:rsidRPr="00F7263B">
        <w:rPr>
          <w:rFonts w:cs="Times New Roman"/>
          <w:sz w:val="20"/>
          <w:szCs w:val="20"/>
        </w:rPr>
        <w:t xml:space="preserve">) than expected (as set out in disbursement targets in the DLI matrix below), disbursements will be adjusted accordingly. This means that if the Program ULGs perform </w:t>
      </w:r>
      <w:r w:rsidR="00A67DF6" w:rsidRPr="00F7263B">
        <w:rPr>
          <w:rFonts w:cs="Times New Roman"/>
          <w:sz w:val="20"/>
          <w:szCs w:val="20"/>
        </w:rPr>
        <w:t>better</w:t>
      </w:r>
      <w:r w:rsidR="00126FE8" w:rsidRPr="00F7263B">
        <w:rPr>
          <w:rFonts w:cs="Times New Roman"/>
          <w:sz w:val="20"/>
          <w:szCs w:val="20"/>
        </w:rPr>
        <w:t xml:space="preserve"> </w:t>
      </w:r>
      <w:r w:rsidRPr="00F7263B">
        <w:rPr>
          <w:rFonts w:cs="Times New Roman"/>
          <w:sz w:val="20"/>
          <w:szCs w:val="20"/>
        </w:rPr>
        <w:t xml:space="preserve">than expected, they will receive </w:t>
      </w:r>
      <w:r w:rsidR="00A67DF6" w:rsidRPr="00F7263B">
        <w:rPr>
          <w:rFonts w:cs="Times New Roman"/>
          <w:sz w:val="20"/>
          <w:szCs w:val="20"/>
        </w:rPr>
        <w:t>additional</w:t>
      </w:r>
      <w:r w:rsidR="00126FE8" w:rsidRPr="00F7263B">
        <w:rPr>
          <w:rFonts w:cs="Times New Roman"/>
          <w:sz w:val="20"/>
          <w:szCs w:val="20"/>
        </w:rPr>
        <w:t xml:space="preserve"> </w:t>
      </w:r>
      <w:r w:rsidR="00A67DF6" w:rsidRPr="00F7263B">
        <w:rPr>
          <w:rFonts w:cs="Times New Roman"/>
          <w:sz w:val="20"/>
          <w:szCs w:val="20"/>
        </w:rPr>
        <w:t>funds</w:t>
      </w:r>
      <w:r w:rsidRPr="00F7263B">
        <w:rPr>
          <w:rFonts w:cs="Times New Roman"/>
          <w:sz w:val="20"/>
          <w:szCs w:val="20"/>
        </w:rPr>
        <w:t xml:space="preserve">. If </w:t>
      </w:r>
      <w:r w:rsidR="00A67DF6" w:rsidRPr="00F7263B">
        <w:rPr>
          <w:rFonts w:cs="Times New Roman"/>
          <w:sz w:val="20"/>
          <w:szCs w:val="20"/>
        </w:rPr>
        <w:t>many ULGs perform better than expected, Program funds will be disbursed more rapidly tha</w:t>
      </w:r>
      <w:r w:rsidR="00861965" w:rsidRPr="00F7263B">
        <w:rPr>
          <w:rFonts w:cs="Times New Roman"/>
          <w:sz w:val="20"/>
          <w:szCs w:val="20"/>
        </w:rPr>
        <w:t>n</w:t>
      </w:r>
      <w:r w:rsidR="00A67DF6" w:rsidRPr="00F7263B">
        <w:rPr>
          <w:rFonts w:cs="Times New Roman"/>
          <w:sz w:val="20"/>
          <w:szCs w:val="20"/>
        </w:rPr>
        <w:t xml:space="preserve"> currently anticipated,</w:t>
      </w:r>
      <w:r w:rsidR="00126FE8" w:rsidRPr="00F7263B">
        <w:rPr>
          <w:rFonts w:cs="Times New Roman"/>
          <w:sz w:val="20"/>
          <w:szCs w:val="20"/>
        </w:rPr>
        <w:t xml:space="preserve"> </w:t>
      </w:r>
      <w:r w:rsidR="00C01852" w:rsidRPr="00F7263B">
        <w:rPr>
          <w:rFonts w:cs="Times New Roman"/>
          <w:sz w:val="20"/>
          <w:szCs w:val="20"/>
        </w:rPr>
        <w:t xml:space="preserve">and </w:t>
      </w:r>
      <w:r w:rsidRPr="00F7263B">
        <w:rPr>
          <w:rFonts w:cs="Times New Roman"/>
          <w:sz w:val="20"/>
          <w:szCs w:val="20"/>
        </w:rPr>
        <w:t xml:space="preserve">additional financing will be needed.  </w:t>
      </w:r>
    </w:p>
    <w:p w:rsidR="004838A4" w:rsidRPr="00F7263B" w:rsidRDefault="004838A4" w:rsidP="0068255C">
      <w:pPr>
        <w:pStyle w:val="ListParagraph"/>
        <w:tabs>
          <w:tab w:val="left" w:pos="0"/>
        </w:tabs>
        <w:spacing w:before="240" w:after="240"/>
        <w:ind w:left="0"/>
        <w:jc w:val="both"/>
        <w:rPr>
          <w:rFonts w:cs="Times New Roman"/>
          <w:sz w:val="20"/>
          <w:szCs w:val="20"/>
        </w:rPr>
      </w:pPr>
    </w:p>
    <w:p w:rsidR="00FF36D5" w:rsidRPr="00F7263B" w:rsidRDefault="00F31DC3" w:rsidP="00D92D63">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b/>
          <w:sz w:val="20"/>
          <w:szCs w:val="20"/>
        </w:rPr>
        <w:t>DLIs focusing on regional government entities</w:t>
      </w:r>
      <w:r w:rsidR="00A1368B" w:rsidRPr="00F7263B">
        <w:rPr>
          <w:rFonts w:cs="Times New Roman"/>
          <w:sz w:val="20"/>
          <w:szCs w:val="20"/>
        </w:rPr>
        <w:t xml:space="preserve">.  </w:t>
      </w:r>
      <w:r w:rsidRPr="00F7263B">
        <w:rPr>
          <w:rFonts w:cs="Times New Roman"/>
          <w:sz w:val="20"/>
          <w:szCs w:val="20"/>
        </w:rPr>
        <w:t>A total of US$</w:t>
      </w:r>
      <w:r w:rsidR="00D27458" w:rsidRPr="00F7263B">
        <w:rPr>
          <w:rFonts w:cs="Times New Roman"/>
          <w:sz w:val="20"/>
          <w:szCs w:val="20"/>
        </w:rPr>
        <w:t>3</w:t>
      </w:r>
      <w:r w:rsidR="00E950F9" w:rsidRPr="00F7263B">
        <w:rPr>
          <w:rFonts w:cs="Times New Roman"/>
          <w:sz w:val="20"/>
          <w:szCs w:val="20"/>
        </w:rPr>
        <w:t>0</w:t>
      </w:r>
      <w:r w:rsidRPr="00F7263B">
        <w:rPr>
          <w:rFonts w:cs="Times New Roman"/>
          <w:sz w:val="20"/>
          <w:szCs w:val="20"/>
        </w:rPr>
        <w:t xml:space="preserve"> m</w:t>
      </w:r>
      <w:r w:rsidR="00E950F9" w:rsidRPr="00F7263B">
        <w:rPr>
          <w:rFonts w:cs="Times New Roman"/>
          <w:sz w:val="20"/>
          <w:szCs w:val="20"/>
        </w:rPr>
        <w:t xml:space="preserve">illion </w:t>
      </w:r>
      <w:r w:rsidRPr="00F7263B">
        <w:rPr>
          <w:rFonts w:cs="Times New Roman"/>
          <w:sz w:val="20"/>
          <w:szCs w:val="20"/>
        </w:rPr>
        <w:t xml:space="preserve">IDA has been allocated for these DLIs.  </w:t>
      </w:r>
    </w:p>
    <w:p w:rsidR="00FF36D5" w:rsidRPr="00F7263B" w:rsidRDefault="00FF36D5" w:rsidP="00FF36D5">
      <w:pPr>
        <w:pStyle w:val="ListParagraph"/>
        <w:spacing w:before="240"/>
        <w:ind w:left="0"/>
        <w:jc w:val="both"/>
        <w:rPr>
          <w:rFonts w:cs="Times New Roman"/>
          <w:i/>
          <w:sz w:val="20"/>
          <w:szCs w:val="20"/>
        </w:rPr>
      </w:pPr>
    </w:p>
    <w:p w:rsidR="006E7278" w:rsidRPr="00F7263B" w:rsidRDefault="00FF36D5"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 xml:space="preserve">DLI </w:t>
      </w:r>
      <w:r w:rsidR="00A77276" w:rsidRPr="00F7263B">
        <w:rPr>
          <w:rFonts w:cs="Times New Roman"/>
          <w:sz w:val="20"/>
          <w:szCs w:val="20"/>
        </w:rPr>
        <w:t>4</w:t>
      </w:r>
      <w:r w:rsidRPr="00F7263B">
        <w:rPr>
          <w:rFonts w:cs="Times New Roman"/>
          <w:sz w:val="20"/>
          <w:szCs w:val="20"/>
        </w:rPr>
        <w:t xml:space="preserve">: </w:t>
      </w:r>
      <w:r w:rsidR="00A77276" w:rsidRPr="00F7263B">
        <w:rPr>
          <w:rFonts w:cs="Times New Roman"/>
          <w:sz w:val="20"/>
          <w:szCs w:val="20"/>
        </w:rPr>
        <w:t>Regional government capacity building and support teams in place and support urban service delivery</w:t>
      </w:r>
      <w:r w:rsidR="00B620D0" w:rsidRPr="00F7263B">
        <w:rPr>
          <w:rFonts w:cs="Times New Roman"/>
          <w:sz w:val="20"/>
          <w:szCs w:val="20"/>
        </w:rPr>
        <w:t>.</w:t>
      </w:r>
    </w:p>
    <w:p w:rsidR="006E7278" w:rsidRPr="00F7263B" w:rsidRDefault="00A77276"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DLI 5</w:t>
      </w:r>
      <w:r w:rsidR="00FF36D5" w:rsidRPr="00F7263B">
        <w:rPr>
          <w:rFonts w:cs="Times New Roman"/>
          <w:sz w:val="20"/>
          <w:szCs w:val="20"/>
        </w:rPr>
        <w:t xml:space="preserve">: </w:t>
      </w:r>
      <w:r w:rsidR="00B620D0" w:rsidRPr="00F7263B">
        <w:rPr>
          <w:rFonts w:cs="Times New Roman"/>
          <w:sz w:val="20"/>
          <w:szCs w:val="20"/>
        </w:rPr>
        <w:t xml:space="preserve">Offices of the </w:t>
      </w:r>
      <w:r w:rsidRPr="00F7263B">
        <w:rPr>
          <w:rFonts w:cs="Times New Roman"/>
          <w:sz w:val="20"/>
          <w:szCs w:val="20"/>
        </w:rPr>
        <w:t xml:space="preserve">Regional </w:t>
      </w:r>
      <w:r w:rsidR="00B620D0" w:rsidRPr="00F7263B">
        <w:rPr>
          <w:rFonts w:cs="Times New Roman"/>
          <w:sz w:val="20"/>
          <w:szCs w:val="20"/>
        </w:rPr>
        <w:t xml:space="preserve">Auditor Generals </w:t>
      </w:r>
      <w:r w:rsidRPr="00F7263B">
        <w:rPr>
          <w:rFonts w:cs="Times New Roman"/>
          <w:sz w:val="20"/>
          <w:szCs w:val="20"/>
        </w:rPr>
        <w:t>(ORAG</w:t>
      </w:r>
      <w:r w:rsidR="00DE3F7A" w:rsidRPr="00F7263B">
        <w:rPr>
          <w:rFonts w:cs="Times New Roman"/>
          <w:sz w:val="20"/>
          <w:szCs w:val="20"/>
        </w:rPr>
        <w:t>s</w:t>
      </w:r>
      <w:r w:rsidRPr="00F7263B">
        <w:rPr>
          <w:rFonts w:cs="Times New Roman"/>
          <w:sz w:val="20"/>
          <w:szCs w:val="20"/>
        </w:rPr>
        <w:t xml:space="preserve">) carry out </w:t>
      </w:r>
      <w:r w:rsidR="00B620D0" w:rsidRPr="00F7263B">
        <w:rPr>
          <w:rFonts w:cs="Times New Roman"/>
          <w:sz w:val="20"/>
          <w:szCs w:val="20"/>
        </w:rPr>
        <w:t xml:space="preserve">timely </w:t>
      </w:r>
      <w:r w:rsidRPr="00F7263B">
        <w:rPr>
          <w:rFonts w:cs="Times New Roman"/>
          <w:sz w:val="20"/>
          <w:szCs w:val="20"/>
        </w:rPr>
        <w:t xml:space="preserve">audits </w:t>
      </w:r>
      <w:r w:rsidR="00B620D0" w:rsidRPr="00F7263B">
        <w:rPr>
          <w:rFonts w:cs="Times New Roman"/>
          <w:sz w:val="20"/>
          <w:szCs w:val="20"/>
        </w:rPr>
        <w:t>of ULGs’ financial reports</w:t>
      </w:r>
      <w:r w:rsidR="004B7453" w:rsidRPr="00F7263B">
        <w:rPr>
          <w:rFonts w:cs="Times New Roman"/>
          <w:sz w:val="20"/>
          <w:szCs w:val="20"/>
        </w:rPr>
        <w:t xml:space="preserve"> (by January 7 of each financial year)</w:t>
      </w:r>
      <w:r w:rsidR="00B620D0" w:rsidRPr="00F7263B">
        <w:rPr>
          <w:rFonts w:cs="Times New Roman"/>
          <w:sz w:val="20"/>
          <w:szCs w:val="20"/>
        </w:rPr>
        <w:t>.</w:t>
      </w:r>
    </w:p>
    <w:p w:rsidR="006E7278" w:rsidRPr="00F7263B" w:rsidRDefault="00A77276"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DLI 6</w:t>
      </w:r>
      <w:r w:rsidR="00FF36D5" w:rsidRPr="00F7263B">
        <w:rPr>
          <w:rFonts w:cs="Times New Roman"/>
          <w:sz w:val="20"/>
          <w:szCs w:val="20"/>
        </w:rPr>
        <w:t xml:space="preserve">: </w:t>
      </w:r>
      <w:r w:rsidRPr="00F7263B">
        <w:rPr>
          <w:rFonts w:cs="Times New Roman"/>
          <w:sz w:val="20"/>
          <w:szCs w:val="20"/>
        </w:rPr>
        <w:t>Regional environmental protection agencies (REPA</w:t>
      </w:r>
      <w:r w:rsidR="00B620D0" w:rsidRPr="00F7263B">
        <w:rPr>
          <w:rFonts w:cs="Times New Roman"/>
          <w:sz w:val="20"/>
          <w:szCs w:val="20"/>
        </w:rPr>
        <w:t>s</w:t>
      </w:r>
      <w:r w:rsidRPr="00F7263B">
        <w:rPr>
          <w:rFonts w:cs="Times New Roman"/>
          <w:sz w:val="20"/>
          <w:szCs w:val="20"/>
        </w:rPr>
        <w:t xml:space="preserve">) </w:t>
      </w:r>
      <w:r w:rsidR="00B620D0" w:rsidRPr="00F7263B">
        <w:rPr>
          <w:rFonts w:cs="Times New Roman"/>
          <w:sz w:val="20"/>
          <w:szCs w:val="20"/>
        </w:rPr>
        <w:t xml:space="preserve">timely </w:t>
      </w:r>
      <w:r w:rsidRPr="00F7263B">
        <w:rPr>
          <w:rFonts w:cs="Times New Roman"/>
          <w:sz w:val="20"/>
          <w:szCs w:val="20"/>
        </w:rPr>
        <w:t>review ULG safeguards compliance</w:t>
      </w:r>
      <w:r w:rsidR="00B620D0" w:rsidRPr="00F7263B">
        <w:rPr>
          <w:rFonts w:cs="Times New Roman"/>
          <w:sz w:val="20"/>
          <w:szCs w:val="20"/>
        </w:rPr>
        <w:t>.</w:t>
      </w:r>
      <w:r w:rsidR="004D2289">
        <w:rPr>
          <w:rFonts w:cs="Times New Roman"/>
          <w:sz w:val="20"/>
          <w:szCs w:val="20"/>
        </w:rPr>
        <w:t xml:space="preserve"> </w:t>
      </w:r>
      <w:r w:rsidR="004B7453" w:rsidRPr="00F7263B">
        <w:rPr>
          <w:rFonts w:cs="Times New Roman"/>
          <w:sz w:val="20"/>
          <w:szCs w:val="20"/>
        </w:rPr>
        <w:t>This indicator will be fulfilled when the regional environmental protection agencies have carried out the safeguards reviews/audits of ULGs in their jurisdictions before the start of the annual performance assessment in each year.</w:t>
      </w:r>
    </w:p>
    <w:p w:rsidR="006E7278" w:rsidRPr="00F7263B" w:rsidRDefault="00A77276" w:rsidP="00827BD7">
      <w:pPr>
        <w:pStyle w:val="ListParagraph"/>
        <w:numPr>
          <w:ilvl w:val="0"/>
          <w:numId w:val="25"/>
        </w:numPr>
        <w:spacing w:before="240" w:after="200"/>
        <w:ind w:left="1440" w:hanging="720"/>
        <w:jc w:val="both"/>
        <w:rPr>
          <w:rFonts w:cs="Times New Roman"/>
          <w:sz w:val="20"/>
          <w:szCs w:val="20"/>
        </w:rPr>
      </w:pPr>
      <w:r w:rsidRPr="00F7263B">
        <w:rPr>
          <w:rFonts w:cs="Times New Roman"/>
          <w:sz w:val="20"/>
          <w:szCs w:val="20"/>
        </w:rPr>
        <w:t>DLI 7</w:t>
      </w:r>
      <w:r w:rsidR="00FF36D5" w:rsidRPr="00F7263B">
        <w:rPr>
          <w:rFonts w:cs="Times New Roman"/>
          <w:sz w:val="20"/>
          <w:szCs w:val="20"/>
        </w:rPr>
        <w:t xml:space="preserve">: </w:t>
      </w:r>
      <w:r w:rsidRPr="00F7263B">
        <w:rPr>
          <w:rFonts w:cs="Times New Roman"/>
          <w:sz w:val="20"/>
          <w:szCs w:val="20"/>
        </w:rPr>
        <w:t xml:space="preserve">Regional </w:t>
      </w:r>
      <w:r w:rsidR="00B620D0" w:rsidRPr="00F7263B">
        <w:rPr>
          <w:rFonts w:cs="Times New Roman"/>
          <w:sz w:val="20"/>
          <w:szCs w:val="20"/>
        </w:rPr>
        <w:t>revenue a</w:t>
      </w:r>
      <w:r w:rsidR="00196818" w:rsidRPr="00F7263B">
        <w:rPr>
          <w:rFonts w:cs="Times New Roman"/>
          <w:sz w:val="20"/>
          <w:szCs w:val="20"/>
        </w:rPr>
        <w:t xml:space="preserve">uthorities </w:t>
      </w:r>
      <w:r w:rsidRPr="00F7263B">
        <w:rPr>
          <w:rFonts w:cs="Times New Roman"/>
          <w:sz w:val="20"/>
          <w:szCs w:val="20"/>
        </w:rPr>
        <w:t>support ULG</w:t>
      </w:r>
      <w:r w:rsidR="00B620D0" w:rsidRPr="00F7263B">
        <w:rPr>
          <w:rFonts w:cs="Times New Roman"/>
          <w:sz w:val="20"/>
          <w:szCs w:val="20"/>
        </w:rPr>
        <w:t>s’ efforts to mobilize</w:t>
      </w:r>
      <w:r w:rsidRPr="00F7263B">
        <w:rPr>
          <w:rFonts w:cs="Times New Roman"/>
          <w:sz w:val="20"/>
          <w:szCs w:val="20"/>
        </w:rPr>
        <w:t xml:space="preserve"> revenue</w:t>
      </w:r>
      <w:r w:rsidR="00B620D0" w:rsidRPr="00F7263B">
        <w:rPr>
          <w:rFonts w:cs="Times New Roman"/>
          <w:sz w:val="20"/>
          <w:szCs w:val="20"/>
        </w:rPr>
        <w:t>.</w:t>
      </w:r>
    </w:p>
    <w:p w:rsidR="00A77276" w:rsidRPr="00F7263B" w:rsidRDefault="00A77276" w:rsidP="00A77276">
      <w:pPr>
        <w:pStyle w:val="ListParagraph"/>
        <w:tabs>
          <w:tab w:val="left" w:pos="0"/>
        </w:tabs>
        <w:spacing w:before="240" w:after="240"/>
        <w:ind w:left="0"/>
        <w:jc w:val="both"/>
        <w:rPr>
          <w:rFonts w:cs="Times New Roman"/>
          <w:sz w:val="20"/>
          <w:szCs w:val="20"/>
        </w:rPr>
      </w:pPr>
    </w:p>
    <w:p w:rsidR="00A77276" w:rsidRPr="00F7263B" w:rsidRDefault="00E950F9" w:rsidP="00D92D63">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b/>
          <w:sz w:val="20"/>
          <w:szCs w:val="20"/>
        </w:rPr>
        <w:t xml:space="preserve">DLIs focusing on </w:t>
      </w:r>
      <w:r w:rsidR="006D3CD7" w:rsidRPr="00F7263B">
        <w:rPr>
          <w:rFonts w:cs="Times New Roman"/>
          <w:b/>
          <w:sz w:val="20"/>
          <w:szCs w:val="20"/>
        </w:rPr>
        <w:t>the federal MUDH</w:t>
      </w:r>
      <w:r w:rsidR="001D67D6" w:rsidRPr="00F7263B">
        <w:rPr>
          <w:rFonts w:cs="Times New Roman"/>
          <w:b/>
          <w:sz w:val="20"/>
          <w:szCs w:val="20"/>
        </w:rPr>
        <w:t>C</w:t>
      </w:r>
      <w:r w:rsidR="006D3CD7" w:rsidRPr="00F7263B">
        <w:rPr>
          <w:rFonts w:cs="Times New Roman"/>
          <w:b/>
          <w:sz w:val="20"/>
          <w:szCs w:val="20"/>
        </w:rPr>
        <w:t>o</w:t>
      </w:r>
      <w:r w:rsidRPr="00F7263B">
        <w:rPr>
          <w:rFonts w:cs="Times New Roman"/>
          <w:b/>
          <w:sz w:val="20"/>
          <w:szCs w:val="20"/>
        </w:rPr>
        <w:t>.</w:t>
      </w:r>
      <w:r w:rsidRPr="00F7263B">
        <w:rPr>
          <w:rFonts w:cs="Times New Roman"/>
          <w:sz w:val="20"/>
          <w:szCs w:val="20"/>
        </w:rPr>
        <w:t>A total of US$2</w:t>
      </w:r>
      <w:r w:rsidR="00D27458" w:rsidRPr="00F7263B">
        <w:rPr>
          <w:rFonts w:cs="Times New Roman"/>
          <w:sz w:val="20"/>
          <w:szCs w:val="20"/>
        </w:rPr>
        <w:t>7</w:t>
      </w:r>
      <w:r w:rsidRPr="00F7263B">
        <w:rPr>
          <w:rFonts w:cs="Times New Roman"/>
          <w:sz w:val="20"/>
          <w:szCs w:val="20"/>
        </w:rPr>
        <w:t xml:space="preserve"> million IDA has been allocated for these DLIs.</w:t>
      </w:r>
    </w:p>
    <w:p w:rsidR="00C21A0E" w:rsidRPr="00F7263B" w:rsidRDefault="00C21A0E" w:rsidP="00C21A0E">
      <w:pPr>
        <w:pStyle w:val="ListParagraph"/>
        <w:tabs>
          <w:tab w:val="left" w:pos="0"/>
        </w:tabs>
        <w:spacing w:before="240" w:after="240"/>
        <w:ind w:left="0"/>
        <w:jc w:val="both"/>
        <w:rPr>
          <w:rFonts w:cs="Times New Roman"/>
          <w:sz w:val="20"/>
          <w:szCs w:val="20"/>
        </w:rPr>
      </w:pPr>
    </w:p>
    <w:p w:rsidR="006E7278" w:rsidRPr="00F7263B" w:rsidRDefault="00A77276" w:rsidP="00827BD7">
      <w:pPr>
        <w:pStyle w:val="ListParagraph"/>
        <w:numPr>
          <w:ilvl w:val="0"/>
          <w:numId w:val="26"/>
        </w:numPr>
        <w:ind w:left="720"/>
        <w:jc w:val="both"/>
        <w:rPr>
          <w:rFonts w:cs="Times New Roman"/>
          <w:sz w:val="20"/>
          <w:szCs w:val="20"/>
        </w:rPr>
      </w:pPr>
      <w:r w:rsidRPr="00F7263B">
        <w:rPr>
          <w:rFonts w:cs="Times New Roman"/>
          <w:sz w:val="20"/>
          <w:szCs w:val="20"/>
        </w:rPr>
        <w:t>DLI 8</w:t>
      </w:r>
      <w:r w:rsidR="00FF36D5" w:rsidRPr="00F7263B">
        <w:rPr>
          <w:rFonts w:cs="Times New Roman"/>
          <w:sz w:val="20"/>
          <w:szCs w:val="20"/>
        </w:rPr>
        <w:t xml:space="preserve">: </w:t>
      </w:r>
      <w:r w:rsidR="00C21A0E" w:rsidRPr="00F7263B">
        <w:rPr>
          <w:rFonts w:cs="Times New Roman"/>
          <w:sz w:val="20"/>
          <w:szCs w:val="20"/>
        </w:rPr>
        <w:t>The</w:t>
      </w:r>
      <w:r w:rsidR="001D67D6" w:rsidRPr="00F7263B">
        <w:rPr>
          <w:rFonts w:cs="Times New Roman"/>
          <w:sz w:val="20"/>
          <w:szCs w:val="20"/>
        </w:rPr>
        <w:t xml:space="preserve"> annual MUD</w:t>
      </w:r>
      <w:r w:rsidRPr="00F7263B">
        <w:rPr>
          <w:rFonts w:cs="Times New Roman"/>
          <w:sz w:val="20"/>
          <w:szCs w:val="20"/>
        </w:rPr>
        <w:t>H</w:t>
      </w:r>
      <w:r w:rsidR="001D67D6" w:rsidRPr="00F7263B">
        <w:rPr>
          <w:rFonts w:cs="Times New Roman"/>
          <w:sz w:val="20"/>
          <w:szCs w:val="20"/>
        </w:rPr>
        <w:t>C</w:t>
      </w:r>
      <w:r w:rsidR="00DE3F7A" w:rsidRPr="00F7263B">
        <w:rPr>
          <w:rFonts w:cs="Times New Roman"/>
          <w:sz w:val="20"/>
          <w:szCs w:val="20"/>
        </w:rPr>
        <w:t>o</w:t>
      </w:r>
      <w:r w:rsidRPr="00F7263B">
        <w:rPr>
          <w:rFonts w:cs="Times New Roman"/>
          <w:sz w:val="20"/>
          <w:szCs w:val="20"/>
        </w:rPr>
        <w:t xml:space="preserve"> capacity building activities for Program ULGs, </w:t>
      </w:r>
      <w:r w:rsidR="00C21A0E" w:rsidRPr="00F7263B">
        <w:rPr>
          <w:rFonts w:cs="Times New Roman"/>
          <w:sz w:val="20"/>
          <w:szCs w:val="20"/>
        </w:rPr>
        <w:t>regional governments,</w:t>
      </w:r>
      <w:r w:rsidRPr="00F7263B">
        <w:rPr>
          <w:rFonts w:cs="Times New Roman"/>
          <w:sz w:val="20"/>
          <w:szCs w:val="20"/>
        </w:rPr>
        <w:t xml:space="preserve"> and the ministry</w:t>
      </w:r>
      <w:r w:rsidR="00C21A0E" w:rsidRPr="00F7263B">
        <w:rPr>
          <w:rFonts w:cs="Times New Roman"/>
          <w:sz w:val="20"/>
          <w:szCs w:val="20"/>
        </w:rPr>
        <w:t xml:space="preserve"> completed.</w:t>
      </w:r>
    </w:p>
    <w:p w:rsidR="006E7278" w:rsidRPr="00F7263B" w:rsidRDefault="00FF36D5" w:rsidP="00827BD7">
      <w:pPr>
        <w:pStyle w:val="ListParagraph"/>
        <w:numPr>
          <w:ilvl w:val="0"/>
          <w:numId w:val="26"/>
        </w:numPr>
        <w:ind w:left="720"/>
        <w:jc w:val="both"/>
        <w:rPr>
          <w:rFonts w:cs="Times New Roman"/>
          <w:sz w:val="20"/>
          <w:szCs w:val="20"/>
        </w:rPr>
      </w:pPr>
      <w:r w:rsidRPr="00F7263B">
        <w:rPr>
          <w:rFonts w:cs="Times New Roman"/>
          <w:sz w:val="20"/>
          <w:szCs w:val="20"/>
        </w:rPr>
        <w:t xml:space="preserve">DLI </w:t>
      </w:r>
      <w:r w:rsidR="00A77276" w:rsidRPr="00F7263B">
        <w:rPr>
          <w:rFonts w:cs="Times New Roman"/>
          <w:sz w:val="20"/>
          <w:szCs w:val="20"/>
        </w:rPr>
        <w:t>9</w:t>
      </w:r>
      <w:r w:rsidRPr="00F7263B">
        <w:rPr>
          <w:rFonts w:cs="Times New Roman"/>
          <w:sz w:val="20"/>
          <w:szCs w:val="20"/>
        </w:rPr>
        <w:t xml:space="preserve">: </w:t>
      </w:r>
      <w:r w:rsidR="00C21A0E" w:rsidRPr="00F7263B">
        <w:rPr>
          <w:rFonts w:cs="Times New Roman"/>
          <w:sz w:val="20"/>
          <w:szCs w:val="20"/>
        </w:rPr>
        <w:t xml:space="preserve">The </w:t>
      </w:r>
      <w:r w:rsidR="00A77276" w:rsidRPr="00F7263B">
        <w:rPr>
          <w:rFonts w:cs="Times New Roman"/>
          <w:sz w:val="20"/>
          <w:szCs w:val="20"/>
        </w:rPr>
        <w:t>APA</w:t>
      </w:r>
      <w:r w:rsidR="00C21A0E" w:rsidRPr="00F7263B">
        <w:rPr>
          <w:rFonts w:cs="Times New Roman"/>
          <w:sz w:val="20"/>
          <w:szCs w:val="20"/>
        </w:rPr>
        <w:t>s</w:t>
      </w:r>
      <w:r w:rsidR="008B4030" w:rsidRPr="00F7263B">
        <w:rPr>
          <w:rFonts w:cs="Times New Roman"/>
          <w:sz w:val="20"/>
          <w:szCs w:val="20"/>
        </w:rPr>
        <w:t xml:space="preserve">, </w:t>
      </w:r>
      <w:r w:rsidR="00861965" w:rsidRPr="00F7263B">
        <w:rPr>
          <w:rFonts w:cs="Times New Roman"/>
          <w:sz w:val="20"/>
          <w:szCs w:val="20"/>
        </w:rPr>
        <w:t>independent procurement audits (IPAs),</w:t>
      </w:r>
      <w:r w:rsidR="00A77276" w:rsidRPr="00F7263B">
        <w:rPr>
          <w:rFonts w:cs="Times New Roman"/>
          <w:sz w:val="20"/>
          <w:szCs w:val="20"/>
        </w:rPr>
        <w:t>an</w:t>
      </w:r>
      <w:r w:rsidR="00C21A0E" w:rsidRPr="00F7263B">
        <w:rPr>
          <w:rFonts w:cs="Times New Roman"/>
          <w:sz w:val="20"/>
          <w:szCs w:val="20"/>
        </w:rPr>
        <w:t>d value for m</w:t>
      </w:r>
      <w:r w:rsidR="00A77276" w:rsidRPr="00F7263B">
        <w:rPr>
          <w:rFonts w:cs="Times New Roman"/>
          <w:sz w:val="20"/>
          <w:szCs w:val="20"/>
        </w:rPr>
        <w:t xml:space="preserve">oney </w:t>
      </w:r>
      <w:r w:rsidR="00C21A0E" w:rsidRPr="00F7263B">
        <w:rPr>
          <w:rFonts w:cs="Times New Roman"/>
          <w:sz w:val="20"/>
          <w:szCs w:val="20"/>
        </w:rPr>
        <w:t>a</w:t>
      </w:r>
      <w:r w:rsidR="00A77276" w:rsidRPr="00F7263B">
        <w:rPr>
          <w:rFonts w:cs="Times New Roman"/>
          <w:sz w:val="20"/>
          <w:szCs w:val="20"/>
        </w:rPr>
        <w:t>udits</w:t>
      </w:r>
      <w:r w:rsidR="004D2289">
        <w:rPr>
          <w:rFonts w:cs="Times New Roman"/>
          <w:sz w:val="20"/>
          <w:szCs w:val="20"/>
        </w:rPr>
        <w:t xml:space="preserve"> </w:t>
      </w:r>
      <w:r w:rsidR="00C21A0E" w:rsidRPr="00F7263B">
        <w:rPr>
          <w:rFonts w:cs="Times New Roman"/>
          <w:sz w:val="20"/>
          <w:szCs w:val="20"/>
        </w:rPr>
        <w:t>are procured and completed on time.</w:t>
      </w:r>
      <w:r w:rsidR="00861965" w:rsidRPr="00F7263B">
        <w:rPr>
          <w:rStyle w:val="FootnoteReference"/>
          <w:rFonts w:cs="Times New Roman"/>
          <w:sz w:val="20"/>
          <w:szCs w:val="20"/>
        </w:rPr>
        <w:footnoteReference w:id="16"/>
      </w:r>
    </w:p>
    <w:p w:rsidR="00FF36D5" w:rsidRPr="00F7263B" w:rsidRDefault="00FF36D5" w:rsidP="00FF36D5">
      <w:pPr>
        <w:pStyle w:val="ListParagraph"/>
        <w:ind w:left="0"/>
        <w:jc w:val="both"/>
        <w:rPr>
          <w:rFonts w:cs="Times New Roman"/>
          <w:sz w:val="20"/>
          <w:szCs w:val="20"/>
        </w:rPr>
      </w:pPr>
    </w:p>
    <w:p w:rsidR="005B017C" w:rsidRPr="00F7263B" w:rsidRDefault="006D3CD7" w:rsidP="00D92D63">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sz w:val="20"/>
          <w:szCs w:val="20"/>
        </w:rPr>
        <w:t xml:space="preserve">All the </w:t>
      </w:r>
      <w:r w:rsidR="00FF36D5" w:rsidRPr="00F7263B">
        <w:rPr>
          <w:rFonts w:cs="Times New Roman"/>
          <w:sz w:val="20"/>
          <w:szCs w:val="20"/>
        </w:rPr>
        <w:t xml:space="preserve">DLIs </w:t>
      </w:r>
      <w:r w:rsidRPr="00F7263B">
        <w:rPr>
          <w:rFonts w:cs="Times New Roman"/>
          <w:sz w:val="20"/>
          <w:szCs w:val="20"/>
        </w:rPr>
        <w:t xml:space="preserve">are aimed at achieving the Program Development Objective.  The first setsupports ULGs to improve their institutional performance to deliver on their mandates.  The second set encourages regional government entities to play their roles in supporting ULGs with oversight, advice, and capacity support.  The third set assists the MUDHCo in </w:t>
      </w:r>
      <w:r w:rsidR="00355E53" w:rsidRPr="00F7263B">
        <w:rPr>
          <w:rFonts w:cs="Times New Roman"/>
          <w:sz w:val="20"/>
          <w:szCs w:val="20"/>
        </w:rPr>
        <w:t xml:space="preserve">building capacity of ULGs.  </w:t>
      </w:r>
      <w:r w:rsidR="00175254" w:rsidRPr="00F7263B">
        <w:rPr>
          <w:rFonts w:cs="Times New Roman"/>
          <w:sz w:val="20"/>
          <w:szCs w:val="20"/>
        </w:rPr>
        <w:t>(</w:t>
      </w:r>
      <w:r w:rsidR="0094383B" w:rsidRPr="00F7263B">
        <w:rPr>
          <w:rFonts w:cs="Times New Roman"/>
          <w:sz w:val="20"/>
          <w:szCs w:val="20"/>
        </w:rPr>
        <w:t xml:space="preserve">The complete DLI </w:t>
      </w:r>
      <w:r w:rsidR="002205F1" w:rsidRPr="00F7263B">
        <w:rPr>
          <w:rFonts w:cs="Times New Roman"/>
          <w:sz w:val="20"/>
          <w:szCs w:val="20"/>
        </w:rPr>
        <w:t>m</w:t>
      </w:r>
      <w:r w:rsidR="0094383B" w:rsidRPr="00F7263B">
        <w:rPr>
          <w:rFonts w:cs="Times New Roman"/>
          <w:sz w:val="20"/>
          <w:szCs w:val="20"/>
        </w:rPr>
        <w:t xml:space="preserve">atrix </w:t>
      </w:r>
      <w:r w:rsidR="00022F2E" w:rsidRPr="00F7263B">
        <w:rPr>
          <w:rFonts w:cs="Times New Roman"/>
          <w:sz w:val="20"/>
          <w:szCs w:val="20"/>
        </w:rPr>
        <w:t xml:space="preserve">is presented in </w:t>
      </w:r>
      <w:r w:rsidR="0064084F" w:rsidRPr="00F7263B">
        <w:rPr>
          <w:rFonts w:cs="Times New Roman"/>
          <w:sz w:val="20"/>
          <w:szCs w:val="20"/>
        </w:rPr>
        <w:t>a</w:t>
      </w:r>
      <w:r w:rsidR="0094383B" w:rsidRPr="00F7263B">
        <w:rPr>
          <w:rFonts w:cs="Times New Roman"/>
          <w:sz w:val="20"/>
          <w:szCs w:val="20"/>
        </w:rPr>
        <w:t>nnex</w:t>
      </w:r>
      <w:r w:rsidRPr="00F7263B">
        <w:rPr>
          <w:rFonts w:cs="Times New Roman"/>
          <w:sz w:val="20"/>
          <w:szCs w:val="20"/>
        </w:rPr>
        <w:t> </w:t>
      </w:r>
      <w:r w:rsidR="0094383B" w:rsidRPr="00F7263B">
        <w:rPr>
          <w:rFonts w:cs="Times New Roman"/>
          <w:sz w:val="20"/>
          <w:szCs w:val="20"/>
        </w:rPr>
        <w:t>3.</w:t>
      </w:r>
      <w:r w:rsidR="00175254" w:rsidRPr="00F7263B">
        <w:rPr>
          <w:rFonts w:cs="Times New Roman"/>
          <w:sz w:val="20"/>
          <w:szCs w:val="20"/>
        </w:rPr>
        <w:t>)</w:t>
      </w:r>
    </w:p>
    <w:p w:rsidR="005B017C" w:rsidRPr="00F7263B" w:rsidRDefault="005B017C" w:rsidP="005B017C">
      <w:pPr>
        <w:pStyle w:val="ListParagraph"/>
        <w:tabs>
          <w:tab w:val="left" w:pos="0"/>
        </w:tabs>
        <w:spacing w:before="240" w:after="240"/>
        <w:ind w:left="0"/>
        <w:jc w:val="both"/>
        <w:rPr>
          <w:rFonts w:cs="Times New Roman"/>
          <w:sz w:val="20"/>
          <w:szCs w:val="20"/>
        </w:rPr>
      </w:pPr>
    </w:p>
    <w:p w:rsidR="006D3CD7" w:rsidRPr="00F7263B" w:rsidRDefault="005B017C" w:rsidP="00D92D63">
      <w:pPr>
        <w:pStyle w:val="ListParagraph"/>
        <w:numPr>
          <w:ilvl w:val="0"/>
          <w:numId w:val="9"/>
        </w:numPr>
        <w:tabs>
          <w:tab w:val="left" w:pos="0"/>
        </w:tabs>
        <w:spacing w:before="240" w:after="240"/>
        <w:ind w:left="0" w:firstLine="0"/>
        <w:jc w:val="both"/>
        <w:rPr>
          <w:rFonts w:cs="Times New Roman"/>
          <w:sz w:val="20"/>
          <w:szCs w:val="20"/>
        </w:rPr>
      </w:pPr>
      <w:r w:rsidRPr="00F7263B">
        <w:rPr>
          <w:rFonts w:cs="Times New Roman"/>
          <w:sz w:val="20"/>
          <w:szCs w:val="20"/>
        </w:rPr>
        <w:t xml:space="preserve">The government and Bank team will review the appropriateness of </w:t>
      </w:r>
      <w:r w:rsidR="00F9039F" w:rsidRPr="00F7263B">
        <w:rPr>
          <w:rFonts w:cs="Times New Roman"/>
          <w:sz w:val="20"/>
          <w:szCs w:val="20"/>
        </w:rPr>
        <w:t>the design features of the ULGDP II each year, following the completion of the APA.  The teams will focus in particular on the DLI allocations, the DLI</w:t>
      </w:r>
      <w:r w:rsidRPr="00F7263B">
        <w:rPr>
          <w:rFonts w:cs="Times New Roman"/>
          <w:sz w:val="20"/>
          <w:szCs w:val="20"/>
        </w:rPr>
        <w:t xml:space="preserve"> indicators</w:t>
      </w:r>
      <w:r w:rsidR="00F9039F" w:rsidRPr="00F7263B">
        <w:rPr>
          <w:rFonts w:cs="Times New Roman"/>
          <w:sz w:val="20"/>
          <w:szCs w:val="20"/>
        </w:rPr>
        <w:t xml:space="preserve">, </w:t>
      </w:r>
      <w:r w:rsidRPr="00F7263B">
        <w:rPr>
          <w:rFonts w:cs="Times New Roman"/>
          <w:sz w:val="20"/>
          <w:szCs w:val="20"/>
        </w:rPr>
        <w:t>targets</w:t>
      </w:r>
      <w:r w:rsidR="00F9039F" w:rsidRPr="00F7263B">
        <w:rPr>
          <w:rFonts w:cs="Times New Roman"/>
          <w:sz w:val="20"/>
          <w:szCs w:val="20"/>
        </w:rPr>
        <w:t>, and scoring system</w:t>
      </w:r>
      <w:r w:rsidRPr="00F7263B">
        <w:rPr>
          <w:rFonts w:cs="Times New Roman"/>
          <w:sz w:val="20"/>
          <w:szCs w:val="20"/>
        </w:rPr>
        <w:t xml:space="preserve">.  Based on the experience from implementation, </w:t>
      </w:r>
      <w:r w:rsidR="00F9039F" w:rsidRPr="00F7263B">
        <w:rPr>
          <w:rFonts w:cs="Times New Roman"/>
          <w:sz w:val="20"/>
          <w:szCs w:val="20"/>
        </w:rPr>
        <w:t xml:space="preserve">the design may be adjusted. </w:t>
      </w:r>
    </w:p>
    <w:p w:rsidR="006D3CD7" w:rsidRPr="00F7263B" w:rsidRDefault="006D3CD7" w:rsidP="00C87120">
      <w:pPr>
        <w:pStyle w:val="ListParagraph"/>
        <w:tabs>
          <w:tab w:val="left" w:pos="0"/>
        </w:tabs>
        <w:ind w:left="0"/>
        <w:jc w:val="both"/>
        <w:rPr>
          <w:rFonts w:cs="Times New Roman"/>
          <w:sz w:val="20"/>
          <w:szCs w:val="20"/>
        </w:rPr>
      </w:pPr>
    </w:p>
    <w:p w:rsidR="00861965" w:rsidRPr="00F7263B" w:rsidRDefault="00861965" w:rsidP="00254260">
      <w:pPr>
        <w:pStyle w:val="Caption"/>
        <w:spacing w:after="60"/>
      </w:pPr>
      <w:r w:rsidRPr="00F7263B">
        <w:t xml:space="preserve">Box </w:t>
      </w:r>
      <w:r w:rsidR="00B845BE" w:rsidRPr="00F7263B">
        <w:fldChar w:fldCharType="begin"/>
      </w:r>
      <w:r w:rsidRPr="00F7263B">
        <w:instrText xml:space="preserve"> SEQ Box \* ARABIC </w:instrText>
      </w:r>
      <w:r w:rsidR="00B845BE" w:rsidRPr="00F7263B">
        <w:fldChar w:fldCharType="separate"/>
      </w:r>
      <w:r w:rsidR="00933073">
        <w:rPr>
          <w:noProof/>
        </w:rPr>
        <w:t>1</w:t>
      </w:r>
      <w:r w:rsidR="00B845BE" w:rsidRPr="00F7263B">
        <w:fldChar w:fldCharType="end"/>
      </w:r>
      <w:r w:rsidRPr="00F7263B">
        <w:t xml:space="preserve">: Tanzania Urban Local Government Strengthening PforR: Lessons learned during the first year of implementation </w:t>
      </w:r>
    </w:p>
    <w:tbl>
      <w:tblPr>
        <w:tblStyle w:val="TableGrid"/>
        <w:tblW w:w="0" w:type="auto"/>
        <w:tblLook w:val="04A0" w:firstRow="1" w:lastRow="0" w:firstColumn="1" w:lastColumn="0" w:noHBand="0" w:noVBand="1"/>
      </w:tblPr>
      <w:tblGrid>
        <w:gridCol w:w="9576"/>
      </w:tblGrid>
      <w:tr w:rsidR="00422673" w:rsidRPr="00F7263B" w:rsidTr="00422673">
        <w:tc>
          <w:tcPr>
            <w:tcW w:w="9576" w:type="dxa"/>
          </w:tcPr>
          <w:p w:rsidR="00E05821" w:rsidRPr="00F7263B" w:rsidRDefault="00E05821" w:rsidP="00254260">
            <w:pPr>
              <w:spacing w:before="120"/>
              <w:ind w:left="187" w:right="187"/>
              <w:jc w:val="both"/>
              <w:rPr>
                <w:rFonts w:cs="Times New Roman"/>
                <w:sz w:val="20"/>
                <w:szCs w:val="20"/>
              </w:rPr>
            </w:pPr>
            <w:r w:rsidRPr="00F7263B">
              <w:rPr>
                <w:rFonts w:cs="Times New Roman"/>
                <w:sz w:val="20"/>
                <w:szCs w:val="20"/>
              </w:rPr>
              <w:t xml:space="preserve">The objectives and the overall design of the </w:t>
            </w:r>
            <w:r w:rsidR="00204A87" w:rsidRPr="00F7263B">
              <w:rPr>
                <w:rFonts w:cs="Times New Roman"/>
                <w:sz w:val="20"/>
                <w:szCs w:val="20"/>
              </w:rPr>
              <w:t xml:space="preserve">Tanzania </w:t>
            </w:r>
            <w:r w:rsidR="00861965" w:rsidRPr="00F7263B">
              <w:rPr>
                <w:rFonts w:cs="Times New Roman"/>
                <w:sz w:val="20"/>
                <w:szCs w:val="20"/>
              </w:rPr>
              <w:t>Urban Local Government Strengthening</w:t>
            </w:r>
            <w:r w:rsidR="004D2289">
              <w:rPr>
                <w:rFonts w:cs="Times New Roman"/>
                <w:sz w:val="20"/>
                <w:szCs w:val="20"/>
              </w:rPr>
              <w:t xml:space="preserve"> </w:t>
            </w:r>
            <w:r w:rsidR="00867F19" w:rsidRPr="00F7263B">
              <w:rPr>
                <w:rFonts w:cs="Times New Roman"/>
                <w:sz w:val="20"/>
                <w:szCs w:val="20"/>
              </w:rPr>
              <w:t xml:space="preserve">Program </w:t>
            </w:r>
            <w:r w:rsidR="00861965" w:rsidRPr="00F7263B">
              <w:rPr>
                <w:rFonts w:cs="Times New Roman"/>
                <w:sz w:val="20"/>
                <w:szCs w:val="20"/>
              </w:rPr>
              <w:t>(</w:t>
            </w:r>
            <w:r w:rsidR="00204A87" w:rsidRPr="00F7263B">
              <w:rPr>
                <w:rFonts w:cs="Times New Roman"/>
                <w:sz w:val="20"/>
                <w:szCs w:val="20"/>
              </w:rPr>
              <w:t>ULGSP</w:t>
            </w:r>
            <w:r w:rsidR="00861965" w:rsidRPr="00F7263B">
              <w:rPr>
                <w:rFonts w:cs="Times New Roman"/>
                <w:sz w:val="20"/>
                <w:szCs w:val="20"/>
              </w:rPr>
              <w:t>)</w:t>
            </w:r>
            <w:r w:rsidR="00204A87" w:rsidRPr="00F7263B">
              <w:rPr>
                <w:rFonts w:cs="Times New Roman"/>
                <w:sz w:val="20"/>
                <w:szCs w:val="20"/>
              </w:rPr>
              <w:t>PforR</w:t>
            </w:r>
            <w:r w:rsidR="004D2289">
              <w:rPr>
                <w:rFonts w:cs="Times New Roman"/>
                <w:sz w:val="20"/>
                <w:szCs w:val="20"/>
              </w:rPr>
              <w:t xml:space="preserve"> </w:t>
            </w:r>
            <w:r w:rsidRPr="00F7263B">
              <w:rPr>
                <w:rFonts w:cs="Times New Roman"/>
                <w:sz w:val="20"/>
                <w:szCs w:val="20"/>
              </w:rPr>
              <w:t>is similar to that of the Ethiopia ULGDP II.  The</w:t>
            </w:r>
            <w:r w:rsidR="004D2289">
              <w:rPr>
                <w:rFonts w:cs="Times New Roman"/>
                <w:sz w:val="20"/>
                <w:szCs w:val="20"/>
              </w:rPr>
              <w:t xml:space="preserve"> </w:t>
            </w:r>
            <w:r w:rsidRPr="00F7263B">
              <w:rPr>
                <w:rFonts w:cs="Times New Roman"/>
                <w:sz w:val="20"/>
                <w:szCs w:val="20"/>
              </w:rPr>
              <w:t>objective of the ULGSPis to improve institutional performance for urban service delivery in 18 local governments across Tanzania.  The Tanzania Program links disbursements to the achievement of verified results in key areas of urban management and service provision, municipalities can use the funds to prepare and build basic urban infrastructure.  The Tanzania Program also includes capacity building support to local governments to help them achieve the performance targets</w:t>
            </w:r>
            <w:r w:rsidR="004D2289">
              <w:rPr>
                <w:rFonts w:cs="Times New Roman"/>
                <w:sz w:val="20"/>
                <w:szCs w:val="20"/>
              </w:rPr>
              <w:t xml:space="preserve"> </w:t>
            </w:r>
            <w:r w:rsidRPr="00F7263B">
              <w:rPr>
                <w:rFonts w:cs="Times New Roman"/>
                <w:sz w:val="20"/>
                <w:szCs w:val="20"/>
              </w:rPr>
              <w:t>The independent performance assessment mechanism is functioning well.  Based on its findings, the Program is on track.  The first round of performance-based disbursements was made on schedule, cities have benefited from the new opportunities introduced for training and to strengthen the community of practices between municipalities, and the first phase of municipal investments is under construction.</w:t>
            </w:r>
          </w:p>
          <w:p w:rsidR="00E05821" w:rsidRPr="00F7263B" w:rsidRDefault="00E05821" w:rsidP="00254260">
            <w:pPr>
              <w:ind w:left="180" w:right="180"/>
              <w:jc w:val="both"/>
              <w:rPr>
                <w:rFonts w:cs="Times New Roman"/>
                <w:sz w:val="20"/>
                <w:szCs w:val="20"/>
              </w:rPr>
            </w:pPr>
          </w:p>
          <w:p w:rsidR="00422673" w:rsidRPr="00F7263B" w:rsidRDefault="00335352" w:rsidP="00254260">
            <w:pPr>
              <w:spacing w:after="120"/>
              <w:ind w:left="187" w:right="187"/>
              <w:jc w:val="both"/>
              <w:rPr>
                <w:rFonts w:cs="Times New Roman"/>
                <w:sz w:val="20"/>
                <w:szCs w:val="20"/>
              </w:rPr>
            </w:pPr>
            <w:r w:rsidRPr="00F7263B">
              <w:rPr>
                <w:rFonts w:cs="Times New Roman"/>
                <w:sz w:val="20"/>
                <w:szCs w:val="20"/>
              </w:rPr>
              <w:t>Three</w:t>
            </w:r>
            <w:r w:rsidR="00E05821" w:rsidRPr="00F7263B">
              <w:rPr>
                <w:rFonts w:cs="Times New Roman"/>
                <w:sz w:val="20"/>
                <w:szCs w:val="20"/>
              </w:rPr>
              <w:t xml:space="preserve"> important lesson</w:t>
            </w:r>
            <w:r w:rsidR="00024B91" w:rsidRPr="00F7263B">
              <w:rPr>
                <w:rFonts w:cs="Times New Roman"/>
                <w:sz w:val="20"/>
                <w:szCs w:val="20"/>
              </w:rPr>
              <w:t>s</w:t>
            </w:r>
            <w:r w:rsidR="00E05821" w:rsidRPr="00F7263B">
              <w:rPr>
                <w:rFonts w:cs="Times New Roman"/>
                <w:sz w:val="20"/>
                <w:szCs w:val="20"/>
              </w:rPr>
              <w:t xml:space="preserve"> from </w:t>
            </w:r>
            <w:r w:rsidRPr="00F7263B">
              <w:rPr>
                <w:rFonts w:cs="Times New Roman"/>
                <w:sz w:val="20"/>
                <w:szCs w:val="20"/>
              </w:rPr>
              <w:t xml:space="preserve">the Tanzanian </w:t>
            </w:r>
            <w:r w:rsidR="00E05821" w:rsidRPr="00F7263B">
              <w:rPr>
                <w:rFonts w:cs="Times New Roman"/>
                <w:sz w:val="20"/>
                <w:szCs w:val="20"/>
              </w:rPr>
              <w:t xml:space="preserve">experience </w:t>
            </w:r>
            <w:r w:rsidR="00024B91" w:rsidRPr="00F7263B">
              <w:rPr>
                <w:rFonts w:cs="Times New Roman"/>
                <w:sz w:val="20"/>
                <w:szCs w:val="20"/>
              </w:rPr>
              <w:t>have</w:t>
            </w:r>
            <w:r w:rsidR="00E05821" w:rsidRPr="00F7263B">
              <w:rPr>
                <w:rFonts w:cs="Times New Roman"/>
                <w:sz w:val="20"/>
                <w:szCs w:val="20"/>
              </w:rPr>
              <w:t xml:space="preserve"> informed the design of the Ethiopia ULGDP II</w:t>
            </w:r>
            <w:r w:rsidR="00867F19" w:rsidRPr="00F7263B">
              <w:rPr>
                <w:rFonts w:cs="Times New Roman"/>
                <w:sz w:val="20"/>
                <w:szCs w:val="20"/>
              </w:rPr>
              <w:t xml:space="preserve">.  </w:t>
            </w:r>
            <w:r w:rsidR="00E05821" w:rsidRPr="00F7263B">
              <w:rPr>
                <w:rFonts w:cs="Times New Roman"/>
                <w:sz w:val="20"/>
                <w:szCs w:val="20"/>
              </w:rPr>
              <w:t>Th</w:t>
            </w:r>
            <w:r w:rsidRPr="00F7263B">
              <w:rPr>
                <w:rFonts w:cs="Times New Roman"/>
                <w:sz w:val="20"/>
                <w:szCs w:val="20"/>
              </w:rPr>
              <w:t>e first</w:t>
            </w:r>
            <w:r w:rsidR="00E05821" w:rsidRPr="00F7263B">
              <w:rPr>
                <w:rFonts w:cs="Times New Roman"/>
                <w:sz w:val="20"/>
                <w:szCs w:val="20"/>
              </w:rPr>
              <w:t xml:space="preserve"> is that the Bank should have a</w:t>
            </w:r>
            <w:r w:rsidRPr="00F7263B">
              <w:rPr>
                <w:rFonts w:cs="Times New Roman"/>
                <w:sz w:val="20"/>
                <w:szCs w:val="20"/>
              </w:rPr>
              <w:t>n</w:t>
            </w:r>
            <w:r w:rsidR="004D2289">
              <w:rPr>
                <w:rFonts w:cs="Times New Roman"/>
                <w:sz w:val="20"/>
                <w:szCs w:val="20"/>
              </w:rPr>
              <w:t xml:space="preserve"> </w:t>
            </w:r>
            <w:r w:rsidRPr="00F7263B">
              <w:rPr>
                <w:rFonts w:cs="Times New Roman"/>
                <w:sz w:val="20"/>
                <w:szCs w:val="20"/>
              </w:rPr>
              <w:t>opportunity</w:t>
            </w:r>
            <w:r w:rsidR="00E05821" w:rsidRPr="00F7263B">
              <w:rPr>
                <w:rFonts w:cs="Times New Roman"/>
                <w:sz w:val="20"/>
                <w:szCs w:val="20"/>
              </w:rPr>
              <w:t xml:space="preserve"> to indepen</w:t>
            </w:r>
            <w:r w:rsidRPr="00F7263B">
              <w:rPr>
                <w:rFonts w:cs="Times New Roman"/>
                <w:sz w:val="20"/>
                <w:szCs w:val="20"/>
              </w:rPr>
              <w:t xml:space="preserve">dently </w:t>
            </w:r>
            <w:r w:rsidR="00E05821" w:rsidRPr="00F7263B">
              <w:rPr>
                <w:rFonts w:cs="Times New Roman"/>
                <w:sz w:val="20"/>
                <w:szCs w:val="20"/>
              </w:rPr>
              <w:t xml:space="preserve">verify the </w:t>
            </w:r>
            <w:r w:rsidRPr="00F7263B">
              <w:rPr>
                <w:rFonts w:cs="Times New Roman"/>
                <w:sz w:val="20"/>
                <w:szCs w:val="20"/>
              </w:rPr>
              <w:t xml:space="preserve">findings </w:t>
            </w:r>
            <w:r w:rsidR="00E05821" w:rsidRPr="00F7263B">
              <w:rPr>
                <w:rFonts w:cs="Times New Roman"/>
                <w:sz w:val="20"/>
                <w:szCs w:val="20"/>
              </w:rPr>
              <w:t>of the APA</w:t>
            </w:r>
            <w:r w:rsidRPr="00F7263B">
              <w:rPr>
                <w:rFonts w:cs="Times New Roman"/>
                <w:sz w:val="20"/>
                <w:szCs w:val="20"/>
              </w:rPr>
              <w:t xml:space="preserve">.  In Tanzania, </w:t>
            </w:r>
            <w:r w:rsidR="00362BED" w:rsidRPr="00F7263B">
              <w:rPr>
                <w:rFonts w:cs="Times New Roman"/>
                <w:sz w:val="20"/>
                <w:szCs w:val="20"/>
              </w:rPr>
              <w:t>t</w:t>
            </w:r>
            <w:r w:rsidRPr="00F7263B">
              <w:rPr>
                <w:rFonts w:cs="Times New Roman"/>
                <w:sz w:val="20"/>
                <w:szCs w:val="20"/>
              </w:rPr>
              <w:t>he Bank contract</w:t>
            </w:r>
            <w:r w:rsidR="00362BED" w:rsidRPr="00F7263B">
              <w:rPr>
                <w:rFonts w:cs="Times New Roman"/>
                <w:sz w:val="20"/>
                <w:szCs w:val="20"/>
              </w:rPr>
              <w:t>ed</w:t>
            </w:r>
            <w:r w:rsidR="004D2289">
              <w:rPr>
                <w:rFonts w:cs="Times New Roman"/>
                <w:sz w:val="20"/>
                <w:szCs w:val="20"/>
              </w:rPr>
              <w:t xml:space="preserve"> </w:t>
            </w:r>
            <w:r w:rsidR="004517AB" w:rsidRPr="00F7263B">
              <w:rPr>
                <w:rFonts w:cs="Times New Roman"/>
                <w:sz w:val="20"/>
                <w:szCs w:val="20"/>
              </w:rPr>
              <w:t>independent consultants</w:t>
            </w:r>
            <w:r w:rsidRPr="00F7263B">
              <w:rPr>
                <w:rFonts w:cs="Times New Roman"/>
                <w:sz w:val="20"/>
                <w:szCs w:val="20"/>
              </w:rPr>
              <w:t xml:space="preserve"> to visit a random sample of cities to check the</w:t>
            </w:r>
            <w:r w:rsidR="00362BED" w:rsidRPr="00F7263B">
              <w:rPr>
                <w:rFonts w:cs="Times New Roman"/>
                <w:sz w:val="20"/>
                <w:szCs w:val="20"/>
              </w:rPr>
              <w:t xml:space="preserve"> findings of the first </w:t>
            </w:r>
            <w:r w:rsidRPr="00F7263B">
              <w:rPr>
                <w:rFonts w:cs="Times New Roman"/>
                <w:sz w:val="20"/>
                <w:szCs w:val="20"/>
              </w:rPr>
              <w:t>APA</w:t>
            </w:r>
            <w:r w:rsidR="00362BED" w:rsidRPr="00F7263B">
              <w:rPr>
                <w:rFonts w:cs="Times New Roman"/>
                <w:sz w:val="20"/>
                <w:szCs w:val="20"/>
              </w:rPr>
              <w:t xml:space="preserve"> carried out under the Program to verify its accuracy</w:t>
            </w:r>
            <w:r w:rsidRPr="00F7263B">
              <w:rPr>
                <w:rFonts w:cs="Times New Roman"/>
                <w:sz w:val="20"/>
                <w:szCs w:val="20"/>
              </w:rPr>
              <w:t>.  Th</w:t>
            </w:r>
            <w:r w:rsidR="00362BED" w:rsidRPr="00F7263B">
              <w:rPr>
                <w:rFonts w:cs="Times New Roman"/>
                <w:sz w:val="20"/>
                <w:szCs w:val="20"/>
              </w:rPr>
              <w:t>is quality review</w:t>
            </w:r>
            <w:r w:rsidRPr="00F7263B">
              <w:rPr>
                <w:rFonts w:cs="Times New Roman"/>
                <w:sz w:val="20"/>
                <w:szCs w:val="20"/>
              </w:rPr>
              <w:t xml:space="preserve"> confirmed the findings of the APA and provided the national government with the assurance it needed to rely on its findings in making the allocations.  </w:t>
            </w:r>
            <w:r w:rsidR="004D0DD1" w:rsidRPr="00F7263B">
              <w:rPr>
                <w:rFonts w:cs="Times New Roman"/>
                <w:sz w:val="20"/>
                <w:szCs w:val="20"/>
              </w:rPr>
              <w:t xml:space="preserve">The second is that, given its sensitivity, the quality review should </w:t>
            </w:r>
            <w:r w:rsidR="004517AB" w:rsidRPr="00F7263B">
              <w:rPr>
                <w:rFonts w:cs="Times New Roman"/>
                <w:sz w:val="20"/>
                <w:szCs w:val="20"/>
              </w:rPr>
              <w:t xml:space="preserve">be conducted </w:t>
            </w:r>
            <w:r w:rsidR="004D0DD1" w:rsidRPr="00F7263B">
              <w:rPr>
                <w:rFonts w:cs="Times New Roman"/>
                <w:sz w:val="20"/>
                <w:szCs w:val="20"/>
              </w:rPr>
              <w:t>by</w:t>
            </w:r>
            <w:r w:rsidR="004517AB" w:rsidRPr="00F7263B">
              <w:rPr>
                <w:rFonts w:cs="Times New Roman"/>
                <w:sz w:val="20"/>
                <w:szCs w:val="20"/>
              </w:rPr>
              <w:t xml:space="preserve"> a</w:t>
            </w:r>
            <w:r w:rsidR="004D0DD1" w:rsidRPr="00F7263B">
              <w:rPr>
                <w:rFonts w:cs="Times New Roman"/>
                <w:sz w:val="20"/>
                <w:szCs w:val="20"/>
              </w:rPr>
              <w:t xml:space="preserve"> team that is independent of the Bank, and not by Bank staff.  </w:t>
            </w:r>
            <w:r w:rsidR="00E03D8F" w:rsidRPr="00F7263B">
              <w:rPr>
                <w:rFonts w:cs="Times New Roman"/>
                <w:sz w:val="20"/>
                <w:szCs w:val="20"/>
              </w:rPr>
              <w:t xml:space="preserve">Third, </w:t>
            </w:r>
            <w:r w:rsidR="004D0DD1" w:rsidRPr="00F7263B">
              <w:rPr>
                <w:rFonts w:cs="Times New Roman"/>
                <w:sz w:val="20"/>
                <w:szCs w:val="20"/>
              </w:rPr>
              <w:t xml:space="preserve">choosing </w:t>
            </w:r>
            <w:r w:rsidR="00D0377C" w:rsidRPr="00F7263B">
              <w:rPr>
                <w:rFonts w:cs="Times New Roman"/>
                <w:sz w:val="20"/>
                <w:szCs w:val="20"/>
              </w:rPr>
              <w:t>performance-based</w:t>
            </w:r>
            <w:r w:rsidR="00422673" w:rsidRPr="00F7263B">
              <w:rPr>
                <w:rFonts w:cs="Times New Roman"/>
                <w:sz w:val="20"/>
                <w:szCs w:val="20"/>
              </w:rPr>
              <w:t xml:space="preserve"> indicators </w:t>
            </w:r>
            <w:r w:rsidR="004D0DD1" w:rsidRPr="00F7263B">
              <w:rPr>
                <w:rFonts w:cs="Times New Roman"/>
                <w:sz w:val="20"/>
                <w:szCs w:val="20"/>
              </w:rPr>
              <w:t xml:space="preserve">that can be objectively tracked </w:t>
            </w:r>
            <w:r w:rsidR="00422673" w:rsidRPr="00F7263B">
              <w:rPr>
                <w:rFonts w:cs="Times New Roman"/>
                <w:sz w:val="20"/>
                <w:szCs w:val="20"/>
              </w:rPr>
              <w:t xml:space="preserve">and </w:t>
            </w:r>
            <w:r w:rsidR="004D0DD1" w:rsidRPr="00F7263B">
              <w:rPr>
                <w:rFonts w:cs="Times New Roman"/>
                <w:sz w:val="20"/>
                <w:szCs w:val="20"/>
              </w:rPr>
              <w:t xml:space="preserve">that are </w:t>
            </w:r>
            <w:r w:rsidR="00422673" w:rsidRPr="00F7263B">
              <w:rPr>
                <w:rFonts w:cs="Times New Roman"/>
                <w:sz w:val="20"/>
                <w:szCs w:val="20"/>
              </w:rPr>
              <w:t>not subject to interpretation</w:t>
            </w:r>
            <w:r w:rsidR="00E03D8F" w:rsidRPr="00F7263B">
              <w:rPr>
                <w:rFonts w:cs="Times New Roman"/>
                <w:sz w:val="20"/>
                <w:szCs w:val="20"/>
              </w:rPr>
              <w:t xml:space="preserve"> is important</w:t>
            </w:r>
            <w:r w:rsidR="004D0DD1" w:rsidRPr="00F7263B">
              <w:rPr>
                <w:rFonts w:cs="Times New Roman"/>
                <w:sz w:val="20"/>
                <w:szCs w:val="20"/>
              </w:rPr>
              <w:t xml:space="preserve"> to avoid disputes</w:t>
            </w:r>
            <w:r w:rsidR="00422673" w:rsidRPr="00F7263B">
              <w:rPr>
                <w:rFonts w:cs="Times New Roman"/>
                <w:sz w:val="20"/>
                <w:szCs w:val="20"/>
              </w:rPr>
              <w:t>.</w:t>
            </w:r>
            <w:r w:rsidR="004D0DD1" w:rsidRPr="00F7263B">
              <w:rPr>
                <w:rFonts w:cs="Times New Roman"/>
                <w:sz w:val="20"/>
                <w:szCs w:val="20"/>
              </w:rPr>
              <w:t xml:space="preserve">  The design of the Ethiopia ULGDP II includes all three measures.</w:t>
            </w:r>
          </w:p>
        </w:tc>
      </w:tr>
    </w:tbl>
    <w:p w:rsidR="00FB1F6A" w:rsidRPr="00F7263B" w:rsidRDefault="00FB1F6A" w:rsidP="00C87120">
      <w:pPr>
        <w:pStyle w:val="ListParagraph"/>
        <w:tabs>
          <w:tab w:val="left" w:pos="0"/>
        </w:tabs>
        <w:ind w:left="0"/>
        <w:jc w:val="both"/>
        <w:rPr>
          <w:rFonts w:cs="Times New Roman"/>
          <w:sz w:val="20"/>
          <w:szCs w:val="20"/>
        </w:rPr>
      </w:pPr>
    </w:p>
    <w:p w:rsidR="00347B0F" w:rsidRPr="00F7263B" w:rsidRDefault="00347B0F" w:rsidP="00EE1400">
      <w:pPr>
        <w:pStyle w:val="Heading2"/>
        <w:ind w:left="0"/>
        <w:jc w:val="both"/>
        <w:rPr>
          <w:sz w:val="20"/>
          <w:szCs w:val="20"/>
        </w:rPr>
      </w:pPr>
      <w:bookmarkStart w:id="13" w:name="_Toc380167573"/>
      <w:r w:rsidRPr="00F7263B">
        <w:rPr>
          <w:sz w:val="20"/>
          <w:szCs w:val="20"/>
        </w:rPr>
        <w:t>Key Capacity Building and Systems Strengthening Activities</w:t>
      </w:r>
      <w:bookmarkEnd w:id="13"/>
    </w:p>
    <w:p w:rsidR="00347B0F" w:rsidRPr="00F7263B" w:rsidRDefault="00347B0F" w:rsidP="00556F1B">
      <w:pPr>
        <w:pStyle w:val="NoSpacing"/>
        <w:jc w:val="both"/>
        <w:rPr>
          <w:rFonts w:ascii="Times New Roman" w:hAnsi="Times New Roman" w:cs="Times New Roman"/>
          <w:sz w:val="20"/>
          <w:szCs w:val="20"/>
        </w:rPr>
      </w:pPr>
    </w:p>
    <w:p w:rsidR="00EC4EE2" w:rsidRPr="00F7263B" w:rsidRDefault="007F7298" w:rsidP="00D92D63">
      <w:pPr>
        <w:pStyle w:val="ListParagraph"/>
        <w:numPr>
          <w:ilvl w:val="0"/>
          <w:numId w:val="9"/>
        </w:numPr>
        <w:tabs>
          <w:tab w:val="left" w:pos="0"/>
        </w:tabs>
        <w:ind w:left="0" w:firstLine="0"/>
        <w:jc w:val="both"/>
        <w:rPr>
          <w:sz w:val="20"/>
          <w:szCs w:val="20"/>
        </w:rPr>
      </w:pPr>
      <w:r w:rsidRPr="00F7263B">
        <w:rPr>
          <w:b/>
          <w:sz w:val="20"/>
          <w:szCs w:val="20"/>
        </w:rPr>
        <w:t xml:space="preserve">Under </w:t>
      </w:r>
      <w:r w:rsidR="00E14CB3" w:rsidRPr="00F7263B">
        <w:rPr>
          <w:b/>
          <w:sz w:val="20"/>
          <w:szCs w:val="20"/>
        </w:rPr>
        <w:t xml:space="preserve">the </w:t>
      </w:r>
      <w:r w:rsidRPr="00F7263B">
        <w:rPr>
          <w:b/>
          <w:sz w:val="20"/>
          <w:szCs w:val="20"/>
        </w:rPr>
        <w:t xml:space="preserve">ULGDP II, a more structured and systematic approach will be adopted for </w:t>
      </w:r>
      <w:r w:rsidR="0054490A" w:rsidRPr="00F7263B">
        <w:rPr>
          <w:b/>
          <w:sz w:val="20"/>
          <w:szCs w:val="20"/>
        </w:rPr>
        <w:t>capacity b</w:t>
      </w:r>
      <w:r w:rsidR="00764B28" w:rsidRPr="00F7263B">
        <w:rPr>
          <w:b/>
          <w:sz w:val="20"/>
          <w:szCs w:val="20"/>
        </w:rPr>
        <w:t>uilding</w:t>
      </w:r>
      <w:r w:rsidRPr="00F7263B">
        <w:rPr>
          <w:b/>
          <w:sz w:val="20"/>
          <w:szCs w:val="20"/>
        </w:rPr>
        <w:t xml:space="preserve"> activities</w:t>
      </w:r>
      <w:r w:rsidR="00733F55" w:rsidRPr="00F7263B">
        <w:rPr>
          <w:b/>
          <w:sz w:val="20"/>
          <w:szCs w:val="20"/>
        </w:rPr>
        <w:t xml:space="preserve">that </w:t>
      </w:r>
      <w:r w:rsidRPr="00F7263B">
        <w:rPr>
          <w:b/>
          <w:sz w:val="20"/>
          <w:szCs w:val="20"/>
        </w:rPr>
        <w:t>focuses on all three government levels</w:t>
      </w:r>
      <w:r w:rsidR="008A7667" w:rsidRPr="00F7263B">
        <w:rPr>
          <w:b/>
          <w:sz w:val="20"/>
          <w:szCs w:val="20"/>
        </w:rPr>
        <w:t>.</w:t>
      </w:r>
      <w:r w:rsidR="004D2289">
        <w:rPr>
          <w:b/>
          <w:sz w:val="20"/>
          <w:szCs w:val="20"/>
        </w:rPr>
        <w:t xml:space="preserve"> </w:t>
      </w:r>
      <w:r w:rsidRPr="00F7263B">
        <w:rPr>
          <w:sz w:val="20"/>
          <w:szCs w:val="20"/>
        </w:rPr>
        <w:t xml:space="preserve">First, </w:t>
      </w:r>
      <w:r w:rsidR="00764B28" w:rsidRPr="00F7263B">
        <w:rPr>
          <w:sz w:val="20"/>
          <w:szCs w:val="20"/>
        </w:rPr>
        <w:t xml:space="preserve">capacity building </w:t>
      </w:r>
      <w:r w:rsidRPr="00F7263B">
        <w:rPr>
          <w:sz w:val="20"/>
          <w:szCs w:val="20"/>
        </w:rPr>
        <w:t>activities for all levels throughout the program period will be supported by dedicated federal and regional mobile teams</w:t>
      </w:r>
      <w:r w:rsidR="00A1368B" w:rsidRPr="00F7263B">
        <w:rPr>
          <w:sz w:val="20"/>
          <w:szCs w:val="20"/>
        </w:rPr>
        <w:t xml:space="preserve">.  </w:t>
      </w:r>
      <w:r w:rsidRPr="00F7263B">
        <w:rPr>
          <w:sz w:val="20"/>
          <w:szCs w:val="20"/>
        </w:rPr>
        <w:t xml:space="preserve">In addition, </w:t>
      </w:r>
      <w:r w:rsidR="00D555AF" w:rsidRPr="00F7263B">
        <w:rPr>
          <w:sz w:val="20"/>
          <w:szCs w:val="20"/>
        </w:rPr>
        <w:t>capacity building</w:t>
      </w:r>
      <w:r w:rsidRPr="00F7263B">
        <w:rPr>
          <w:sz w:val="20"/>
          <w:szCs w:val="20"/>
        </w:rPr>
        <w:t xml:space="preserve"> support will be tailored to the needs of federal, regional and local levels</w:t>
      </w:r>
      <w:r w:rsidR="00EC4EE2" w:rsidRPr="00F7263B">
        <w:rPr>
          <w:sz w:val="20"/>
          <w:szCs w:val="20"/>
        </w:rPr>
        <w:t>, as follows:</w:t>
      </w:r>
    </w:p>
    <w:p w:rsidR="00EC4EE2" w:rsidRPr="00F7263B" w:rsidRDefault="00EC4EE2" w:rsidP="00254260">
      <w:pPr>
        <w:pStyle w:val="ListParagraph"/>
        <w:tabs>
          <w:tab w:val="left" w:pos="0"/>
        </w:tabs>
        <w:ind w:left="0"/>
        <w:jc w:val="both"/>
        <w:rPr>
          <w:sz w:val="20"/>
          <w:szCs w:val="20"/>
        </w:rPr>
      </w:pPr>
    </w:p>
    <w:p w:rsidR="00EC4EE2" w:rsidRPr="00F7263B" w:rsidRDefault="007F7298" w:rsidP="00254260">
      <w:pPr>
        <w:pStyle w:val="ListParagraph"/>
        <w:numPr>
          <w:ilvl w:val="0"/>
          <w:numId w:val="90"/>
        </w:numPr>
        <w:tabs>
          <w:tab w:val="left" w:pos="0"/>
        </w:tabs>
        <w:ind w:left="1080"/>
        <w:jc w:val="both"/>
        <w:rPr>
          <w:sz w:val="20"/>
          <w:szCs w:val="20"/>
        </w:rPr>
      </w:pPr>
      <w:r w:rsidRPr="00F7263B">
        <w:rPr>
          <w:b/>
          <w:sz w:val="20"/>
          <w:szCs w:val="20"/>
        </w:rPr>
        <w:t>ULGs</w:t>
      </w:r>
      <w:r w:rsidR="00EC4EE2" w:rsidRPr="00F7263B">
        <w:rPr>
          <w:sz w:val="20"/>
          <w:szCs w:val="20"/>
        </w:rPr>
        <w:t xml:space="preserve">:will be supported through </w:t>
      </w:r>
      <w:r w:rsidRPr="00F7263B">
        <w:rPr>
          <w:sz w:val="20"/>
          <w:szCs w:val="20"/>
        </w:rPr>
        <w:t xml:space="preserve">both supply and demand side interventions </w:t>
      </w:r>
      <w:r w:rsidR="00EC4EE2" w:rsidRPr="00F7263B">
        <w:rPr>
          <w:sz w:val="20"/>
          <w:szCs w:val="20"/>
        </w:rPr>
        <w:t>aimed at</w:t>
      </w:r>
      <w:r w:rsidRPr="00F7263B">
        <w:rPr>
          <w:sz w:val="20"/>
          <w:szCs w:val="20"/>
        </w:rPr>
        <w:t>rais</w:t>
      </w:r>
      <w:r w:rsidR="00EC4EE2" w:rsidRPr="00F7263B">
        <w:rPr>
          <w:sz w:val="20"/>
          <w:szCs w:val="20"/>
        </w:rPr>
        <w:t xml:space="preserve">ing </w:t>
      </w:r>
      <w:r w:rsidRPr="00F7263B">
        <w:rPr>
          <w:sz w:val="20"/>
          <w:szCs w:val="20"/>
        </w:rPr>
        <w:t xml:space="preserve">their general capacity </w:t>
      </w:r>
      <w:r w:rsidR="00EC4EE2" w:rsidRPr="00F7263B">
        <w:rPr>
          <w:sz w:val="20"/>
          <w:szCs w:val="20"/>
        </w:rPr>
        <w:t xml:space="preserve">to meet their mandates.  </w:t>
      </w:r>
    </w:p>
    <w:p w:rsidR="00EC4EE2" w:rsidRPr="00F7263B" w:rsidRDefault="00EC4EE2" w:rsidP="00254260">
      <w:pPr>
        <w:pStyle w:val="ListParagraph"/>
        <w:numPr>
          <w:ilvl w:val="0"/>
          <w:numId w:val="90"/>
        </w:numPr>
        <w:tabs>
          <w:tab w:val="left" w:pos="0"/>
        </w:tabs>
        <w:ind w:left="1080"/>
        <w:jc w:val="both"/>
        <w:rPr>
          <w:sz w:val="20"/>
          <w:szCs w:val="20"/>
        </w:rPr>
      </w:pPr>
      <w:r w:rsidRPr="00F7263B">
        <w:rPr>
          <w:b/>
          <w:sz w:val="20"/>
          <w:szCs w:val="20"/>
        </w:rPr>
        <w:t>R</w:t>
      </w:r>
      <w:r w:rsidR="007F7298" w:rsidRPr="00F7263B">
        <w:rPr>
          <w:b/>
          <w:sz w:val="20"/>
          <w:szCs w:val="20"/>
        </w:rPr>
        <w:t>egions</w:t>
      </w:r>
      <w:r w:rsidRPr="00F7263B">
        <w:rPr>
          <w:sz w:val="20"/>
          <w:szCs w:val="20"/>
        </w:rPr>
        <w:t>:</w:t>
      </w:r>
      <w:r w:rsidR="007F7298" w:rsidRPr="00F7263B">
        <w:rPr>
          <w:sz w:val="20"/>
          <w:szCs w:val="20"/>
        </w:rPr>
        <w:t xml:space="preserve"> will be supported to strengthen their urban governance and management roles</w:t>
      </w:r>
      <w:r w:rsidRPr="00F7263B">
        <w:rPr>
          <w:sz w:val="20"/>
          <w:szCs w:val="20"/>
        </w:rPr>
        <w:t xml:space="preserve">.  They will, </w:t>
      </w:r>
      <w:r w:rsidR="007F7298" w:rsidRPr="00F7263B">
        <w:rPr>
          <w:sz w:val="20"/>
          <w:szCs w:val="20"/>
        </w:rPr>
        <w:t xml:space="preserve">in turn, provide </w:t>
      </w:r>
      <w:r w:rsidR="00D555AF" w:rsidRPr="00F7263B">
        <w:rPr>
          <w:sz w:val="20"/>
          <w:szCs w:val="20"/>
        </w:rPr>
        <w:t>capacity building</w:t>
      </w:r>
      <w:r w:rsidR="007F7298" w:rsidRPr="00F7263B">
        <w:rPr>
          <w:sz w:val="20"/>
          <w:szCs w:val="20"/>
        </w:rPr>
        <w:t xml:space="preserve"> support to ULGs</w:t>
      </w:r>
      <w:r w:rsidR="004D2289">
        <w:rPr>
          <w:sz w:val="20"/>
          <w:szCs w:val="20"/>
        </w:rPr>
        <w:t xml:space="preserve"> </w:t>
      </w:r>
      <w:r w:rsidR="008A7667" w:rsidRPr="00F7263B">
        <w:rPr>
          <w:sz w:val="20"/>
          <w:szCs w:val="20"/>
        </w:rPr>
        <w:t>in their jurisdiction</w:t>
      </w:r>
      <w:r w:rsidRPr="00F7263B">
        <w:rPr>
          <w:sz w:val="20"/>
          <w:szCs w:val="20"/>
        </w:rPr>
        <w:t xml:space="preserve">. </w:t>
      </w:r>
    </w:p>
    <w:p w:rsidR="007F7298" w:rsidRPr="00F7263B" w:rsidRDefault="00F20111" w:rsidP="00254260">
      <w:pPr>
        <w:pStyle w:val="ListParagraph"/>
        <w:numPr>
          <w:ilvl w:val="0"/>
          <w:numId w:val="90"/>
        </w:numPr>
        <w:tabs>
          <w:tab w:val="left" w:pos="0"/>
        </w:tabs>
        <w:ind w:left="1080"/>
        <w:jc w:val="both"/>
        <w:rPr>
          <w:sz w:val="20"/>
          <w:szCs w:val="20"/>
        </w:rPr>
      </w:pPr>
      <w:r w:rsidRPr="00F7263B">
        <w:rPr>
          <w:b/>
          <w:sz w:val="20"/>
          <w:szCs w:val="20"/>
        </w:rPr>
        <w:t>MUDHCo</w:t>
      </w:r>
      <w:r w:rsidR="00EC4EE2" w:rsidRPr="00F7263B">
        <w:rPr>
          <w:sz w:val="20"/>
          <w:szCs w:val="20"/>
        </w:rPr>
        <w:t xml:space="preserve">: </w:t>
      </w:r>
      <w:r w:rsidR="002D2B6E" w:rsidRPr="00F7263B">
        <w:rPr>
          <w:sz w:val="20"/>
          <w:szCs w:val="20"/>
        </w:rPr>
        <w:t>the M</w:t>
      </w:r>
      <w:r w:rsidR="00EC4EE2" w:rsidRPr="00F7263B">
        <w:rPr>
          <w:sz w:val="20"/>
          <w:szCs w:val="20"/>
        </w:rPr>
        <w:t>UD</w:t>
      </w:r>
      <w:r w:rsidR="002D2B6E" w:rsidRPr="00F7263B">
        <w:rPr>
          <w:sz w:val="20"/>
          <w:szCs w:val="20"/>
        </w:rPr>
        <w:t>H</w:t>
      </w:r>
      <w:r w:rsidR="00EC4EE2" w:rsidRPr="00F7263B">
        <w:rPr>
          <w:sz w:val="20"/>
          <w:szCs w:val="20"/>
        </w:rPr>
        <w:t>Co</w:t>
      </w:r>
      <w:r w:rsidR="004D2289">
        <w:rPr>
          <w:sz w:val="20"/>
          <w:szCs w:val="20"/>
        </w:rPr>
        <w:t xml:space="preserve"> </w:t>
      </w:r>
      <w:r w:rsidR="007F7298" w:rsidRPr="00F7263B">
        <w:rPr>
          <w:sz w:val="20"/>
          <w:szCs w:val="20"/>
        </w:rPr>
        <w:t>will</w:t>
      </w:r>
      <w:r w:rsidR="00EC4EE2" w:rsidRPr="00F7263B">
        <w:rPr>
          <w:sz w:val="20"/>
          <w:szCs w:val="20"/>
        </w:rPr>
        <w:t xml:space="preserve"> be supported</w:t>
      </w:r>
      <w:r w:rsidR="007F7298" w:rsidRPr="00F7263B">
        <w:rPr>
          <w:sz w:val="20"/>
          <w:szCs w:val="20"/>
        </w:rPr>
        <w:t xml:space="preserve"> to strengthen </w:t>
      </w:r>
      <w:r w:rsidR="00EC4EE2" w:rsidRPr="00F7263B">
        <w:rPr>
          <w:sz w:val="20"/>
          <w:szCs w:val="20"/>
        </w:rPr>
        <w:t xml:space="preserve">its </w:t>
      </w:r>
      <w:r w:rsidR="007F7298" w:rsidRPr="00F7263B">
        <w:rPr>
          <w:sz w:val="20"/>
          <w:szCs w:val="20"/>
        </w:rPr>
        <w:t>coordination, oversight</w:t>
      </w:r>
      <w:r w:rsidR="008A7667" w:rsidRPr="00F7263B">
        <w:rPr>
          <w:sz w:val="20"/>
          <w:szCs w:val="20"/>
        </w:rPr>
        <w:t>,</w:t>
      </w:r>
      <w:r w:rsidR="007F7298" w:rsidRPr="00F7263B">
        <w:rPr>
          <w:sz w:val="20"/>
          <w:szCs w:val="20"/>
        </w:rPr>
        <w:t xml:space="preserve"> and backstopping functions in serving the regional and local governments</w:t>
      </w:r>
      <w:r w:rsidR="00A1368B" w:rsidRPr="00F7263B">
        <w:rPr>
          <w:sz w:val="20"/>
          <w:szCs w:val="20"/>
        </w:rPr>
        <w:t xml:space="preserve">.  </w:t>
      </w:r>
    </w:p>
    <w:p w:rsidR="00764B28" w:rsidRPr="00F7263B" w:rsidRDefault="00764B28" w:rsidP="00764B28">
      <w:pPr>
        <w:pStyle w:val="ListParagraph"/>
        <w:tabs>
          <w:tab w:val="left" w:pos="0"/>
        </w:tabs>
        <w:ind w:left="0"/>
        <w:jc w:val="both"/>
        <w:rPr>
          <w:sz w:val="20"/>
          <w:szCs w:val="20"/>
        </w:rPr>
      </w:pPr>
    </w:p>
    <w:p w:rsidR="00764B28" w:rsidRPr="00F7263B" w:rsidRDefault="00764B28" w:rsidP="00D92D63">
      <w:pPr>
        <w:pStyle w:val="ListParagraph"/>
        <w:numPr>
          <w:ilvl w:val="0"/>
          <w:numId w:val="9"/>
        </w:numPr>
        <w:tabs>
          <w:tab w:val="left" w:pos="0"/>
        </w:tabs>
        <w:ind w:left="0" w:firstLine="0"/>
        <w:jc w:val="both"/>
        <w:rPr>
          <w:sz w:val="20"/>
          <w:szCs w:val="20"/>
        </w:rPr>
      </w:pPr>
      <w:r w:rsidRPr="00F7263B">
        <w:rPr>
          <w:b/>
          <w:sz w:val="20"/>
          <w:szCs w:val="20"/>
        </w:rPr>
        <w:t xml:space="preserve">The main focus of the </w:t>
      </w:r>
      <w:r w:rsidR="00D555AF" w:rsidRPr="00F7263B">
        <w:rPr>
          <w:b/>
          <w:sz w:val="20"/>
          <w:szCs w:val="20"/>
        </w:rPr>
        <w:t>capacity building</w:t>
      </w:r>
      <w:r w:rsidRPr="00F7263B">
        <w:rPr>
          <w:b/>
          <w:sz w:val="20"/>
          <w:szCs w:val="20"/>
        </w:rPr>
        <w:t xml:space="preserve"> is on enhancing urban governance and management to achieve better service delivery</w:t>
      </w:r>
      <w:r w:rsidR="00A1368B" w:rsidRPr="00F7263B">
        <w:rPr>
          <w:b/>
          <w:sz w:val="20"/>
          <w:szCs w:val="20"/>
        </w:rPr>
        <w:t>.</w:t>
      </w:r>
      <w:r w:rsidR="004D2289">
        <w:rPr>
          <w:b/>
          <w:sz w:val="20"/>
          <w:szCs w:val="20"/>
        </w:rPr>
        <w:t xml:space="preserve"> </w:t>
      </w:r>
      <w:r w:rsidRPr="00F7263B">
        <w:rPr>
          <w:sz w:val="20"/>
          <w:szCs w:val="20"/>
        </w:rPr>
        <w:t>Due to the cross-cutting nature of the subject,</w:t>
      </w:r>
      <w:r w:rsidR="004D2289">
        <w:rPr>
          <w:sz w:val="20"/>
          <w:szCs w:val="20"/>
        </w:rPr>
        <w:t xml:space="preserve"> </w:t>
      </w:r>
      <w:r w:rsidR="00D555AF" w:rsidRPr="00F7263B">
        <w:rPr>
          <w:sz w:val="20"/>
          <w:szCs w:val="20"/>
        </w:rPr>
        <w:t>capacity building</w:t>
      </w:r>
      <w:r w:rsidRPr="00F7263B">
        <w:rPr>
          <w:sz w:val="20"/>
          <w:szCs w:val="20"/>
        </w:rPr>
        <w:t xml:space="preserve"> will aim to strengthen the governments’ capacity in a</w:t>
      </w:r>
      <w:r w:rsidR="004D2289">
        <w:rPr>
          <w:sz w:val="20"/>
          <w:szCs w:val="20"/>
        </w:rPr>
        <w:t xml:space="preserve"> </w:t>
      </w:r>
      <w:r w:rsidRPr="00F7263B">
        <w:rPr>
          <w:sz w:val="20"/>
          <w:szCs w:val="20"/>
        </w:rPr>
        <w:t xml:space="preserve">variety of </w:t>
      </w:r>
      <w:r w:rsidR="00EC4EE2" w:rsidRPr="00F7263B">
        <w:rPr>
          <w:sz w:val="20"/>
          <w:szCs w:val="20"/>
        </w:rPr>
        <w:t>areas.  These include</w:t>
      </w:r>
      <w:r w:rsidRPr="00F7263B">
        <w:rPr>
          <w:sz w:val="20"/>
          <w:szCs w:val="20"/>
        </w:rPr>
        <w:t xml:space="preserve"> participatory planning, budgeting, revenue mobilization, financial management, procurement, infrastructure asset management, contract management and execution, urban planning, environmental and social safeguards, audit, ethics, fraud </w:t>
      </w:r>
      <w:r w:rsidR="0054490A" w:rsidRPr="00F7263B">
        <w:rPr>
          <w:sz w:val="20"/>
          <w:szCs w:val="20"/>
        </w:rPr>
        <w:t>and</w:t>
      </w:r>
      <w:r w:rsidRPr="00F7263B">
        <w:rPr>
          <w:sz w:val="20"/>
          <w:szCs w:val="20"/>
        </w:rPr>
        <w:t xml:space="preserve"> corruption, monitoring </w:t>
      </w:r>
      <w:r w:rsidR="0054490A" w:rsidRPr="00F7263B">
        <w:rPr>
          <w:sz w:val="20"/>
          <w:szCs w:val="20"/>
        </w:rPr>
        <w:t>and</w:t>
      </w:r>
      <w:r w:rsidRPr="00F7263B">
        <w:rPr>
          <w:sz w:val="20"/>
          <w:szCs w:val="20"/>
        </w:rPr>
        <w:t xml:space="preserve"> evaluation</w:t>
      </w:r>
      <w:r w:rsidR="0054490A" w:rsidRPr="00F7263B">
        <w:rPr>
          <w:sz w:val="20"/>
          <w:szCs w:val="20"/>
        </w:rPr>
        <w:t>,</w:t>
      </w:r>
      <w:r w:rsidR="004D2289">
        <w:rPr>
          <w:sz w:val="20"/>
          <w:szCs w:val="20"/>
        </w:rPr>
        <w:t xml:space="preserve"> </w:t>
      </w:r>
      <w:r w:rsidR="0054490A" w:rsidRPr="00F7263B">
        <w:rPr>
          <w:sz w:val="20"/>
          <w:szCs w:val="20"/>
        </w:rPr>
        <w:t>and</w:t>
      </w:r>
      <w:r w:rsidRPr="00F7263B">
        <w:rPr>
          <w:sz w:val="20"/>
          <w:szCs w:val="20"/>
        </w:rPr>
        <w:t xml:space="preserve"> others</w:t>
      </w:r>
      <w:r w:rsidR="00A1368B" w:rsidRPr="00F7263B">
        <w:rPr>
          <w:sz w:val="20"/>
          <w:szCs w:val="20"/>
        </w:rPr>
        <w:t xml:space="preserve">.  </w:t>
      </w:r>
      <w:r w:rsidRPr="00F7263B">
        <w:rPr>
          <w:sz w:val="20"/>
          <w:szCs w:val="20"/>
        </w:rPr>
        <w:t xml:space="preserve">The intention is both to strengthen </w:t>
      </w:r>
      <w:r w:rsidR="00EC4EE2" w:rsidRPr="00F7263B">
        <w:rPr>
          <w:sz w:val="20"/>
          <w:szCs w:val="20"/>
        </w:rPr>
        <w:t xml:space="preserve">both </w:t>
      </w:r>
      <w:r w:rsidRPr="00F7263B">
        <w:rPr>
          <w:sz w:val="20"/>
          <w:szCs w:val="20"/>
        </w:rPr>
        <w:t xml:space="preserve">human </w:t>
      </w:r>
      <w:r w:rsidR="00EC4EE2" w:rsidRPr="00F7263B">
        <w:rPr>
          <w:sz w:val="20"/>
          <w:szCs w:val="20"/>
        </w:rPr>
        <w:t xml:space="preserve">resources </w:t>
      </w:r>
      <w:r w:rsidR="0054490A" w:rsidRPr="00F7263B">
        <w:rPr>
          <w:sz w:val="20"/>
          <w:szCs w:val="20"/>
        </w:rPr>
        <w:t xml:space="preserve">and </w:t>
      </w:r>
      <w:r w:rsidRPr="00F7263B">
        <w:rPr>
          <w:sz w:val="20"/>
          <w:szCs w:val="20"/>
        </w:rPr>
        <w:t>systems in areas</w:t>
      </w:r>
      <w:r w:rsidR="009A3CB1" w:rsidRPr="00F7263B">
        <w:rPr>
          <w:sz w:val="20"/>
          <w:szCs w:val="20"/>
        </w:rPr>
        <w:t>,</w:t>
      </w:r>
      <w:r w:rsidRPr="00F7263B">
        <w:rPr>
          <w:sz w:val="20"/>
          <w:szCs w:val="20"/>
        </w:rPr>
        <w:t xml:space="preserve"> such as IT system, accounting system</w:t>
      </w:r>
      <w:r w:rsidR="0054490A" w:rsidRPr="00F7263B">
        <w:rPr>
          <w:sz w:val="20"/>
          <w:szCs w:val="20"/>
        </w:rPr>
        <w:t>s, and the like</w:t>
      </w:r>
      <w:r w:rsidR="00A1368B" w:rsidRPr="00F7263B">
        <w:rPr>
          <w:sz w:val="20"/>
          <w:szCs w:val="20"/>
        </w:rPr>
        <w:t xml:space="preserve">.  </w:t>
      </w:r>
      <w:r w:rsidRPr="00F7263B">
        <w:rPr>
          <w:sz w:val="20"/>
          <w:szCs w:val="20"/>
        </w:rPr>
        <w:t xml:space="preserve">The </w:t>
      </w:r>
      <w:r w:rsidR="008004CD" w:rsidRPr="00F7263B">
        <w:rPr>
          <w:sz w:val="20"/>
          <w:szCs w:val="20"/>
        </w:rPr>
        <w:t>APA</w:t>
      </w:r>
      <w:r w:rsidRPr="00F7263B">
        <w:rPr>
          <w:sz w:val="20"/>
          <w:szCs w:val="20"/>
        </w:rPr>
        <w:t xml:space="preserve"> will provide a comprehensive, regular check on </w:t>
      </w:r>
      <w:r w:rsidR="0054490A" w:rsidRPr="00F7263B">
        <w:rPr>
          <w:sz w:val="20"/>
          <w:szCs w:val="20"/>
        </w:rPr>
        <w:t>each entity’s</w:t>
      </w:r>
      <w:r w:rsidRPr="00F7263B">
        <w:rPr>
          <w:sz w:val="20"/>
          <w:szCs w:val="20"/>
        </w:rPr>
        <w:t xml:space="preserve"> </w:t>
      </w:r>
      <w:r w:rsidRPr="00F7263B">
        <w:rPr>
          <w:sz w:val="20"/>
          <w:szCs w:val="20"/>
        </w:rPr>
        <w:lastRenderedPageBreak/>
        <w:t>capacity improvement</w:t>
      </w:r>
      <w:r w:rsidR="0054490A" w:rsidRPr="00F7263B">
        <w:rPr>
          <w:sz w:val="20"/>
          <w:szCs w:val="20"/>
        </w:rPr>
        <w:t>s</w:t>
      </w:r>
      <w:r w:rsidRPr="00F7263B">
        <w:rPr>
          <w:sz w:val="20"/>
          <w:szCs w:val="20"/>
        </w:rPr>
        <w:t xml:space="preserve"> and identify gaps and weaknesses to be </w:t>
      </w:r>
      <w:r w:rsidR="0054490A" w:rsidRPr="00F7263B">
        <w:rPr>
          <w:sz w:val="20"/>
          <w:szCs w:val="20"/>
        </w:rPr>
        <w:t>strengthened in the future</w:t>
      </w:r>
      <w:r w:rsidR="0070054B" w:rsidRPr="00F7263B">
        <w:rPr>
          <w:sz w:val="20"/>
          <w:szCs w:val="20"/>
        </w:rPr>
        <w:t>, including issues raised on procurement and financial management.</w:t>
      </w:r>
    </w:p>
    <w:p w:rsidR="007F7298" w:rsidRPr="00F7263B" w:rsidRDefault="007F7298" w:rsidP="007F7298">
      <w:pPr>
        <w:pStyle w:val="ListParagraph"/>
        <w:tabs>
          <w:tab w:val="left" w:pos="0"/>
        </w:tabs>
        <w:ind w:left="0"/>
        <w:jc w:val="both"/>
        <w:rPr>
          <w:sz w:val="20"/>
          <w:szCs w:val="20"/>
        </w:rPr>
      </w:pPr>
    </w:p>
    <w:p w:rsidR="00F611ED" w:rsidRPr="00F7263B" w:rsidRDefault="007F7298" w:rsidP="00D92D63">
      <w:pPr>
        <w:pStyle w:val="ListParagraph"/>
        <w:numPr>
          <w:ilvl w:val="0"/>
          <w:numId w:val="9"/>
        </w:numPr>
        <w:tabs>
          <w:tab w:val="left" w:pos="0"/>
        </w:tabs>
        <w:ind w:left="0" w:firstLine="0"/>
        <w:jc w:val="both"/>
        <w:rPr>
          <w:sz w:val="20"/>
          <w:szCs w:val="20"/>
        </w:rPr>
      </w:pPr>
      <w:r w:rsidRPr="00F7263B">
        <w:rPr>
          <w:b/>
          <w:sz w:val="20"/>
          <w:szCs w:val="20"/>
        </w:rPr>
        <w:t>The capacity building activities will be carried out in two phases</w:t>
      </w:r>
      <w:r w:rsidR="0054490A" w:rsidRPr="00F7263B">
        <w:rPr>
          <w:b/>
          <w:sz w:val="20"/>
          <w:szCs w:val="20"/>
        </w:rPr>
        <w:t xml:space="preserve">. </w:t>
      </w:r>
      <w:r w:rsidR="00356AE5" w:rsidRPr="00F7263B">
        <w:rPr>
          <w:sz w:val="20"/>
          <w:szCs w:val="20"/>
        </w:rPr>
        <w:t>This is due to the</w:t>
      </w:r>
      <w:r w:rsidRPr="00F7263B">
        <w:rPr>
          <w:sz w:val="20"/>
          <w:szCs w:val="20"/>
        </w:rPr>
        <w:t xml:space="preserve"> transition between ULGDP and ULGDP II</w:t>
      </w:r>
      <w:r w:rsidR="00356AE5" w:rsidRPr="00F7263B">
        <w:rPr>
          <w:sz w:val="20"/>
          <w:szCs w:val="20"/>
        </w:rPr>
        <w:t>. T</w:t>
      </w:r>
      <w:r w:rsidRPr="00F7263B">
        <w:rPr>
          <w:sz w:val="20"/>
          <w:szCs w:val="20"/>
        </w:rPr>
        <w:t xml:space="preserve">he key activities are </w:t>
      </w:r>
      <w:r w:rsidR="00356AE5" w:rsidRPr="00F7263B">
        <w:rPr>
          <w:sz w:val="20"/>
          <w:szCs w:val="20"/>
        </w:rPr>
        <w:t>captured in the table below.</w:t>
      </w:r>
    </w:p>
    <w:p w:rsidR="007F7298" w:rsidRPr="00F7263B" w:rsidRDefault="007F7298" w:rsidP="007F7298">
      <w:pPr>
        <w:pStyle w:val="ListParagraph"/>
        <w:tabs>
          <w:tab w:val="left" w:pos="0"/>
        </w:tabs>
        <w:ind w:left="0"/>
        <w:jc w:val="both"/>
        <w:rPr>
          <w:sz w:val="20"/>
          <w:szCs w:val="20"/>
        </w:rPr>
      </w:pPr>
    </w:p>
    <w:p w:rsidR="00F45E4C" w:rsidRPr="00F7263B" w:rsidRDefault="00F45E4C" w:rsidP="009313FC">
      <w:pPr>
        <w:pStyle w:val="Caption"/>
        <w:spacing w:after="60"/>
        <w:jc w:val="both"/>
      </w:pPr>
      <w:bookmarkStart w:id="14" w:name="_Toc380087105"/>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4</w:t>
      </w:r>
      <w:r w:rsidR="00B845BE" w:rsidRPr="00F7263B">
        <w:fldChar w:fldCharType="end"/>
      </w:r>
      <w:r w:rsidRPr="00F7263B">
        <w:t xml:space="preserve">: Main </w:t>
      </w:r>
      <w:r w:rsidR="00356AE5" w:rsidRPr="00F7263B">
        <w:t>c</w:t>
      </w:r>
      <w:r w:rsidRPr="00F7263B">
        <w:t xml:space="preserve">apacity </w:t>
      </w:r>
      <w:r w:rsidR="00356AE5" w:rsidRPr="00F7263B">
        <w:t>building activities in phases 1 and 2</w:t>
      </w:r>
      <w:bookmarkEnd w:id="14"/>
    </w:p>
    <w:tbl>
      <w:tblPr>
        <w:tblStyle w:val="TableGrid"/>
        <w:tblW w:w="0" w:type="auto"/>
        <w:tblInd w:w="108" w:type="dxa"/>
        <w:tblLook w:val="04A0" w:firstRow="1" w:lastRow="0" w:firstColumn="1" w:lastColumn="0" w:noHBand="0" w:noVBand="1"/>
      </w:tblPr>
      <w:tblGrid>
        <w:gridCol w:w="5040"/>
        <w:gridCol w:w="4410"/>
      </w:tblGrid>
      <w:tr w:rsidR="00356AE5" w:rsidRPr="00F7263B">
        <w:tc>
          <w:tcPr>
            <w:tcW w:w="5040" w:type="dxa"/>
          </w:tcPr>
          <w:p w:rsidR="00356AE5" w:rsidRPr="00F7263B" w:rsidRDefault="00356AE5" w:rsidP="00ED5613">
            <w:pPr>
              <w:rPr>
                <w:rFonts w:cs="Times New Roman"/>
                <w:i/>
                <w:sz w:val="20"/>
                <w:szCs w:val="20"/>
              </w:rPr>
            </w:pPr>
            <w:r w:rsidRPr="00F7263B">
              <w:rPr>
                <w:rFonts w:cs="Times New Roman"/>
                <w:i/>
                <w:sz w:val="20"/>
                <w:szCs w:val="20"/>
              </w:rPr>
              <w:t>Phase 1 (November 2013 to December 2014)</w:t>
            </w:r>
          </w:p>
        </w:tc>
        <w:tc>
          <w:tcPr>
            <w:tcW w:w="4410" w:type="dxa"/>
          </w:tcPr>
          <w:p w:rsidR="00356AE5" w:rsidRPr="00F7263B" w:rsidRDefault="00356AE5" w:rsidP="00ED5613">
            <w:pPr>
              <w:rPr>
                <w:rFonts w:cs="Times New Roman"/>
                <w:i/>
                <w:sz w:val="20"/>
                <w:szCs w:val="20"/>
              </w:rPr>
            </w:pPr>
            <w:r w:rsidRPr="00F7263B">
              <w:rPr>
                <w:rFonts w:cs="Times New Roman"/>
                <w:i/>
                <w:sz w:val="20"/>
                <w:szCs w:val="20"/>
              </w:rPr>
              <w:t>Phase 2 (August 2014 to December 2019)</w:t>
            </w:r>
          </w:p>
        </w:tc>
      </w:tr>
      <w:tr w:rsidR="00356AE5" w:rsidRPr="00F7263B">
        <w:tc>
          <w:tcPr>
            <w:tcW w:w="5040" w:type="dxa"/>
          </w:tcPr>
          <w:p w:rsidR="006E7278" w:rsidRPr="00F7263B" w:rsidRDefault="00356AE5" w:rsidP="00827BD7">
            <w:pPr>
              <w:pStyle w:val="ListParagraph"/>
              <w:numPr>
                <w:ilvl w:val="0"/>
                <w:numId w:val="13"/>
              </w:numPr>
              <w:ind w:left="342" w:hanging="342"/>
              <w:rPr>
                <w:rFonts w:cs="Times New Roman"/>
                <w:sz w:val="20"/>
                <w:szCs w:val="20"/>
              </w:rPr>
            </w:pPr>
            <w:r w:rsidRPr="00F7263B">
              <w:rPr>
                <w:rFonts w:cs="Times New Roman"/>
                <w:sz w:val="20"/>
                <w:szCs w:val="20"/>
              </w:rPr>
              <w:t>Federal mobile team</w:t>
            </w:r>
            <w:r w:rsidR="007A0C4F" w:rsidRPr="00F7263B">
              <w:rPr>
                <w:rFonts w:cs="Times New Roman"/>
                <w:sz w:val="20"/>
                <w:szCs w:val="20"/>
              </w:rPr>
              <w:t>.</w:t>
            </w:r>
          </w:p>
          <w:p w:rsidR="006E7278" w:rsidRPr="00F7263B" w:rsidRDefault="00356AE5" w:rsidP="00827BD7">
            <w:pPr>
              <w:pStyle w:val="ListParagraph"/>
              <w:numPr>
                <w:ilvl w:val="0"/>
                <w:numId w:val="13"/>
              </w:numPr>
              <w:ind w:left="342" w:hanging="342"/>
              <w:rPr>
                <w:rFonts w:cs="Times New Roman"/>
                <w:sz w:val="20"/>
                <w:szCs w:val="20"/>
              </w:rPr>
            </w:pPr>
            <w:r w:rsidRPr="00F7263B">
              <w:rPr>
                <w:rFonts w:cs="Times New Roman"/>
                <w:sz w:val="20"/>
                <w:szCs w:val="20"/>
              </w:rPr>
              <w:t xml:space="preserve">Two technical consultant teams </w:t>
            </w:r>
            <w:r w:rsidR="007A0C4F" w:rsidRPr="00F7263B">
              <w:rPr>
                <w:rFonts w:cs="Times New Roman"/>
                <w:sz w:val="20"/>
                <w:szCs w:val="20"/>
              </w:rPr>
              <w:t>to provide</w:t>
            </w:r>
            <w:r w:rsidR="004D2289">
              <w:rPr>
                <w:rFonts w:cs="Times New Roman"/>
                <w:sz w:val="20"/>
                <w:szCs w:val="20"/>
              </w:rPr>
              <w:t xml:space="preserve"> </w:t>
            </w:r>
            <w:r w:rsidRPr="00F7263B">
              <w:rPr>
                <w:rFonts w:cs="Times New Roman"/>
                <w:sz w:val="20"/>
                <w:szCs w:val="20"/>
              </w:rPr>
              <w:t>capacity building support for ULGs (phased out by end of period)</w:t>
            </w:r>
            <w:r w:rsidR="007A0C4F" w:rsidRPr="00F7263B">
              <w:rPr>
                <w:rFonts w:cs="Times New Roman"/>
                <w:sz w:val="20"/>
                <w:szCs w:val="20"/>
              </w:rPr>
              <w:t>.</w:t>
            </w:r>
          </w:p>
          <w:p w:rsidR="006E7278" w:rsidRPr="00F7263B" w:rsidRDefault="00356AE5" w:rsidP="00827BD7">
            <w:pPr>
              <w:pStyle w:val="ListParagraph"/>
              <w:numPr>
                <w:ilvl w:val="0"/>
                <w:numId w:val="13"/>
              </w:numPr>
              <w:ind w:left="342" w:hanging="342"/>
              <w:rPr>
                <w:rFonts w:cs="Times New Roman"/>
                <w:b/>
                <w:sz w:val="20"/>
                <w:szCs w:val="20"/>
              </w:rPr>
            </w:pPr>
            <w:r w:rsidRPr="00F7263B">
              <w:rPr>
                <w:rFonts w:cs="Times New Roman"/>
                <w:sz w:val="20"/>
                <w:szCs w:val="20"/>
              </w:rPr>
              <w:t>GIZ financed support for capacity building of regional governments and eight cities (phased out by end of period)</w:t>
            </w:r>
            <w:r w:rsidR="007A0C4F" w:rsidRPr="00F7263B">
              <w:rPr>
                <w:rFonts w:cs="Times New Roman"/>
                <w:sz w:val="20"/>
                <w:szCs w:val="20"/>
              </w:rPr>
              <w:t>.</w:t>
            </w:r>
          </w:p>
        </w:tc>
        <w:tc>
          <w:tcPr>
            <w:tcW w:w="4410" w:type="dxa"/>
          </w:tcPr>
          <w:p w:rsidR="006E7278" w:rsidRPr="00F7263B" w:rsidRDefault="00356AE5"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Expanded federal mobile team and functions</w:t>
            </w:r>
            <w:r w:rsidR="007A0C4F" w:rsidRPr="00F7263B">
              <w:rPr>
                <w:rFonts w:cs="Times New Roman"/>
                <w:sz w:val="20"/>
                <w:szCs w:val="20"/>
              </w:rPr>
              <w:t>.</w:t>
            </w:r>
          </w:p>
          <w:p w:rsidR="006E7278" w:rsidRPr="00F7263B" w:rsidRDefault="00356AE5"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Four new regional mobile teams</w:t>
            </w:r>
            <w:r w:rsidR="007A0C4F" w:rsidRPr="00F7263B">
              <w:rPr>
                <w:rFonts w:cs="Times New Roman"/>
                <w:sz w:val="20"/>
                <w:szCs w:val="20"/>
              </w:rPr>
              <w:t>.</w:t>
            </w:r>
          </w:p>
          <w:p w:rsidR="006E7278" w:rsidRPr="00F7263B" w:rsidRDefault="00356AE5"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New urban management course for ULGs</w:t>
            </w:r>
            <w:r w:rsidR="007A0C4F" w:rsidRPr="00F7263B">
              <w:rPr>
                <w:rFonts w:cs="Times New Roman"/>
                <w:sz w:val="20"/>
                <w:szCs w:val="20"/>
              </w:rPr>
              <w:t>.</w:t>
            </w:r>
          </w:p>
          <w:p w:rsidR="006E7278" w:rsidRPr="00F7263B" w:rsidRDefault="007A0C4F"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C</w:t>
            </w:r>
            <w:r w:rsidR="00356AE5" w:rsidRPr="00F7263B">
              <w:rPr>
                <w:rFonts w:cs="Times New Roman"/>
                <w:sz w:val="20"/>
                <w:szCs w:val="20"/>
              </w:rPr>
              <w:t>apacity building</w:t>
            </w:r>
            <w:r w:rsidR="004D2289">
              <w:rPr>
                <w:rFonts w:cs="Times New Roman"/>
                <w:sz w:val="20"/>
                <w:szCs w:val="20"/>
              </w:rPr>
              <w:t xml:space="preserve"> </w:t>
            </w:r>
            <w:r w:rsidRPr="00F7263B">
              <w:rPr>
                <w:rFonts w:cs="Times New Roman"/>
                <w:sz w:val="20"/>
                <w:szCs w:val="20"/>
              </w:rPr>
              <w:t xml:space="preserve">support </w:t>
            </w:r>
            <w:r w:rsidR="00356AE5" w:rsidRPr="00F7263B">
              <w:rPr>
                <w:rFonts w:cs="Times New Roman"/>
                <w:sz w:val="20"/>
                <w:szCs w:val="20"/>
              </w:rPr>
              <w:t>for ULGs</w:t>
            </w:r>
            <w:r w:rsidRPr="00F7263B">
              <w:rPr>
                <w:rFonts w:cs="Times New Roman"/>
                <w:sz w:val="20"/>
                <w:szCs w:val="20"/>
              </w:rPr>
              <w:t xml:space="preserve"> on the basis of demand.</w:t>
            </w:r>
          </w:p>
        </w:tc>
      </w:tr>
    </w:tbl>
    <w:p w:rsidR="00356AE5" w:rsidRPr="00F7263B" w:rsidRDefault="00356AE5" w:rsidP="00356AE5">
      <w:pPr>
        <w:rPr>
          <w:sz w:val="20"/>
          <w:szCs w:val="20"/>
        </w:rPr>
      </w:pPr>
    </w:p>
    <w:p w:rsidR="007F7298" w:rsidRPr="00F7263B" w:rsidRDefault="00661DCC" w:rsidP="003F32C6">
      <w:pPr>
        <w:pStyle w:val="ListParagraph"/>
        <w:numPr>
          <w:ilvl w:val="0"/>
          <w:numId w:val="9"/>
        </w:numPr>
        <w:tabs>
          <w:tab w:val="left" w:pos="0"/>
        </w:tabs>
        <w:ind w:left="0" w:firstLine="0"/>
        <w:jc w:val="both"/>
        <w:rPr>
          <w:sz w:val="20"/>
          <w:szCs w:val="20"/>
        </w:rPr>
      </w:pPr>
      <w:r w:rsidRPr="00F7263B">
        <w:rPr>
          <w:rFonts w:cs="Times New Roman"/>
          <w:b/>
          <w:sz w:val="20"/>
          <w:szCs w:val="20"/>
        </w:rPr>
        <w:t>Capacity Building for ULGs</w:t>
      </w:r>
      <w:r w:rsidR="009313FC" w:rsidRPr="00F7263B">
        <w:rPr>
          <w:rFonts w:cs="Times New Roman"/>
          <w:b/>
          <w:sz w:val="20"/>
          <w:szCs w:val="20"/>
        </w:rPr>
        <w:t>.</w:t>
      </w:r>
      <w:r w:rsidR="004D2289">
        <w:rPr>
          <w:rFonts w:cs="Times New Roman"/>
          <w:b/>
          <w:sz w:val="20"/>
          <w:szCs w:val="20"/>
        </w:rPr>
        <w:t xml:space="preserve"> </w:t>
      </w:r>
      <w:r w:rsidRPr="00F7263B">
        <w:rPr>
          <w:rFonts w:cs="Times New Roman"/>
          <w:sz w:val="20"/>
          <w:szCs w:val="20"/>
        </w:rPr>
        <w:t>The supply side intervention</w:t>
      </w:r>
      <w:r w:rsidR="0023351C" w:rsidRPr="00F7263B">
        <w:rPr>
          <w:rFonts w:cs="Times New Roman"/>
          <w:sz w:val="20"/>
          <w:szCs w:val="20"/>
        </w:rPr>
        <w:t>s</w:t>
      </w:r>
      <w:r w:rsidRPr="00F7263B">
        <w:rPr>
          <w:rFonts w:cs="Times New Roman"/>
          <w:sz w:val="20"/>
          <w:szCs w:val="20"/>
        </w:rPr>
        <w:t xml:space="preserve"> will </w:t>
      </w:r>
      <w:r w:rsidR="0023351C" w:rsidRPr="00F7263B">
        <w:rPr>
          <w:rFonts w:cs="Times New Roman"/>
          <w:sz w:val="20"/>
          <w:szCs w:val="20"/>
        </w:rPr>
        <w:t xml:space="preserve">comprise primarily </w:t>
      </w:r>
      <w:r w:rsidRPr="00F7263B">
        <w:rPr>
          <w:rFonts w:cs="Times New Roman"/>
          <w:sz w:val="20"/>
          <w:szCs w:val="20"/>
        </w:rPr>
        <w:t>an urban management course to be provided by the Ethiopian Civil Service University (ECSU)</w:t>
      </w:r>
      <w:r w:rsidR="0023351C" w:rsidRPr="00F7263B">
        <w:rPr>
          <w:rFonts w:cs="Times New Roman"/>
          <w:sz w:val="20"/>
          <w:szCs w:val="20"/>
        </w:rPr>
        <w:t xml:space="preserve">.  The </w:t>
      </w:r>
      <w:r w:rsidR="00821460" w:rsidRPr="00F7263B">
        <w:rPr>
          <w:rFonts w:cs="Times New Roman"/>
          <w:sz w:val="20"/>
          <w:szCs w:val="20"/>
        </w:rPr>
        <w:t>MUDHCo</w:t>
      </w:r>
      <w:r w:rsidR="0023351C" w:rsidRPr="00F7263B">
        <w:rPr>
          <w:rFonts w:cs="Times New Roman"/>
          <w:sz w:val="20"/>
          <w:szCs w:val="20"/>
        </w:rPr>
        <w:t xml:space="preserve"> will facilitate access to the course</w:t>
      </w:r>
      <w:r w:rsidR="009313FC" w:rsidRPr="00F7263B">
        <w:rPr>
          <w:rFonts w:cs="Times New Roman"/>
          <w:sz w:val="20"/>
          <w:szCs w:val="20"/>
        </w:rPr>
        <w:t xml:space="preserve">.  </w:t>
      </w:r>
      <w:r w:rsidR="0023351C" w:rsidRPr="00F7263B">
        <w:rPr>
          <w:rFonts w:cs="Times New Roman"/>
          <w:sz w:val="20"/>
          <w:szCs w:val="20"/>
        </w:rPr>
        <w:t xml:space="preserve">Key staff of the </w:t>
      </w:r>
      <w:r w:rsidRPr="00F7263B">
        <w:rPr>
          <w:rFonts w:cs="Times New Roman"/>
          <w:sz w:val="20"/>
          <w:szCs w:val="20"/>
        </w:rPr>
        <w:t>new 26 ULGs join</w:t>
      </w:r>
      <w:r w:rsidR="0023351C" w:rsidRPr="00F7263B">
        <w:rPr>
          <w:rFonts w:cs="Times New Roman"/>
          <w:sz w:val="20"/>
          <w:szCs w:val="20"/>
        </w:rPr>
        <w:t>ing</w:t>
      </w:r>
      <w:r w:rsidRPr="00F7263B">
        <w:rPr>
          <w:rFonts w:cs="Times New Roman"/>
          <w:sz w:val="20"/>
          <w:szCs w:val="20"/>
        </w:rPr>
        <w:t xml:space="preserve"> the ULGDP II</w:t>
      </w:r>
      <w:r w:rsidR="0023351C" w:rsidRPr="00F7263B">
        <w:rPr>
          <w:rFonts w:cs="Times New Roman"/>
          <w:sz w:val="20"/>
          <w:szCs w:val="20"/>
        </w:rPr>
        <w:t xml:space="preserve"> will be expected to complete the course</w:t>
      </w:r>
      <w:r w:rsidR="00DB449D" w:rsidRPr="00F7263B">
        <w:rPr>
          <w:rFonts w:cs="Times New Roman"/>
          <w:sz w:val="20"/>
          <w:szCs w:val="20"/>
        </w:rPr>
        <w:t xml:space="preserve">.  </w:t>
      </w:r>
      <w:r w:rsidR="009313FC" w:rsidRPr="00F7263B">
        <w:rPr>
          <w:sz w:val="20"/>
          <w:szCs w:val="20"/>
        </w:rPr>
        <w:t>The MUDHC will pay the costs for staff of these 26 ULGs to attend this one-time course</w:t>
      </w:r>
      <w:r w:rsidR="0023351C" w:rsidRPr="00F7263B">
        <w:rPr>
          <w:sz w:val="20"/>
          <w:szCs w:val="20"/>
        </w:rPr>
        <w:t>.</w:t>
      </w:r>
      <w:r w:rsidR="009313FC" w:rsidRPr="00F7263B">
        <w:rPr>
          <w:sz w:val="20"/>
          <w:szCs w:val="20"/>
        </w:rPr>
        <w:t xml:space="preserve">  The course will be optional for staff of the 18 cities currently participating in the ULGDP, but can serve as a refresher or for new staff in the ULGs.  These 18 ULGs </w:t>
      </w:r>
      <w:r w:rsidR="0023351C" w:rsidRPr="00F7263B">
        <w:rPr>
          <w:sz w:val="20"/>
          <w:szCs w:val="20"/>
        </w:rPr>
        <w:t xml:space="preserve">will be expected to </w:t>
      </w:r>
      <w:r w:rsidR="009313FC" w:rsidRPr="00F7263B">
        <w:rPr>
          <w:sz w:val="20"/>
          <w:szCs w:val="20"/>
        </w:rPr>
        <w:t>use their own resources to</w:t>
      </w:r>
      <w:r w:rsidR="0013126C" w:rsidRPr="00F7263B">
        <w:rPr>
          <w:sz w:val="20"/>
          <w:szCs w:val="20"/>
        </w:rPr>
        <w:t xml:space="preserve"> send staff to</w:t>
      </w:r>
      <w:r w:rsidR="009313FC" w:rsidRPr="00F7263B">
        <w:rPr>
          <w:sz w:val="20"/>
          <w:szCs w:val="20"/>
        </w:rPr>
        <w:t xml:space="preserve"> attend any or all of the modules.  </w:t>
      </w:r>
      <w:r w:rsidRPr="00F7263B">
        <w:rPr>
          <w:rFonts w:cs="Times New Roman"/>
          <w:sz w:val="20"/>
          <w:szCs w:val="20"/>
        </w:rPr>
        <w:t>In addition to the supply side interventions, each ULG will be able to spend up to 5</w:t>
      </w:r>
      <w:r w:rsidR="00DB449D" w:rsidRPr="00F7263B">
        <w:rPr>
          <w:rFonts w:cs="Times New Roman"/>
          <w:sz w:val="20"/>
          <w:szCs w:val="20"/>
        </w:rPr>
        <w:t xml:space="preserve"> percent</w:t>
      </w:r>
      <w:r w:rsidRPr="00F7263B">
        <w:rPr>
          <w:rFonts w:cs="Times New Roman"/>
          <w:sz w:val="20"/>
          <w:szCs w:val="20"/>
        </w:rPr>
        <w:t xml:space="preserve"> of </w:t>
      </w:r>
      <w:r w:rsidR="001A15B6" w:rsidRPr="00F7263B">
        <w:rPr>
          <w:rFonts w:cs="Times New Roman"/>
          <w:sz w:val="20"/>
          <w:szCs w:val="20"/>
        </w:rPr>
        <w:t>their performance</w:t>
      </w:r>
      <w:r w:rsidR="00B44D00" w:rsidRPr="00F7263B">
        <w:rPr>
          <w:rFonts w:cs="Times New Roman"/>
          <w:sz w:val="20"/>
          <w:szCs w:val="20"/>
        </w:rPr>
        <w:t>-</w:t>
      </w:r>
      <w:r w:rsidR="001A15B6" w:rsidRPr="00F7263B">
        <w:rPr>
          <w:rFonts w:cs="Times New Roman"/>
          <w:sz w:val="20"/>
          <w:szCs w:val="20"/>
        </w:rPr>
        <w:t>based grants</w:t>
      </w:r>
      <w:r w:rsidRPr="00F7263B">
        <w:rPr>
          <w:rFonts w:cs="Times New Roman"/>
          <w:sz w:val="20"/>
          <w:szCs w:val="20"/>
        </w:rPr>
        <w:t xml:space="preserve"> on </w:t>
      </w:r>
      <w:r w:rsidR="0013126C" w:rsidRPr="00F7263B">
        <w:rPr>
          <w:rFonts w:cs="Times New Roman"/>
          <w:sz w:val="20"/>
          <w:szCs w:val="20"/>
        </w:rPr>
        <w:t>eligible</w:t>
      </w:r>
      <w:r w:rsidR="004D2289">
        <w:rPr>
          <w:rFonts w:cs="Times New Roman"/>
          <w:sz w:val="20"/>
          <w:szCs w:val="20"/>
        </w:rPr>
        <w:t xml:space="preserve"> </w:t>
      </w:r>
      <w:r w:rsidR="00DB449D" w:rsidRPr="00F7263B">
        <w:rPr>
          <w:rFonts w:cs="Times New Roman"/>
          <w:sz w:val="20"/>
          <w:szCs w:val="20"/>
        </w:rPr>
        <w:t>capacity building</w:t>
      </w:r>
      <w:r w:rsidRPr="00F7263B">
        <w:rPr>
          <w:rFonts w:cs="Times New Roman"/>
          <w:sz w:val="20"/>
          <w:szCs w:val="20"/>
        </w:rPr>
        <w:t xml:space="preserve"> activities</w:t>
      </w:r>
      <w:r w:rsidR="0013126C" w:rsidRPr="00F7263B">
        <w:rPr>
          <w:rFonts w:cs="Times New Roman"/>
          <w:sz w:val="20"/>
          <w:szCs w:val="20"/>
        </w:rPr>
        <w:t xml:space="preserve">, as laid out in the capacity building menu in paragraph </w:t>
      </w:r>
      <w:r w:rsidR="001509A0" w:rsidRPr="00F7263B">
        <w:rPr>
          <w:rFonts w:cs="Times New Roman"/>
          <w:sz w:val="20"/>
          <w:szCs w:val="20"/>
        </w:rPr>
        <w:t>26</w:t>
      </w:r>
      <w:r w:rsidR="0013126C" w:rsidRPr="00F7263B">
        <w:rPr>
          <w:rFonts w:cs="Times New Roman"/>
          <w:sz w:val="20"/>
          <w:szCs w:val="20"/>
        </w:rPr>
        <w:t xml:space="preserve"> in annex 1</w:t>
      </w:r>
      <w:r w:rsidR="009313FC" w:rsidRPr="00F7263B">
        <w:rPr>
          <w:rFonts w:cs="Times New Roman"/>
          <w:sz w:val="20"/>
          <w:szCs w:val="20"/>
        </w:rPr>
        <w:t xml:space="preserve">.  </w:t>
      </w:r>
      <w:r w:rsidR="001509A0" w:rsidRPr="00F7263B">
        <w:rPr>
          <w:rFonts w:cs="Times New Roman"/>
          <w:sz w:val="20"/>
          <w:szCs w:val="20"/>
        </w:rPr>
        <w:t>Having a menu allows ULGs to design their capacity building program to their specific needs, and to address weaknesses (such as issues on procurement and financial management)that are identified in the APA.</w:t>
      </w:r>
      <w:r w:rsidR="001509A0" w:rsidRPr="00F7263B">
        <w:rPr>
          <w:sz w:val="20"/>
          <w:szCs w:val="20"/>
        </w:rPr>
        <w:t xml:space="preserve">  However, expenditures on activities not included on the menu are ineligible for financing under the Program.  The APA will monitor </w:t>
      </w:r>
      <w:r w:rsidR="004D748D" w:rsidRPr="00F7263B">
        <w:rPr>
          <w:sz w:val="20"/>
          <w:szCs w:val="20"/>
        </w:rPr>
        <w:t xml:space="preserve">expenditures on </w:t>
      </w:r>
      <w:r w:rsidR="001509A0" w:rsidRPr="00F7263B">
        <w:rPr>
          <w:sz w:val="20"/>
          <w:szCs w:val="20"/>
        </w:rPr>
        <w:t xml:space="preserve">capacity building each year.  </w:t>
      </w:r>
      <w:r w:rsidR="004D748D" w:rsidRPr="00F7263B">
        <w:rPr>
          <w:sz w:val="20"/>
          <w:szCs w:val="20"/>
        </w:rPr>
        <w:t>ULGs will have to demonstrate a</w:t>
      </w:r>
      <w:r w:rsidR="001509A0" w:rsidRPr="00F7263B">
        <w:rPr>
          <w:rFonts w:cs="Times New Roman"/>
          <w:sz w:val="20"/>
          <w:szCs w:val="20"/>
        </w:rPr>
        <w:t xml:space="preserve">dherence with the menu </w:t>
      </w:r>
      <w:r w:rsidR="004D748D" w:rsidRPr="00F7263B">
        <w:rPr>
          <w:sz w:val="20"/>
          <w:szCs w:val="20"/>
        </w:rPr>
        <w:t>as</w:t>
      </w:r>
      <w:r w:rsidR="001A15B6" w:rsidRPr="00F7263B">
        <w:rPr>
          <w:sz w:val="20"/>
          <w:szCs w:val="20"/>
        </w:rPr>
        <w:t xml:space="preserve"> a minimum condition </w:t>
      </w:r>
      <w:r w:rsidR="004D748D" w:rsidRPr="00F7263B">
        <w:rPr>
          <w:sz w:val="20"/>
          <w:szCs w:val="20"/>
        </w:rPr>
        <w:t xml:space="preserve">to </w:t>
      </w:r>
      <w:r w:rsidR="001A15B6" w:rsidRPr="00F7263B">
        <w:rPr>
          <w:sz w:val="20"/>
          <w:szCs w:val="20"/>
        </w:rPr>
        <w:t>access to the performance grant</w:t>
      </w:r>
      <w:r w:rsidR="009313FC" w:rsidRPr="00F7263B">
        <w:rPr>
          <w:sz w:val="20"/>
          <w:szCs w:val="20"/>
        </w:rPr>
        <w:t xml:space="preserve">.  </w:t>
      </w:r>
      <w:r w:rsidR="00764B28" w:rsidRPr="00F7263B">
        <w:rPr>
          <w:sz w:val="20"/>
          <w:szCs w:val="20"/>
        </w:rPr>
        <w:t xml:space="preserve">Further details on the overall design of capacity building activities under ULGDP II </w:t>
      </w:r>
      <w:r w:rsidR="00EC02DA" w:rsidRPr="00F7263B">
        <w:rPr>
          <w:sz w:val="20"/>
          <w:szCs w:val="20"/>
        </w:rPr>
        <w:t>are</w:t>
      </w:r>
      <w:r w:rsidR="004D2289">
        <w:rPr>
          <w:sz w:val="20"/>
          <w:szCs w:val="20"/>
        </w:rPr>
        <w:t xml:space="preserve"> </w:t>
      </w:r>
      <w:r w:rsidR="00DB449D" w:rsidRPr="00F7263B">
        <w:rPr>
          <w:sz w:val="20"/>
          <w:szCs w:val="20"/>
        </w:rPr>
        <w:t>presented</w:t>
      </w:r>
      <w:r w:rsidR="00764B28" w:rsidRPr="00F7263B">
        <w:rPr>
          <w:sz w:val="20"/>
          <w:szCs w:val="20"/>
        </w:rPr>
        <w:t xml:space="preserve"> in </w:t>
      </w:r>
      <w:r w:rsidR="00DB449D" w:rsidRPr="00F7263B">
        <w:rPr>
          <w:sz w:val="20"/>
          <w:szCs w:val="20"/>
        </w:rPr>
        <w:t>a</w:t>
      </w:r>
      <w:r w:rsidR="00764B28" w:rsidRPr="00F7263B">
        <w:rPr>
          <w:sz w:val="20"/>
          <w:szCs w:val="20"/>
        </w:rPr>
        <w:t>nnex 1.</w:t>
      </w:r>
    </w:p>
    <w:p w:rsidR="00B176C4" w:rsidRPr="00F7263B" w:rsidRDefault="00B176C4" w:rsidP="00556F1B">
      <w:pPr>
        <w:pStyle w:val="NoSpacing"/>
        <w:jc w:val="both"/>
        <w:rPr>
          <w:rFonts w:ascii="Times New Roman" w:hAnsi="Times New Roman" w:cs="Times New Roman"/>
          <w:sz w:val="20"/>
          <w:szCs w:val="20"/>
        </w:rPr>
      </w:pPr>
    </w:p>
    <w:p w:rsidR="001F10A3" w:rsidRPr="00F7263B" w:rsidRDefault="001D2940" w:rsidP="00556F1B">
      <w:pPr>
        <w:pStyle w:val="Heading1"/>
        <w:jc w:val="both"/>
        <w:rPr>
          <w:sz w:val="20"/>
          <w:szCs w:val="20"/>
        </w:rPr>
      </w:pPr>
      <w:bookmarkStart w:id="15" w:name="_Toc380167574"/>
      <w:r w:rsidRPr="00F7263B">
        <w:rPr>
          <w:sz w:val="20"/>
          <w:szCs w:val="20"/>
        </w:rPr>
        <w:t>PROGRAM IMPLEMENTATION</w:t>
      </w:r>
      <w:bookmarkEnd w:id="15"/>
    </w:p>
    <w:p w:rsidR="00987E15" w:rsidRPr="00F7263B" w:rsidRDefault="00987E15" w:rsidP="00556F1B">
      <w:pPr>
        <w:pStyle w:val="NoSpacing"/>
        <w:ind w:left="360"/>
        <w:jc w:val="both"/>
        <w:rPr>
          <w:rFonts w:ascii="Times New Roman" w:hAnsi="Times New Roman" w:cs="Times New Roman"/>
          <w:sz w:val="20"/>
          <w:szCs w:val="20"/>
        </w:rPr>
      </w:pPr>
    </w:p>
    <w:p w:rsidR="00D51A17" w:rsidRPr="00F7263B" w:rsidRDefault="00CF623B" w:rsidP="00556F1B">
      <w:pPr>
        <w:pStyle w:val="Heading2"/>
        <w:jc w:val="both"/>
        <w:rPr>
          <w:sz w:val="20"/>
          <w:szCs w:val="20"/>
        </w:rPr>
      </w:pPr>
      <w:bookmarkStart w:id="16" w:name="_Toc380167575"/>
      <w:r w:rsidRPr="00F7263B">
        <w:rPr>
          <w:sz w:val="20"/>
          <w:szCs w:val="20"/>
        </w:rPr>
        <w:t>I</w:t>
      </w:r>
      <w:r w:rsidR="001D2940" w:rsidRPr="00F7263B">
        <w:rPr>
          <w:sz w:val="20"/>
          <w:szCs w:val="20"/>
        </w:rPr>
        <w:t>nstitutional and Implementation Arrangements</w:t>
      </w:r>
      <w:bookmarkEnd w:id="16"/>
    </w:p>
    <w:p w:rsidR="00282B94" w:rsidRPr="00F7263B" w:rsidRDefault="00282B94" w:rsidP="00556F1B">
      <w:pPr>
        <w:pStyle w:val="NoSpacing"/>
        <w:ind w:left="360"/>
        <w:jc w:val="both"/>
        <w:rPr>
          <w:rFonts w:ascii="Times New Roman" w:hAnsi="Times New Roman" w:cs="Times New Roman"/>
          <w:sz w:val="20"/>
          <w:szCs w:val="20"/>
        </w:rPr>
      </w:pPr>
    </w:p>
    <w:p w:rsidR="00722897" w:rsidRPr="00F7263B" w:rsidRDefault="00722897"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Implementation responsibilities by level of government</w:t>
      </w:r>
      <w:r w:rsidR="009313FC" w:rsidRPr="00F7263B">
        <w:rPr>
          <w:rFonts w:cs="Times New Roman"/>
          <w:sz w:val="20"/>
          <w:szCs w:val="20"/>
        </w:rPr>
        <w:t xml:space="preserve">.  </w:t>
      </w:r>
      <w:r w:rsidRPr="00F7263B">
        <w:rPr>
          <w:rFonts w:cs="Times New Roman"/>
          <w:sz w:val="20"/>
          <w:szCs w:val="20"/>
        </w:rPr>
        <w:t xml:space="preserve">The institutional arrangements of the ULGDP II are based on the experiences from ULGDP, with </w:t>
      </w:r>
      <w:r w:rsidR="001D2366" w:rsidRPr="00F7263B">
        <w:rPr>
          <w:rFonts w:cs="Times New Roman"/>
          <w:sz w:val="20"/>
          <w:szCs w:val="20"/>
        </w:rPr>
        <w:t xml:space="preserve">a </w:t>
      </w:r>
      <w:r w:rsidRPr="00F7263B">
        <w:rPr>
          <w:rFonts w:cs="Times New Roman"/>
          <w:sz w:val="20"/>
          <w:szCs w:val="20"/>
        </w:rPr>
        <w:t>clear division of responsibilities between levels of government, as per the government structure and consistent with existing legal provisions, regulations, and guidelines</w:t>
      </w:r>
      <w:r w:rsidR="009313FC" w:rsidRPr="00F7263B">
        <w:rPr>
          <w:rFonts w:cs="Times New Roman"/>
          <w:sz w:val="20"/>
          <w:szCs w:val="20"/>
        </w:rPr>
        <w:t xml:space="preserve">.  </w:t>
      </w:r>
      <w:r w:rsidRPr="00F7263B">
        <w:rPr>
          <w:rFonts w:cs="Times New Roman"/>
          <w:sz w:val="20"/>
          <w:szCs w:val="20"/>
        </w:rPr>
        <w:t xml:space="preserve">The roles and responsibilities of </w:t>
      </w:r>
      <w:r w:rsidR="00E83182" w:rsidRPr="00F7263B">
        <w:rPr>
          <w:rFonts w:cs="Times New Roman"/>
          <w:sz w:val="20"/>
          <w:szCs w:val="20"/>
        </w:rPr>
        <w:t xml:space="preserve">the relevant entities </w:t>
      </w:r>
      <w:r w:rsidRPr="00F7263B">
        <w:rPr>
          <w:rFonts w:cs="Times New Roman"/>
          <w:sz w:val="20"/>
          <w:szCs w:val="20"/>
        </w:rPr>
        <w:t xml:space="preserve">are </w:t>
      </w:r>
      <w:r w:rsidR="00A04D3B" w:rsidRPr="00F7263B">
        <w:rPr>
          <w:rFonts w:cs="Times New Roman"/>
          <w:sz w:val="20"/>
          <w:szCs w:val="20"/>
        </w:rPr>
        <w:t>summarized</w:t>
      </w:r>
      <w:r w:rsidRPr="00F7263B">
        <w:rPr>
          <w:rFonts w:cs="Times New Roman"/>
          <w:sz w:val="20"/>
          <w:szCs w:val="20"/>
        </w:rPr>
        <w:t xml:space="preserve"> below</w:t>
      </w:r>
      <w:r w:rsidR="009313FC" w:rsidRPr="00F7263B">
        <w:rPr>
          <w:rFonts w:cs="Times New Roman"/>
          <w:sz w:val="20"/>
          <w:szCs w:val="20"/>
        </w:rPr>
        <w:t xml:space="preserve">.  </w:t>
      </w:r>
      <w:r w:rsidR="001D2366" w:rsidRPr="00F7263B">
        <w:rPr>
          <w:rFonts w:cs="Times New Roman"/>
          <w:sz w:val="20"/>
          <w:szCs w:val="20"/>
        </w:rPr>
        <w:t>D</w:t>
      </w:r>
      <w:r w:rsidR="00A04D3B" w:rsidRPr="00F7263B">
        <w:rPr>
          <w:rFonts w:cs="Times New Roman"/>
          <w:sz w:val="20"/>
          <w:szCs w:val="20"/>
        </w:rPr>
        <w:t>etail</w:t>
      </w:r>
      <w:r w:rsidR="001D2366" w:rsidRPr="00F7263B">
        <w:rPr>
          <w:rFonts w:cs="Times New Roman"/>
          <w:sz w:val="20"/>
          <w:szCs w:val="20"/>
        </w:rPr>
        <w:t>s are included in a</w:t>
      </w:r>
      <w:r w:rsidR="00A04D3B" w:rsidRPr="00F7263B">
        <w:rPr>
          <w:rFonts w:cs="Times New Roman"/>
          <w:sz w:val="20"/>
          <w:szCs w:val="20"/>
        </w:rPr>
        <w:t xml:space="preserve">nnex 1. </w:t>
      </w:r>
    </w:p>
    <w:p w:rsidR="00722897" w:rsidRPr="00F7263B" w:rsidRDefault="00722897" w:rsidP="00556F1B">
      <w:pPr>
        <w:pStyle w:val="ListParagraph"/>
        <w:autoSpaceDE w:val="0"/>
        <w:autoSpaceDN w:val="0"/>
        <w:adjustRightInd w:val="0"/>
        <w:ind w:left="0"/>
        <w:jc w:val="both"/>
        <w:rPr>
          <w:rFonts w:cs="Times New Roman"/>
          <w:sz w:val="20"/>
          <w:szCs w:val="20"/>
        </w:rPr>
      </w:pPr>
    </w:p>
    <w:p w:rsidR="00722897" w:rsidRPr="00F7263B" w:rsidRDefault="00722897" w:rsidP="00556F1B">
      <w:pPr>
        <w:pStyle w:val="ListParagraph"/>
        <w:tabs>
          <w:tab w:val="right" w:pos="90"/>
          <w:tab w:val="right" w:pos="270"/>
        </w:tabs>
        <w:ind w:left="0"/>
        <w:jc w:val="both"/>
        <w:rPr>
          <w:rFonts w:cs="Times New Roman"/>
          <w:sz w:val="20"/>
          <w:szCs w:val="20"/>
        </w:rPr>
      </w:pPr>
      <w:r w:rsidRPr="00F7263B">
        <w:rPr>
          <w:rFonts w:cs="Times New Roman"/>
          <w:i/>
          <w:sz w:val="20"/>
          <w:szCs w:val="20"/>
        </w:rPr>
        <w:t>Federal level</w:t>
      </w:r>
    </w:p>
    <w:p w:rsidR="00722897" w:rsidRPr="00F7263B" w:rsidRDefault="00722897" w:rsidP="00556F1B">
      <w:pPr>
        <w:pStyle w:val="ListParagraph"/>
        <w:tabs>
          <w:tab w:val="right" w:pos="90"/>
          <w:tab w:val="right" w:pos="270"/>
        </w:tabs>
        <w:ind w:left="0"/>
        <w:jc w:val="both"/>
        <w:rPr>
          <w:rFonts w:cs="Times New Roman"/>
          <w:i/>
          <w:sz w:val="20"/>
          <w:szCs w:val="20"/>
        </w:rPr>
      </w:pPr>
    </w:p>
    <w:p w:rsidR="00E800C3" w:rsidRPr="00F7263B" w:rsidRDefault="00E800C3" w:rsidP="00D92D63">
      <w:pPr>
        <w:pStyle w:val="ListParagraph"/>
        <w:numPr>
          <w:ilvl w:val="0"/>
          <w:numId w:val="9"/>
        </w:numPr>
        <w:autoSpaceDE w:val="0"/>
        <w:autoSpaceDN w:val="0"/>
        <w:adjustRightInd w:val="0"/>
        <w:spacing w:after="240"/>
        <w:ind w:left="0" w:firstLine="0"/>
        <w:jc w:val="both"/>
        <w:rPr>
          <w:rFonts w:cs="Times New Roman"/>
          <w:sz w:val="20"/>
          <w:szCs w:val="20"/>
        </w:rPr>
      </w:pPr>
      <w:r w:rsidRPr="00F7263B">
        <w:rPr>
          <w:rFonts w:cs="Times New Roman"/>
          <w:sz w:val="20"/>
          <w:szCs w:val="20"/>
        </w:rPr>
        <w:t>At the federal level:</w:t>
      </w:r>
    </w:p>
    <w:p w:rsidR="00E800C3" w:rsidRPr="00F7263B" w:rsidRDefault="00E800C3" w:rsidP="00556F1B">
      <w:pPr>
        <w:pStyle w:val="ListParagraph"/>
        <w:autoSpaceDE w:val="0"/>
        <w:autoSpaceDN w:val="0"/>
        <w:adjustRightInd w:val="0"/>
        <w:spacing w:after="240"/>
        <w:ind w:left="0"/>
        <w:jc w:val="both"/>
        <w:rPr>
          <w:rFonts w:cs="Times New Roman"/>
          <w:sz w:val="20"/>
          <w:szCs w:val="20"/>
        </w:rPr>
      </w:pPr>
    </w:p>
    <w:p w:rsidR="00E800C3" w:rsidRPr="00F7263B" w:rsidRDefault="00821460" w:rsidP="000D6D33">
      <w:pPr>
        <w:pStyle w:val="ListParagraph"/>
        <w:numPr>
          <w:ilvl w:val="1"/>
          <w:numId w:val="9"/>
        </w:numPr>
        <w:ind w:hanging="540"/>
        <w:jc w:val="both"/>
        <w:rPr>
          <w:rFonts w:cs="Times New Roman"/>
          <w:sz w:val="20"/>
          <w:szCs w:val="20"/>
        </w:rPr>
      </w:pPr>
      <w:r w:rsidRPr="00F7263B">
        <w:rPr>
          <w:rFonts w:cs="Times New Roman"/>
          <w:sz w:val="20"/>
          <w:szCs w:val="20"/>
        </w:rPr>
        <w:t>MUDHCo</w:t>
      </w:r>
      <w:r w:rsidR="00E800C3" w:rsidRPr="00F7263B">
        <w:rPr>
          <w:rFonts w:cs="Times New Roman"/>
          <w:sz w:val="20"/>
          <w:szCs w:val="20"/>
        </w:rPr>
        <w:t xml:space="preserve"> will have the following main tasks:</w:t>
      </w:r>
    </w:p>
    <w:p w:rsidR="006E7278" w:rsidRPr="00F7263B" w:rsidRDefault="00E800C3"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Overall responsibility for day-to-day coordination of the Program</w:t>
      </w:r>
      <w:r w:rsidR="000D6D33" w:rsidRPr="00F7263B">
        <w:rPr>
          <w:rFonts w:cs="Times New Roman"/>
          <w:sz w:val="20"/>
          <w:szCs w:val="20"/>
        </w:rPr>
        <w:t>.</w:t>
      </w:r>
    </w:p>
    <w:p w:rsidR="006E7278" w:rsidRPr="00F7263B" w:rsidRDefault="00E800C3"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Capacity building, including direct support to regional and urban local governments</w:t>
      </w:r>
      <w:r w:rsidR="009540A7" w:rsidRPr="00F7263B">
        <w:rPr>
          <w:rFonts w:cs="Times New Roman"/>
          <w:sz w:val="20"/>
          <w:szCs w:val="20"/>
        </w:rPr>
        <w:t xml:space="preserve">, </w:t>
      </w:r>
      <w:r w:rsidR="00347A1E" w:rsidRPr="00F7263B">
        <w:rPr>
          <w:rFonts w:cs="Times New Roman"/>
          <w:sz w:val="20"/>
          <w:szCs w:val="20"/>
        </w:rPr>
        <w:t xml:space="preserve">and </w:t>
      </w:r>
      <w:r w:rsidR="009540A7" w:rsidRPr="00F7263B">
        <w:rPr>
          <w:rFonts w:cs="Times New Roman"/>
          <w:sz w:val="20"/>
          <w:szCs w:val="20"/>
        </w:rPr>
        <w:t>issu</w:t>
      </w:r>
      <w:r w:rsidR="00347A1E" w:rsidRPr="00F7263B">
        <w:rPr>
          <w:rFonts w:cs="Times New Roman"/>
          <w:sz w:val="20"/>
          <w:szCs w:val="20"/>
        </w:rPr>
        <w:t xml:space="preserve">ance </w:t>
      </w:r>
      <w:r w:rsidR="009540A7" w:rsidRPr="00F7263B">
        <w:rPr>
          <w:rFonts w:cs="Times New Roman"/>
          <w:sz w:val="20"/>
          <w:szCs w:val="20"/>
        </w:rPr>
        <w:t>of guidelines and stan</w:t>
      </w:r>
      <w:r w:rsidR="00523EE0" w:rsidRPr="00F7263B">
        <w:rPr>
          <w:rFonts w:cs="Times New Roman"/>
          <w:sz w:val="20"/>
          <w:szCs w:val="20"/>
        </w:rPr>
        <w:t xml:space="preserve">dard regulations </w:t>
      </w:r>
      <w:r w:rsidR="00347A1E" w:rsidRPr="00F7263B">
        <w:rPr>
          <w:rFonts w:cs="Times New Roman"/>
          <w:sz w:val="20"/>
          <w:szCs w:val="20"/>
        </w:rPr>
        <w:t xml:space="preserve">for matters such as </w:t>
      </w:r>
      <w:r w:rsidR="00523EE0" w:rsidRPr="00F7263B">
        <w:rPr>
          <w:rFonts w:cs="Times New Roman"/>
          <w:sz w:val="20"/>
          <w:szCs w:val="20"/>
        </w:rPr>
        <w:t>municipal revenue mobilization</w:t>
      </w:r>
      <w:r w:rsidR="009540A7" w:rsidRPr="00F7263B">
        <w:rPr>
          <w:rFonts w:cs="Times New Roman"/>
          <w:sz w:val="20"/>
          <w:szCs w:val="20"/>
        </w:rPr>
        <w:t>, assets management</w:t>
      </w:r>
      <w:r w:rsidR="00920316" w:rsidRPr="00F7263B">
        <w:rPr>
          <w:rFonts w:cs="Times New Roman"/>
          <w:sz w:val="20"/>
          <w:szCs w:val="20"/>
        </w:rPr>
        <w:t xml:space="preserve">, </w:t>
      </w:r>
      <w:r w:rsidR="00523EE0" w:rsidRPr="00F7263B">
        <w:rPr>
          <w:rFonts w:cs="Times New Roman"/>
          <w:sz w:val="20"/>
          <w:szCs w:val="20"/>
        </w:rPr>
        <w:t xml:space="preserve">service delivery standards, </w:t>
      </w:r>
      <w:r w:rsidR="00347A1E" w:rsidRPr="00F7263B">
        <w:rPr>
          <w:rFonts w:cs="Times New Roman"/>
          <w:sz w:val="20"/>
          <w:szCs w:val="20"/>
        </w:rPr>
        <w:t>and the like</w:t>
      </w:r>
      <w:r w:rsidR="00523EE0" w:rsidRPr="00F7263B">
        <w:rPr>
          <w:rFonts w:cs="Times New Roman"/>
          <w:sz w:val="20"/>
          <w:szCs w:val="20"/>
        </w:rPr>
        <w:t xml:space="preserve">. </w:t>
      </w:r>
    </w:p>
    <w:p w:rsidR="006E7278" w:rsidRPr="00F7263B" w:rsidRDefault="00E800C3"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 xml:space="preserve">Program management, including the procurement and management of the </w:t>
      </w:r>
      <w:r w:rsidR="000D6D33" w:rsidRPr="00F7263B">
        <w:rPr>
          <w:rFonts w:cs="Times New Roman"/>
          <w:sz w:val="20"/>
          <w:szCs w:val="20"/>
        </w:rPr>
        <w:t>APAs</w:t>
      </w:r>
      <w:r w:rsidRPr="00F7263B">
        <w:rPr>
          <w:rFonts w:cs="Times New Roman"/>
          <w:sz w:val="20"/>
          <w:szCs w:val="20"/>
        </w:rPr>
        <w:t xml:space="preserve"> and the value for money audits</w:t>
      </w:r>
      <w:r w:rsidR="000D6D33" w:rsidRPr="00F7263B">
        <w:rPr>
          <w:rFonts w:cs="Times New Roman"/>
          <w:sz w:val="20"/>
          <w:szCs w:val="20"/>
        </w:rPr>
        <w:t>.</w:t>
      </w:r>
    </w:p>
    <w:p w:rsidR="003F48C8" w:rsidRPr="00F7263B" w:rsidRDefault="00347A1E"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Overall m</w:t>
      </w:r>
      <w:r w:rsidR="003F48C8" w:rsidRPr="00F7263B">
        <w:rPr>
          <w:rFonts w:cs="Times New Roman"/>
          <w:sz w:val="20"/>
          <w:szCs w:val="20"/>
        </w:rPr>
        <w:t>onitoring and evaluation</w:t>
      </w:r>
      <w:r w:rsidRPr="00F7263B">
        <w:rPr>
          <w:rFonts w:cs="Times New Roman"/>
          <w:sz w:val="20"/>
          <w:szCs w:val="20"/>
        </w:rPr>
        <w:t>.</w:t>
      </w:r>
    </w:p>
    <w:p w:rsidR="006E7278" w:rsidRPr="00F7263B" w:rsidRDefault="00E800C3"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 xml:space="preserve">Program reporting, including the annual </w:t>
      </w:r>
      <w:r w:rsidR="00347A1E" w:rsidRPr="00F7263B">
        <w:rPr>
          <w:rFonts w:cs="Times New Roman"/>
          <w:sz w:val="20"/>
          <w:szCs w:val="20"/>
        </w:rPr>
        <w:t xml:space="preserve">midyear report and </w:t>
      </w:r>
      <w:r w:rsidRPr="00F7263B">
        <w:rPr>
          <w:rFonts w:cs="Times New Roman"/>
          <w:sz w:val="20"/>
          <w:szCs w:val="20"/>
        </w:rPr>
        <w:t>Program report.</w:t>
      </w:r>
    </w:p>
    <w:p w:rsidR="006E7278" w:rsidRPr="00F7263B" w:rsidRDefault="00E800C3"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Accounting for the ULGDP II funds to</w:t>
      </w:r>
      <w:r w:rsidR="00126FE8" w:rsidRPr="00F7263B">
        <w:rPr>
          <w:rFonts w:cs="Times New Roman"/>
          <w:sz w:val="20"/>
          <w:szCs w:val="20"/>
        </w:rPr>
        <w:t xml:space="preserve"> </w:t>
      </w:r>
      <w:r w:rsidR="000A5D72" w:rsidRPr="00F7263B">
        <w:rPr>
          <w:sz w:val="20"/>
          <w:szCs w:val="20"/>
        </w:rPr>
        <w:t>Ministry of Finance and Economic Development</w:t>
      </w:r>
      <w:r w:rsidR="00126FE8" w:rsidRPr="00F7263B">
        <w:rPr>
          <w:sz w:val="20"/>
          <w:szCs w:val="20"/>
        </w:rPr>
        <w:t xml:space="preserve"> </w:t>
      </w:r>
      <w:r w:rsidR="000A5D72" w:rsidRPr="00F7263B">
        <w:rPr>
          <w:rFonts w:cs="Times New Roman"/>
          <w:sz w:val="20"/>
          <w:szCs w:val="20"/>
        </w:rPr>
        <w:t>(</w:t>
      </w:r>
      <w:r w:rsidR="001E6CEA" w:rsidRPr="00F7263B">
        <w:rPr>
          <w:rFonts w:cs="Times New Roman"/>
          <w:sz w:val="20"/>
          <w:szCs w:val="20"/>
        </w:rPr>
        <w:t>MoFED</w:t>
      </w:r>
      <w:r w:rsidR="000A5D72" w:rsidRPr="00F7263B">
        <w:rPr>
          <w:rFonts w:cs="Times New Roman"/>
          <w:sz w:val="20"/>
          <w:szCs w:val="20"/>
        </w:rPr>
        <w:t>)</w:t>
      </w:r>
      <w:r w:rsidRPr="00F7263B">
        <w:rPr>
          <w:rFonts w:cs="Times New Roman"/>
          <w:sz w:val="20"/>
          <w:szCs w:val="20"/>
        </w:rPr>
        <w:t>.</w:t>
      </w:r>
    </w:p>
    <w:p w:rsidR="00E800C3" w:rsidRPr="00F7263B" w:rsidRDefault="00E800C3" w:rsidP="002A76C1">
      <w:pPr>
        <w:pStyle w:val="ListParagraph"/>
        <w:ind w:hanging="360"/>
        <w:jc w:val="both"/>
        <w:rPr>
          <w:rFonts w:cs="Times New Roman"/>
          <w:sz w:val="20"/>
          <w:szCs w:val="20"/>
        </w:rPr>
      </w:pPr>
    </w:p>
    <w:p w:rsidR="00722897" w:rsidRPr="00F7263B" w:rsidRDefault="00EB5708" w:rsidP="000D6D33">
      <w:pPr>
        <w:pStyle w:val="ListParagraph"/>
        <w:numPr>
          <w:ilvl w:val="1"/>
          <w:numId w:val="9"/>
        </w:numPr>
        <w:ind w:hanging="540"/>
        <w:jc w:val="both"/>
        <w:rPr>
          <w:rFonts w:cs="Times New Roman"/>
          <w:sz w:val="20"/>
          <w:szCs w:val="20"/>
        </w:rPr>
      </w:pPr>
      <w:r w:rsidRPr="00F7263B">
        <w:rPr>
          <w:sz w:val="20"/>
          <w:szCs w:val="20"/>
        </w:rPr>
        <w:t>MoFED will be responsible for ensuring that Program resources are budgeted for and disbursed within the expenditure framework</w:t>
      </w:r>
      <w:r w:rsidR="00347A1E" w:rsidRPr="00F7263B">
        <w:rPr>
          <w:sz w:val="20"/>
          <w:szCs w:val="20"/>
        </w:rPr>
        <w:t>.  MoFED will also be in charge of</w:t>
      </w:r>
      <w:r w:rsidR="00126FE8" w:rsidRPr="00F7263B">
        <w:rPr>
          <w:sz w:val="20"/>
          <w:szCs w:val="20"/>
        </w:rPr>
        <w:t xml:space="preserve"> </w:t>
      </w:r>
      <w:r w:rsidR="00722897" w:rsidRPr="00F7263B">
        <w:rPr>
          <w:rFonts w:cs="Times New Roman"/>
          <w:sz w:val="20"/>
          <w:szCs w:val="20"/>
        </w:rPr>
        <w:t>financial management, including reporting</w:t>
      </w:r>
      <w:r w:rsidR="00340C8D" w:rsidRPr="00F7263B">
        <w:rPr>
          <w:rFonts w:cs="Times New Roman"/>
          <w:sz w:val="20"/>
          <w:szCs w:val="20"/>
        </w:rPr>
        <w:t>, program auditing</w:t>
      </w:r>
      <w:r w:rsidR="00347A1E" w:rsidRPr="00F7263B">
        <w:rPr>
          <w:rFonts w:cs="Times New Roman"/>
          <w:sz w:val="20"/>
          <w:szCs w:val="20"/>
        </w:rPr>
        <w:t>,</w:t>
      </w:r>
      <w:r w:rsidR="00722897" w:rsidRPr="00F7263B">
        <w:rPr>
          <w:rFonts w:cs="Times New Roman"/>
          <w:sz w:val="20"/>
          <w:szCs w:val="20"/>
        </w:rPr>
        <w:t xml:space="preserve"> and compilation of federal fisca</w:t>
      </w:r>
      <w:r w:rsidRPr="00F7263B">
        <w:rPr>
          <w:rFonts w:cs="Times New Roman"/>
          <w:sz w:val="20"/>
          <w:szCs w:val="20"/>
        </w:rPr>
        <w:t>l reports.</w:t>
      </w:r>
    </w:p>
    <w:p w:rsidR="00EB5708" w:rsidRPr="00F7263B" w:rsidRDefault="00EB5708" w:rsidP="002A76C1">
      <w:pPr>
        <w:pStyle w:val="ListParagraph"/>
        <w:spacing w:after="200"/>
        <w:ind w:hanging="360"/>
        <w:jc w:val="both"/>
        <w:rPr>
          <w:rFonts w:cs="Times New Roman"/>
          <w:sz w:val="20"/>
          <w:szCs w:val="20"/>
        </w:rPr>
      </w:pPr>
    </w:p>
    <w:p w:rsidR="00A959B7" w:rsidRPr="00F7263B" w:rsidRDefault="00A04D3B" w:rsidP="000D6D33">
      <w:pPr>
        <w:pStyle w:val="ListParagraph"/>
        <w:numPr>
          <w:ilvl w:val="1"/>
          <w:numId w:val="9"/>
        </w:numPr>
        <w:ind w:hanging="540"/>
        <w:jc w:val="both"/>
        <w:rPr>
          <w:rFonts w:cs="Times New Roman"/>
          <w:sz w:val="20"/>
          <w:szCs w:val="20"/>
        </w:rPr>
      </w:pPr>
      <w:r w:rsidRPr="00F7263B">
        <w:rPr>
          <w:rFonts w:cs="Times New Roman"/>
          <w:sz w:val="20"/>
          <w:szCs w:val="20"/>
        </w:rPr>
        <w:t>Several other federal entities will have guiding and supporting roles in ULGDP II</w:t>
      </w:r>
      <w:r w:rsidR="00347A1E" w:rsidRPr="00F7263B">
        <w:rPr>
          <w:rFonts w:cs="Times New Roman"/>
          <w:sz w:val="20"/>
          <w:szCs w:val="20"/>
        </w:rPr>
        <w:t xml:space="preserve">.  These include </w:t>
      </w:r>
      <w:r w:rsidRPr="00F7263B">
        <w:rPr>
          <w:rFonts w:cs="Times New Roman"/>
          <w:sz w:val="20"/>
          <w:szCs w:val="20"/>
        </w:rPr>
        <w:t>t</w:t>
      </w:r>
      <w:r w:rsidR="00722897" w:rsidRPr="00F7263B">
        <w:rPr>
          <w:rFonts w:cs="Times New Roman"/>
          <w:sz w:val="20"/>
          <w:szCs w:val="20"/>
        </w:rPr>
        <w:t>he Office of the Federal Auditor General (OFAG)</w:t>
      </w:r>
      <w:r w:rsidR="00347A1E" w:rsidRPr="00F7263B">
        <w:rPr>
          <w:rFonts w:cs="Times New Roman"/>
          <w:sz w:val="20"/>
          <w:szCs w:val="20"/>
        </w:rPr>
        <w:t>,</w:t>
      </w:r>
      <w:r w:rsidRPr="00F7263B">
        <w:rPr>
          <w:rFonts w:cs="Times New Roman"/>
          <w:sz w:val="20"/>
          <w:szCs w:val="20"/>
        </w:rPr>
        <w:t xml:space="preserve"> especially for the annual </w:t>
      </w:r>
      <w:r w:rsidR="00340C8D" w:rsidRPr="00F7263B">
        <w:rPr>
          <w:rFonts w:cs="Times New Roman"/>
          <w:sz w:val="20"/>
          <w:szCs w:val="20"/>
        </w:rPr>
        <w:t xml:space="preserve">program </w:t>
      </w:r>
      <w:r w:rsidRPr="00F7263B">
        <w:rPr>
          <w:rFonts w:cs="Times New Roman"/>
          <w:sz w:val="20"/>
          <w:szCs w:val="20"/>
        </w:rPr>
        <w:t>audits</w:t>
      </w:r>
      <w:r w:rsidR="00347A1E" w:rsidRPr="00F7263B">
        <w:rPr>
          <w:rFonts w:cs="Times New Roman"/>
          <w:sz w:val="20"/>
          <w:szCs w:val="20"/>
        </w:rPr>
        <w:t>;</w:t>
      </w:r>
      <w:r w:rsidRPr="00F7263B">
        <w:rPr>
          <w:rFonts w:cs="Times New Roman"/>
          <w:sz w:val="20"/>
          <w:szCs w:val="20"/>
        </w:rPr>
        <w:t xml:space="preserve"> t</w:t>
      </w:r>
      <w:r w:rsidR="00A959B7" w:rsidRPr="00F7263B">
        <w:rPr>
          <w:rFonts w:cs="Times New Roman"/>
          <w:sz w:val="20"/>
          <w:szCs w:val="20"/>
        </w:rPr>
        <w:t>he Federal Public Procurement and</w:t>
      </w:r>
      <w:r w:rsidRPr="00F7263B">
        <w:rPr>
          <w:rFonts w:cs="Times New Roman"/>
          <w:sz w:val="20"/>
          <w:szCs w:val="20"/>
        </w:rPr>
        <w:t xml:space="preserve"> Asset Management Agency on procurement procedures</w:t>
      </w:r>
      <w:r w:rsidR="00347A1E" w:rsidRPr="00F7263B">
        <w:rPr>
          <w:rFonts w:cs="Times New Roman"/>
          <w:sz w:val="20"/>
          <w:szCs w:val="20"/>
        </w:rPr>
        <w:t>;</w:t>
      </w:r>
      <w:r w:rsidRPr="00F7263B">
        <w:rPr>
          <w:rFonts w:cs="Times New Roman"/>
          <w:sz w:val="20"/>
          <w:szCs w:val="20"/>
        </w:rPr>
        <w:t xml:space="preserve"> and t</w:t>
      </w:r>
      <w:r w:rsidR="00A959B7" w:rsidRPr="00F7263B">
        <w:rPr>
          <w:rFonts w:cs="Times New Roman"/>
          <w:sz w:val="20"/>
          <w:szCs w:val="20"/>
        </w:rPr>
        <w:t xml:space="preserve">he </w:t>
      </w:r>
      <w:r w:rsidR="00A959B7" w:rsidRPr="00F7263B">
        <w:rPr>
          <w:sz w:val="20"/>
          <w:szCs w:val="20"/>
        </w:rPr>
        <w:t>Federal Ethics and Anti-Corruption Commission (FEAC)</w:t>
      </w:r>
      <w:r w:rsidRPr="00F7263B">
        <w:rPr>
          <w:sz w:val="20"/>
          <w:szCs w:val="20"/>
        </w:rPr>
        <w:t xml:space="preserve"> on fraud and corruption monitoring and reporting</w:t>
      </w:r>
      <w:r w:rsidR="00840FF5" w:rsidRPr="00F7263B">
        <w:rPr>
          <w:sz w:val="20"/>
          <w:szCs w:val="20"/>
        </w:rPr>
        <w:t>.</w:t>
      </w:r>
    </w:p>
    <w:p w:rsidR="00722897" w:rsidRPr="00F7263B" w:rsidRDefault="00722897" w:rsidP="00556F1B">
      <w:pPr>
        <w:pStyle w:val="ListParagraph"/>
        <w:tabs>
          <w:tab w:val="right" w:pos="90"/>
          <w:tab w:val="right" w:pos="270"/>
        </w:tabs>
        <w:ind w:left="0"/>
        <w:jc w:val="both"/>
        <w:rPr>
          <w:rFonts w:cs="Times New Roman"/>
          <w:sz w:val="20"/>
          <w:szCs w:val="20"/>
        </w:rPr>
      </w:pPr>
    </w:p>
    <w:p w:rsidR="005B2D4F" w:rsidRPr="00F7263B" w:rsidRDefault="005B2D4F" w:rsidP="00D92D63">
      <w:pPr>
        <w:pStyle w:val="ListParagraph"/>
        <w:numPr>
          <w:ilvl w:val="0"/>
          <w:numId w:val="9"/>
        </w:numPr>
        <w:autoSpaceDE w:val="0"/>
        <w:autoSpaceDN w:val="0"/>
        <w:adjustRightInd w:val="0"/>
        <w:spacing w:after="240"/>
        <w:ind w:left="0" w:firstLine="0"/>
        <w:jc w:val="both"/>
        <w:rPr>
          <w:rFonts w:cs="Times New Roman"/>
          <w:sz w:val="20"/>
          <w:szCs w:val="20"/>
        </w:rPr>
      </w:pPr>
      <w:r w:rsidRPr="00F7263B">
        <w:rPr>
          <w:sz w:val="20"/>
          <w:szCs w:val="20"/>
        </w:rPr>
        <w:t xml:space="preserve">As under the ULGDP, the </w:t>
      </w:r>
      <w:r w:rsidR="00962E1E" w:rsidRPr="00F7263B">
        <w:rPr>
          <w:sz w:val="20"/>
          <w:szCs w:val="20"/>
        </w:rPr>
        <w:t>U</w:t>
      </w:r>
      <w:r w:rsidR="00ED5613" w:rsidRPr="00F7263B">
        <w:rPr>
          <w:sz w:val="20"/>
          <w:szCs w:val="20"/>
        </w:rPr>
        <w:t xml:space="preserve">rban </w:t>
      </w:r>
      <w:r w:rsidR="00962E1E" w:rsidRPr="00F7263B">
        <w:rPr>
          <w:sz w:val="20"/>
          <w:szCs w:val="20"/>
        </w:rPr>
        <w:t>G</w:t>
      </w:r>
      <w:r w:rsidR="00ED5613" w:rsidRPr="00F7263B">
        <w:rPr>
          <w:sz w:val="20"/>
          <w:szCs w:val="20"/>
        </w:rPr>
        <w:t xml:space="preserve">overnance </w:t>
      </w:r>
      <w:r w:rsidR="00962E1E" w:rsidRPr="00F7263B">
        <w:rPr>
          <w:sz w:val="20"/>
          <w:szCs w:val="20"/>
        </w:rPr>
        <w:t>C</w:t>
      </w:r>
      <w:r w:rsidR="00ED5613" w:rsidRPr="00F7263B">
        <w:rPr>
          <w:sz w:val="20"/>
          <w:szCs w:val="20"/>
        </w:rPr>
        <w:t xml:space="preserve">apacity </w:t>
      </w:r>
      <w:r w:rsidR="00962E1E" w:rsidRPr="00F7263B">
        <w:rPr>
          <w:sz w:val="20"/>
          <w:szCs w:val="20"/>
        </w:rPr>
        <w:t>B</w:t>
      </w:r>
      <w:r w:rsidR="00ED5613" w:rsidRPr="00F7263B">
        <w:rPr>
          <w:sz w:val="20"/>
          <w:szCs w:val="20"/>
        </w:rPr>
        <w:t xml:space="preserve">uilding </w:t>
      </w:r>
      <w:r w:rsidR="00962E1E" w:rsidRPr="00F7263B">
        <w:rPr>
          <w:sz w:val="20"/>
          <w:szCs w:val="20"/>
        </w:rPr>
        <w:t>B</w:t>
      </w:r>
      <w:r w:rsidR="00ED5613" w:rsidRPr="00F7263B">
        <w:rPr>
          <w:sz w:val="20"/>
          <w:szCs w:val="20"/>
        </w:rPr>
        <w:t>ureau (UGCBB)</w:t>
      </w:r>
      <w:r w:rsidRPr="00F7263B">
        <w:rPr>
          <w:sz w:val="20"/>
          <w:szCs w:val="20"/>
        </w:rPr>
        <w:t xml:space="preserve"> at the </w:t>
      </w:r>
      <w:r w:rsidR="00821460" w:rsidRPr="00F7263B">
        <w:rPr>
          <w:sz w:val="20"/>
          <w:szCs w:val="20"/>
        </w:rPr>
        <w:t>MUDHCo</w:t>
      </w:r>
      <w:r w:rsidRPr="00F7263B">
        <w:rPr>
          <w:sz w:val="20"/>
          <w:szCs w:val="20"/>
        </w:rPr>
        <w:t xml:space="preserve"> will be responsible for daily coordination of the Program</w:t>
      </w:r>
      <w:r w:rsidR="009313FC" w:rsidRPr="00F7263B">
        <w:rPr>
          <w:sz w:val="20"/>
          <w:szCs w:val="20"/>
        </w:rPr>
        <w:t xml:space="preserve">.  </w:t>
      </w:r>
      <w:r w:rsidR="00A72D67" w:rsidRPr="00F7263B">
        <w:rPr>
          <w:rFonts w:cs="Times New Roman"/>
          <w:sz w:val="20"/>
          <w:szCs w:val="20"/>
        </w:rPr>
        <w:t xml:space="preserve">The significant geographic and technical scale up of the </w:t>
      </w:r>
      <w:r w:rsidR="00ED5613" w:rsidRPr="00F7263B">
        <w:rPr>
          <w:rFonts w:cs="Times New Roman"/>
          <w:sz w:val="20"/>
          <w:szCs w:val="20"/>
        </w:rPr>
        <w:t>Program</w:t>
      </w:r>
      <w:r w:rsidR="00A72D67" w:rsidRPr="00F7263B">
        <w:rPr>
          <w:rFonts w:cs="Times New Roman"/>
          <w:sz w:val="20"/>
          <w:szCs w:val="20"/>
        </w:rPr>
        <w:t xml:space="preserve"> under the proposed PforR, and the existing staffing gaps, if unaddressed, bring considerable risk to the achievement of the operation’s development objective</w:t>
      </w:r>
      <w:r w:rsidR="009313FC" w:rsidRPr="00F7263B">
        <w:rPr>
          <w:rFonts w:cs="Times New Roman"/>
          <w:sz w:val="20"/>
          <w:szCs w:val="20"/>
        </w:rPr>
        <w:t xml:space="preserve">.  </w:t>
      </w:r>
      <w:r w:rsidR="00A72D67" w:rsidRPr="00F7263B">
        <w:rPr>
          <w:rFonts w:cs="Times New Roman"/>
          <w:sz w:val="20"/>
          <w:szCs w:val="20"/>
        </w:rPr>
        <w:t>Therefore there is a serious need to fill the personnel gaps and further strengthen capacity of UGCBB</w:t>
      </w:r>
      <w:r w:rsidR="009313FC" w:rsidRPr="00F7263B">
        <w:rPr>
          <w:rFonts w:cs="Times New Roman"/>
          <w:sz w:val="20"/>
          <w:szCs w:val="20"/>
        </w:rPr>
        <w:t xml:space="preserve">.  </w:t>
      </w:r>
      <w:r w:rsidR="00A72D67" w:rsidRPr="00F7263B">
        <w:rPr>
          <w:rFonts w:cs="Times New Roman"/>
          <w:sz w:val="20"/>
          <w:szCs w:val="20"/>
        </w:rPr>
        <w:t>T</w:t>
      </w:r>
      <w:r w:rsidR="00A72D67" w:rsidRPr="00F7263B">
        <w:rPr>
          <w:sz w:val="20"/>
          <w:szCs w:val="20"/>
        </w:rPr>
        <w:t>he</w:t>
      </w:r>
      <w:r w:rsidR="00A959B7" w:rsidRPr="00F7263B">
        <w:rPr>
          <w:sz w:val="20"/>
          <w:szCs w:val="20"/>
        </w:rPr>
        <w:t xml:space="preserve"> current </w:t>
      </w:r>
      <w:r w:rsidR="00821460" w:rsidRPr="00F7263B">
        <w:rPr>
          <w:sz w:val="20"/>
          <w:szCs w:val="20"/>
        </w:rPr>
        <w:t>MUDHCo</w:t>
      </w:r>
      <w:r w:rsidR="00A959B7" w:rsidRPr="00F7263B">
        <w:rPr>
          <w:sz w:val="20"/>
          <w:szCs w:val="20"/>
        </w:rPr>
        <w:t xml:space="preserve"> multi-disciplinary team comprising 12 specialists </w:t>
      </w:r>
      <w:r w:rsidR="00A72D67" w:rsidRPr="00F7263B">
        <w:rPr>
          <w:sz w:val="20"/>
          <w:szCs w:val="20"/>
        </w:rPr>
        <w:t>should</w:t>
      </w:r>
      <w:r w:rsidR="00A959B7" w:rsidRPr="00F7263B">
        <w:rPr>
          <w:sz w:val="20"/>
          <w:szCs w:val="20"/>
        </w:rPr>
        <w:t xml:space="preserve"> be further strengthened to </w:t>
      </w:r>
      <w:r w:rsidR="00330A27" w:rsidRPr="00F7263B">
        <w:rPr>
          <w:sz w:val="20"/>
          <w:szCs w:val="20"/>
        </w:rPr>
        <w:t xml:space="preserve">include </w:t>
      </w:r>
      <w:r w:rsidR="00A72D67" w:rsidRPr="00F7263B">
        <w:rPr>
          <w:sz w:val="20"/>
          <w:szCs w:val="20"/>
        </w:rPr>
        <w:t xml:space="preserve">a minimum of </w:t>
      </w:r>
      <w:r w:rsidR="00A959B7" w:rsidRPr="00F7263B">
        <w:rPr>
          <w:sz w:val="20"/>
          <w:szCs w:val="20"/>
        </w:rPr>
        <w:t>34 specialists</w:t>
      </w:r>
      <w:r w:rsidR="00A72D67" w:rsidRPr="00F7263B">
        <w:rPr>
          <w:sz w:val="20"/>
          <w:szCs w:val="20"/>
        </w:rPr>
        <w:t xml:space="preserve"> and one long-term international advisor</w:t>
      </w:r>
      <w:r w:rsidR="009313FC" w:rsidRPr="00F7263B">
        <w:rPr>
          <w:sz w:val="20"/>
          <w:szCs w:val="20"/>
        </w:rPr>
        <w:t xml:space="preserve">.  </w:t>
      </w:r>
      <w:r w:rsidR="00A959B7" w:rsidRPr="00F7263B">
        <w:rPr>
          <w:sz w:val="20"/>
          <w:szCs w:val="20"/>
        </w:rPr>
        <w:t xml:space="preserve">The strengthened team will boost the capacity within the </w:t>
      </w:r>
      <w:r w:rsidR="00821460" w:rsidRPr="00F7263B">
        <w:rPr>
          <w:sz w:val="20"/>
          <w:szCs w:val="20"/>
        </w:rPr>
        <w:t>MUDHCo</w:t>
      </w:r>
      <w:r w:rsidR="00A959B7" w:rsidRPr="00F7263B">
        <w:rPr>
          <w:sz w:val="20"/>
          <w:szCs w:val="20"/>
        </w:rPr>
        <w:t xml:space="preserve"> to </w:t>
      </w:r>
      <w:r w:rsidR="0050747B" w:rsidRPr="00F7263B">
        <w:rPr>
          <w:sz w:val="20"/>
          <w:szCs w:val="20"/>
        </w:rPr>
        <w:t xml:space="preserve">perform the necessary functions required under ULGDP II </w:t>
      </w:r>
      <w:r w:rsidR="00A959B7" w:rsidRPr="00F7263B">
        <w:rPr>
          <w:sz w:val="20"/>
          <w:szCs w:val="20"/>
        </w:rPr>
        <w:t xml:space="preserve">and </w:t>
      </w:r>
      <w:r w:rsidR="00347A1E" w:rsidRPr="00F7263B">
        <w:rPr>
          <w:sz w:val="20"/>
          <w:szCs w:val="20"/>
        </w:rPr>
        <w:t>allow the ministry to provide</w:t>
      </w:r>
      <w:r w:rsidR="00A959B7" w:rsidRPr="00F7263B">
        <w:rPr>
          <w:sz w:val="20"/>
          <w:szCs w:val="20"/>
        </w:rPr>
        <w:t xml:space="preserve"> greater </w:t>
      </w:r>
      <w:r w:rsidR="0050747B" w:rsidRPr="00F7263B">
        <w:rPr>
          <w:sz w:val="20"/>
          <w:szCs w:val="20"/>
        </w:rPr>
        <w:t>capacity building</w:t>
      </w:r>
      <w:r w:rsidR="00A959B7" w:rsidRPr="00F7263B">
        <w:rPr>
          <w:sz w:val="20"/>
          <w:szCs w:val="20"/>
        </w:rPr>
        <w:t xml:space="preserve"> support to the regions and </w:t>
      </w:r>
      <w:r w:rsidR="00347A1E" w:rsidRPr="00F7263B">
        <w:rPr>
          <w:sz w:val="20"/>
          <w:szCs w:val="20"/>
        </w:rPr>
        <w:t xml:space="preserve">the </w:t>
      </w:r>
      <w:r w:rsidR="00A959B7" w:rsidRPr="00F7263B">
        <w:rPr>
          <w:sz w:val="20"/>
          <w:szCs w:val="20"/>
        </w:rPr>
        <w:t>ULGs</w:t>
      </w:r>
      <w:r w:rsidR="009313FC" w:rsidRPr="00F7263B">
        <w:rPr>
          <w:sz w:val="20"/>
          <w:szCs w:val="20"/>
        </w:rPr>
        <w:t xml:space="preserve">.  </w:t>
      </w:r>
    </w:p>
    <w:p w:rsidR="009B3EE8" w:rsidRPr="00F7263B" w:rsidRDefault="009B3EE8" w:rsidP="00556F1B">
      <w:pPr>
        <w:pStyle w:val="ListParagraph"/>
        <w:autoSpaceDE w:val="0"/>
        <w:autoSpaceDN w:val="0"/>
        <w:adjustRightInd w:val="0"/>
        <w:spacing w:after="240"/>
        <w:ind w:left="0"/>
        <w:jc w:val="both"/>
        <w:rPr>
          <w:rFonts w:cs="Times New Roman"/>
          <w:sz w:val="20"/>
          <w:szCs w:val="20"/>
        </w:rPr>
      </w:pPr>
    </w:p>
    <w:p w:rsidR="009B3EE8" w:rsidRPr="00F7263B" w:rsidRDefault="009B3EE8" w:rsidP="00D92D63">
      <w:pPr>
        <w:pStyle w:val="ListParagraph"/>
        <w:numPr>
          <w:ilvl w:val="0"/>
          <w:numId w:val="9"/>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A </w:t>
      </w:r>
      <w:r w:rsidR="00D34B36" w:rsidRPr="00F7263B">
        <w:rPr>
          <w:rFonts w:cs="Times New Roman"/>
          <w:sz w:val="20"/>
          <w:szCs w:val="20"/>
        </w:rPr>
        <w:t>steering</w:t>
      </w:r>
      <w:r w:rsidRPr="00F7263B">
        <w:rPr>
          <w:rFonts w:cs="Times New Roman"/>
          <w:sz w:val="20"/>
          <w:szCs w:val="20"/>
        </w:rPr>
        <w:t xml:space="preserve"> committee will be established</w:t>
      </w:r>
      <w:r w:rsidR="00ED5613" w:rsidRPr="00F7263B">
        <w:rPr>
          <w:rFonts w:cs="Times New Roman"/>
          <w:sz w:val="20"/>
          <w:szCs w:val="20"/>
        </w:rPr>
        <w:t>,</w:t>
      </w:r>
      <w:r w:rsidR="00126FE8" w:rsidRPr="00F7263B">
        <w:rPr>
          <w:rFonts w:cs="Times New Roman"/>
          <w:sz w:val="20"/>
          <w:szCs w:val="20"/>
        </w:rPr>
        <w:t xml:space="preserve"> </w:t>
      </w:r>
      <w:r w:rsidRPr="00F7263B">
        <w:rPr>
          <w:rFonts w:cs="Times New Roman"/>
          <w:sz w:val="20"/>
          <w:szCs w:val="20"/>
        </w:rPr>
        <w:t xml:space="preserve">comprising representatives from the </w:t>
      </w:r>
      <w:r w:rsidR="00821460" w:rsidRPr="00F7263B">
        <w:rPr>
          <w:rFonts w:cs="Times New Roman"/>
          <w:sz w:val="20"/>
          <w:szCs w:val="20"/>
        </w:rPr>
        <w:t>MUDHCo</w:t>
      </w:r>
      <w:r w:rsidRPr="00F7263B">
        <w:rPr>
          <w:rFonts w:cs="Times New Roman"/>
          <w:sz w:val="20"/>
          <w:szCs w:val="20"/>
        </w:rPr>
        <w:t xml:space="preserve"> and MoFED to ensure strong coordination </w:t>
      </w:r>
      <w:r w:rsidR="00D34B36" w:rsidRPr="00F7263B">
        <w:rPr>
          <w:rFonts w:cs="Times New Roman"/>
          <w:sz w:val="20"/>
          <w:szCs w:val="20"/>
        </w:rPr>
        <w:t>on</w:t>
      </w:r>
      <w:r w:rsidRPr="00F7263B">
        <w:rPr>
          <w:rFonts w:cs="Times New Roman"/>
          <w:sz w:val="20"/>
          <w:szCs w:val="20"/>
        </w:rPr>
        <w:t xml:space="preserve"> issues </w:t>
      </w:r>
      <w:r w:rsidR="00D34B36" w:rsidRPr="00F7263B">
        <w:rPr>
          <w:rFonts w:cs="Times New Roman"/>
          <w:sz w:val="20"/>
          <w:szCs w:val="20"/>
        </w:rPr>
        <w:t>such as</w:t>
      </w:r>
      <w:r w:rsidRPr="00F7263B">
        <w:rPr>
          <w:rFonts w:cs="Times New Roman"/>
          <w:sz w:val="20"/>
          <w:szCs w:val="20"/>
        </w:rPr>
        <w:t xml:space="preserve"> planning, allocations, flow of funds, compilation of data</w:t>
      </w:r>
      <w:r w:rsidR="00347A1E" w:rsidRPr="00F7263B">
        <w:rPr>
          <w:rFonts w:cs="Times New Roman"/>
          <w:sz w:val="20"/>
          <w:szCs w:val="20"/>
        </w:rPr>
        <w:t>,</w:t>
      </w:r>
      <w:r w:rsidRPr="00F7263B">
        <w:rPr>
          <w:rFonts w:cs="Times New Roman"/>
          <w:sz w:val="20"/>
          <w:szCs w:val="20"/>
        </w:rPr>
        <w:t xml:space="preserve"> and approval of the results from the </w:t>
      </w:r>
      <w:r w:rsidR="00D34B36" w:rsidRPr="00F7263B">
        <w:rPr>
          <w:rFonts w:cs="Times New Roman"/>
          <w:sz w:val="20"/>
          <w:szCs w:val="20"/>
        </w:rPr>
        <w:t>APAs</w:t>
      </w:r>
      <w:r w:rsidR="009313FC" w:rsidRPr="00F7263B">
        <w:rPr>
          <w:rFonts w:cs="Times New Roman"/>
          <w:sz w:val="20"/>
          <w:szCs w:val="20"/>
        </w:rPr>
        <w:t xml:space="preserve">.  </w:t>
      </w:r>
      <w:r w:rsidRPr="00F7263B">
        <w:rPr>
          <w:rFonts w:cs="Times New Roman"/>
          <w:sz w:val="20"/>
          <w:szCs w:val="20"/>
        </w:rPr>
        <w:t xml:space="preserve">A technical sub-committee comprising key technical staff of </w:t>
      </w:r>
      <w:r w:rsidR="00821460" w:rsidRPr="00F7263B">
        <w:rPr>
          <w:rFonts w:cs="Times New Roman"/>
          <w:sz w:val="20"/>
          <w:szCs w:val="20"/>
        </w:rPr>
        <w:t>MUDHCo</w:t>
      </w:r>
      <w:r w:rsidRPr="00F7263B">
        <w:rPr>
          <w:rFonts w:cs="Times New Roman"/>
          <w:sz w:val="20"/>
          <w:szCs w:val="20"/>
        </w:rPr>
        <w:t xml:space="preserve"> and MoFED</w:t>
      </w:r>
      <w:r w:rsidR="00A2314D">
        <w:rPr>
          <w:rFonts w:cs="Times New Roman"/>
          <w:sz w:val="20"/>
          <w:szCs w:val="20"/>
        </w:rPr>
        <w:t xml:space="preserve"> </w:t>
      </w:r>
      <w:r w:rsidRPr="00F7263B">
        <w:rPr>
          <w:rFonts w:cs="Times New Roman"/>
          <w:sz w:val="20"/>
          <w:szCs w:val="20"/>
        </w:rPr>
        <w:t>will be formed under this committee</w:t>
      </w:r>
      <w:r w:rsidR="009313FC" w:rsidRPr="00F7263B">
        <w:rPr>
          <w:rFonts w:cs="Times New Roman"/>
          <w:sz w:val="20"/>
          <w:szCs w:val="20"/>
        </w:rPr>
        <w:t xml:space="preserve">.  </w:t>
      </w:r>
      <w:r w:rsidRPr="00F7263B">
        <w:rPr>
          <w:rFonts w:cs="Times New Roman"/>
          <w:sz w:val="20"/>
          <w:szCs w:val="20"/>
        </w:rPr>
        <w:t>It will</w:t>
      </w:r>
      <w:r w:rsidR="00126FE8" w:rsidRPr="00F7263B">
        <w:rPr>
          <w:rFonts w:cs="Times New Roman"/>
          <w:sz w:val="20"/>
          <w:szCs w:val="20"/>
        </w:rPr>
        <w:t xml:space="preserve"> </w:t>
      </w:r>
      <w:r w:rsidRPr="00F7263B">
        <w:rPr>
          <w:rFonts w:cs="Times New Roman"/>
          <w:sz w:val="20"/>
          <w:szCs w:val="20"/>
        </w:rPr>
        <w:t xml:space="preserve">review the results of the </w:t>
      </w:r>
      <w:r w:rsidR="00D34B36" w:rsidRPr="00F7263B">
        <w:rPr>
          <w:rFonts w:cs="Times New Roman"/>
          <w:sz w:val="20"/>
          <w:szCs w:val="20"/>
        </w:rPr>
        <w:t>APA</w:t>
      </w:r>
      <w:r w:rsidR="00ED5613" w:rsidRPr="00F7263B">
        <w:rPr>
          <w:rFonts w:cs="Times New Roman"/>
          <w:sz w:val="20"/>
          <w:szCs w:val="20"/>
        </w:rPr>
        <w:t>s</w:t>
      </w:r>
      <w:r w:rsidRPr="00F7263B">
        <w:rPr>
          <w:rFonts w:cs="Times New Roman"/>
          <w:sz w:val="20"/>
          <w:szCs w:val="20"/>
        </w:rPr>
        <w:t xml:space="preserve"> and ensure their quality</w:t>
      </w:r>
      <w:r w:rsidR="009313FC" w:rsidRPr="00F7263B">
        <w:rPr>
          <w:rFonts w:cs="Times New Roman"/>
          <w:sz w:val="20"/>
          <w:szCs w:val="20"/>
        </w:rPr>
        <w:t xml:space="preserve">.  </w:t>
      </w:r>
      <w:r w:rsidRPr="00F7263B">
        <w:rPr>
          <w:rFonts w:cs="Times New Roman"/>
          <w:sz w:val="20"/>
          <w:szCs w:val="20"/>
        </w:rPr>
        <w:t xml:space="preserve">It will also respond to complaints that cannot be resolved at </w:t>
      </w:r>
      <w:r w:rsidR="00ED5613" w:rsidRPr="00F7263B">
        <w:rPr>
          <w:rFonts w:cs="Times New Roman"/>
          <w:sz w:val="20"/>
          <w:szCs w:val="20"/>
        </w:rPr>
        <w:t>entity</w:t>
      </w:r>
      <w:r w:rsidRPr="00F7263B">
        <w:rPr>
          <w:rFonts w:cs="Times New Roman"/>
          <w:sz w:val="20"/>
          <w:szCs w:val="20"/>
        </w:rPr>
        <w:t xml:space="preserve"> level</w:t>
      </w:r>
      <w:r w:rsidR="009313FC" w:rsidRPr="00F7263B">
        <w:rPr>
          <w:rFonts w:cs="Times New Roman"/>
          <w:sz w:val="20"/>
          <w:szCs w:val="20"/>
        </w:rPr>
        <w:t xml:space="preserve">.  </w:t>
      </w:r>
      <w:r w:rsidRPr="00F7263B">
        <w:rPr>
          <w:rFonts w:cs="Times New Roman"/>
          <w:sz w:val="20"/>
          <w:szCs w:val="20"/>
        </w:rPr>
        <w:t xml:space="preserve">The technical committee is expected to meet quarterly and review Program implementation against objectives, bring policy issues to the larger coordination committee, and ensure that the Program is implemented in line with the Program </w:t>
      </w:r>
      <w:r w:rsidR="007414BF" w:rsidRPr="00F7263B">
        <w:rPr>
          <w:rFonts w:cs="Times New Roman"/>
          <w:sz w:val="20"/>
          <w:szCs w:val="20"/>
        </w:rPr>
        <w:t>Operational Manual</w:t>
      </w:r>
      <w:r w:rsidRPr="00F7263B">
        <w:rPr>
          <w:rFonts w:cs="Times New Roman"/>
          <w:sz w:val="20"/>
          <w:szCs w:val="20"/>
        </w:rPr>
        <w:t>.</w:t>
      </w:r>
    </w:p>
    <w:p w:rsidR="00F3258F" w:rsidRPr="00F7263B" w:rsidRDefault="00F3258F" w:rsidP="00556F1B">
      <w:pPr>
        <w:pStyle w:val="ListParagraph"/>
        <w:autoSpaceDE w:val="0"/>
        <w:autoSpaceDN w:val="0"/>
        <w:adjustRightInd w:val="0"/>
        <w:spacing w:after="240"/>
        <w:ind w:left="0"/>
        <w:jc w:val="both"/>
        <w:rPr>
          <w:rFonts w:cs="Times New Roman"/>
          <w:sz w:val="20"/>
          <w:szCs w:val="20"/>
        </w:rPr>
      </w:pPr>
    </w:p>
    <w:p w:rsidR="00832257" w:rsidRPr="00F7263B" w:rsidRDefault="00832257" w:rsidP="00556F1B">
      <w:pPr>
        <w:pStyle w:val="ListParagraph"/>
        <w:tabs>
          <w:tab w:val="right" w:pos="90"/>
          <w:tab w:val="right" w:pos="270"/>
        </w:tabs>
        <w:ind w:left="0"/>
        <w:jc w:val="both"/>
        <w:rPr>
          <w:rFonts w:cs="Times New Roman"/>
          <w:i/>
          <w:sz w:val="20"/>
          <w:szCs w:val="20"/>
        </w:rPr>
      </w:pPr>
      <w:r w:rsidRPr="00F7263B">
        <w:rPr>
          <w:rFonts w:cs="Times New Roman"/>
          <w:i/>
          <w:sz w:val="20"/>
          <w:szCs w:val="20"/>
        </w:rPr>
        <w:t>Regional level</w:t>
      </w:r>
    </w:p>
    <w:p w:rsidR="00832257" w:rsidRPr="00F7263B" w:rsidRDefault="00832257" w:rsidP="00556F1B">
      <w:pPr>
        <w:pStyle w:val="ListParagraph"/>
        <w:tabs>
          <w:tab w:val="right" w:pos="90"/>
          <w:tab w:val="right" w:pos="270"/>
        </w:tabs>
        <w:ind w:left="0"/>
        <w:jc w:val="both"/>
        <w:rPr>
          <w:rFonts w:cs="Times New Roman"/>
          <w:sz w:val="20"/>
          <w:szCs w:val="20"/>
        </w:rPr>
      </w:pPr>
    </w:p>
    <w:p w:rsidR="00832257" w:rsidRPr="00F7263B" w:rsidRDefault="00832257" w:rsidP="00D92D63">
      <w:pPr>
        <w:pStyle w:val="ListParagraph"/>
        <w:numPr>
          <w:ilvl w:val="0"/>
          <w:numId w:val="9"/>
        </w:numPr>
        <w:autoSpaceDE w:val="0"/>
        <w:autoSpaceDN w:val="0"/>
        <w:adjustRightInd w:val="0"/>
        <w:spacing w:after="240"/>
        <w:ind w:left="0" w:firstLine="0"/>
        <w:jc w:val="both"/>
        <w:rPr>
          <w:rFonts w:cs="Times New Roman"/>
          <w:sz w:val="20"/>
          <w:szCs w:val="20"/>
        </w:rPr>
      </w:pPr>
      <w:r w:rsidRPr="00F7263B">
        <w:rPr>
          <w:rFonts w:cs="Times New Roman"/>
          <w:sz w:val="20"/>
          <w:szCs w:val="20"/>
        </w:rPr>
        <w:t>At the regional government level:</w:t>
      </w:r>
    </w:p>
    <w:p w:rsidR="00832257" w:rsidRPr="00F7263B" w:rsidRDefault="00832257" w:rsidP="00556F1B">
      <w:pPr>
        <w:pStyle w:val="ListParagraph"/>
        <w:autoSpaceDE w:val="0"/>
        <w:autoSpaceDN w:val="0"/>
        <w:adjustRightInd w:val="0"/>
        <w:spacing w:after="240"/>
        <w:ind w:left="0"/>
        <w:jc w:val="both"/>
        <w:rPr>
          <w:rFonts w:cs="Times New Roman"/>
          <w:sz w:val="20"/>
          <w:szCs w:val="20"/>
        </w:rPr>
      </w:pPr>
    </w:p>
    <w:p w:rsidR="00832257" w:rsidRPr="00F7263B" w:rsidRDefault="00630936" w:rsidP="00ED5613">
      <w:pPr>
        <w:pStyle w:val="ListParagraph"/>
        <w:numPr>
          <w:ilvl w:val="1"/>
          <w:numId w:val="9"/>
        </w:numPr>
        <w:ind w:hanging="540"/>
        <w:jc w:val="both"/>
        <w:rPr>
          <w:rFonts w:cs="Times New Roman"/>
          <w:sz w:val="20"/>
          <w:szCs w:val="20"/>
        </w:rPr>
      </w:pPr>
      <w:r w:rsidRPr="00F7263B">
        <w:rPr>
          <w:rFonts w:cs="Times New Roman"/>
          <w:sz w:val="20"/>
          <w:szCs w:val="20"/>
        </w:rPr>
        <w:t xml:space="preserve">The respective regional </w:t>
      </w:r>
      <w:r w:rsidR="00CC0549" w:rsidRPr="00F7263B">
        <w:rPr>
          <w:rFonts w:cs="Times New Roman"/>
          <w:sz w:val="20"/>
          <w:szCs w:val="20"/>
        </w:rPr>
        <w:t>b</w:t>
      </w:r>
      <w:r w:rsidR="00832257" w:rsidRPr="00F7263B">
        <w:rPr>
          <w:rFonts w:cs="Times New Roman"/>
          <w:sz w:val="20"/>
          <w:szCs w:val="20"/>
        </w:rPr>
        <w:t xml:space="preserve">ureaus of </w:t>
      </w:r>
      <w:r w:rsidR="00CC0549" w:rsidRPr="00F7263B">
        <w:rPr>
          <w:rFonts w:cs="Times New Roman"/>
          <w:sz w:val="20"/>
          <w:szCs w:val="20"/>
        </w:rPr>
        <w:t>urban d</w:t>
      </w:r>
      <w:r w:rsidR="00832257" w:rsidRPr="00F7263B">
        <w:rPr>
          <w:rFonts w:cs="Times New Roman"/>
          <w:sz w:val="20"/>
          <w:szCs w:val="20"/>
        </w:rPr>
        <w:t>evelopment (BUDs) will be responsible for daily coordination of the Program at the regional level</w:t>
      </w:r>
      <w:r w:rsidR="009313FC" w:rsidRPr="00F7263B">
        <w:rPr>
          <w:rFonts w:cs="Times New Roman"/>
          <w:sz w:val="20"/>
          <w:szCs w:val="20"/>
        </w:rPr>
        <w:t xml:space="preserve">.  </w:t>
      </w:r>
      <w:r w:rsidR="00832257" w:rsidRPr="00F7263B">
        <w:rPr>
          <w:rFonts w:cs="Times New Roman"/>
          <w:sz w:val="20"/>
          <w:szCs w:val="20"/>
        </w:rPr>
        <w:t>Specifically, the BUDs will be in charge of:</w:t>
      </w:r>
    </w:p>
    <w:p w:rsidR="006E7278" w:rsidRPr="00F7263B" w:rsidRDefault="00832257"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Capacity building support of the ULGs in their jurisdiction</w:t>
      </w:r>
      <w:r w:rsidR="009313FC" w:rsidRPr="00F7263B">
        <w:rPr>
          <w:rFonts w:cs="Times New Roman"/>
          <w:sz w:val="20"/>
          <w:szCs w:val="20"/>
        </w:rPr>
        <w:t xml:space="preserve">.  </w:t>
      </w:r>
    </w:p>
    <w:p w:rsidR="006E7278" w:rsidRPr="00F7263B" w:rsidRDefault="00832257"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Preparation of progress reports covering all ULGs in their jurisdiction</w:t>
      </w:r>
      <w:r w:rsidR="00303D2D" w:rsidRPr="00F7263B">
        <w:rPr>
          <w:rFonts w:cs="Times New Roman"/>
          <w:sz w:val="20"/>
          <w:szCs w:val="20"/>
        </w:rPr>
        <w:t>.</w:t>
      </w:r>
    </w:p>
    <w:p w:rsidR="006E7278" w:rsidRPr="00F7263B" w:rsidRDefault="00832257"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Oversight and backstopping support related to aspects of the Program.</w:t>
      </w:r>
    </w:p>
    <w:p w:rsidR="004E2B7B" w:rsidRPr="00F7263B" w:rsidRDefault="004E2B7B" w:rsidP="00631844">
      <w:pPr>
        <w:pStyle w:val="ListParagraph"/>
        <w:tabs>
          <w:tab w:val="right" w:pos="90"/>
          <w:tab w:val="right" w:pos="270"/>
        </w:tabs>
        <w:ind w:left="0"/>
        <w:jc w:val="both"/>
        <w:rPr>
          <w:rFonts w:cs="Times New Roman"/>
          <w:sz w:val="20"/>
          <w:szCs w:val="20"/>
        </w:rPr>
      </w:pPr>
    </w:p>
    <w:p w:rsidR="00B90D87" w:rsidRPr="00F7263B" w:rsidRDefault="00A04D3B" w:rsidP="00ED5613">
      <w:pPr>
        <w:pStyle w:val="ListParagraph"/>
        <w:numPr>
          <w:ilvl w:val="1"/>
          <w:numId w:val="9"/>
        </w:numPr>
        <w:ind w:hanging="540"/>
        <w:jc w:val="both"/>
        <w:rPr>
          <w:rFonts w:cs="Times New Roman"/>
          <w:sz w:val="20"/>
          <w:szCs w:val="20"/>
        </w:rPr>
      </w:pPr>
      <w:r w:rsidRPr="00F7263B">
        <w:rPr>
          <w:rFonts w:cs="Times New Roman"/>
          <w:sz w:val="20"/>
          <w:szCs w:val="20"/>
        </w:rPr>
        <w:t xml:space="preserve">The other </w:t>
      </w:r>
      <w:r w:rsidR="00ED5613" w:rsidRPr="00F7263B">
        <w:rPr>
          <w:rFonts w:cs="Times New Roman"/>
          <w:sz w:val="20"/>
          <w:szCs w:val="20"/>
        </w:rPr>
        <w:t>r</w:t>
      </w:r>
      <w:r w:rsidRPr="00F7263B">
        <w:rPr>
          <w:rFonts w:cs="Times New Roman"/>
          <w:sz w:val="20"/>
          <w:szCs w:val="20"/>
        </w:rPr>
        <w:t>egional entities involved are</w:t>
      </w:r>
      <w:r w:rsidR="004E2B7B" w:rsidRPr="00F7263B">
        <w:rPr>
          <w:rFonts w:cs="Times New Roman"/>
          <w:sz w:val="20"/>
          <w:szCs w:val="20"/>
        </w:rPr>
        <w:t>:</w:t>
      </w:r>
      <w:r w:rsidRPr="00F7263B">
        <w:rPr>
          <w:rFonts w:cs="Times New Roman"/>
          <w:sz w:val="20"/>
          <w:szCs w:val="20"/>
        </w:rPr>
        <w:t xml:space="preserve"> the </w:t>
      </w:r>
      <w:r w:rsidR="00832257" w:rsidRPr="00F7263B">
        <w:rPr>
          <w:rFonts w:cs="Times New Roman"/>
          <w:sz w:val="20"/>
          <w:szCs w:val="20"/>
        </w:rPr>
        <w:t xml:space="preserve">ORAGs </w:t>
      </w:r>
      <w:r w:rsidRPr="00F7263B">
        <w:rPr>
          <w:rFonts w:cs="Times New Roman"/>
          <w:sz w:val="20"/>
          <w:szCs w:val="20"/>
        </w:rPr>
        <w:t>for</w:t>
      </w:r>
      <w:r w:rsidR="00832257" w:rsidRPr="00F7263B">
        <w:rPr>
          <w:rFonts w:cs="Times New Roman"/>
          <w:sz w:val="20"/>
          <w:szCs w:val="20"/>
        </w:rPr>
        <w:t xml:space="preserve"> conduct</w:t>
      </w:r>
      <w:r w:rsidRPr="00F7263B">
        <w:rPr>
          <w:rFonts w:cs="Times New Roman"/>
          <w:sz w:val="20"/>
          <w:szCs w:val="20"/>
        </w:rPr>
        <w:t xml:space="preserve">ing </w:t>
      </w:r>
      <w:r w:rsidR="00832257" w:rsidRPr="00F7263B">
        <w:rPr>
          <w:rFonts w:cs="Times New Roman"/>
          <w:sz w:val="20"/>
          <w:szCs w:val="20"/>
        </w:rPr>
        <w:t>external audit</w:t>
      </w:r>
      <w:r w:rsidR="004E2B7B" w:rsidRPr="00F7263B">
        <w:rPr>
          <w:rFonts w:cs="Times New Roman"/>
          <w:sz w:val="20"/>
          <w:szCs w:val="20"/>
        </w:rPr>
        <w:t>s</w:t>
      </w:r>
      <w:r w:rsidR="00832257" w:rsidRPr="00F7263B">
        <w:rPr>
          <w:rFonts w:cs="Times New Roman"/>
          <w:sz w:val="20"/>
          <w:szCs w:val="20"/>
        </w:rPr>
        <w:t xml:space="preserve"> of ULG </w:t>
      </w:r>
      <w:r w:rsidR="005C451C" w:rsidRPr="00F7263B">
        <w:rPr>
          <w:rFonts w:cs="Times New Roman"/>
          <w:sz w:val="20"/>
          <w:szCs w:val="20"/>
        </w:rPr>
        <w:t>financial reports</w:t>
      </w:r>
      <w:r w:rsidR="00ED5613" w:rsidRPr="00F7263B">
        <w:rPr>
          <w:rFonts w:cs="Times New Roman"/>
          <w:sz w:val="20"/>
          <w:szCs w:val="20"/>
        </w:rPr>
        <w:t xml:space="preserve">, </w:t>
      </w:r>
      <w:r w:rsidR="00832257" w:rsidRPr="00F7263B">
        <w:rPr>
          <w:rFonts w:cs="Times New Roman"/>
          <w:sz w:val="20"/>
          <w:szCs w:val="20"/>
        </w:rPr>
        <w:t>REPA</w:t>
      </w:r>
      <w:r w:rsidR="005C451C" w:rsidRPr="00F7263B">
        <w:rPr>
          <w:rFonts w:cs="Times New Roman"/>
          <w:sz w:val="20"/>
          <w:szCs w:val="20"/>
        </w:rPr>
        <w:t>s</w:t>
      </w:r>
      <w:r w:rsidR="004E2B7B" w:rsidRPr="00F7263B">
        <w:rPr>
          <w:rFonts w:cs="Times New Roman"/>
          <w:sz w:val="20"/>
          <w:szCs w:val="20"/>
        </w:rPr>
        <w:t>to oversee</w:t>
      </w:r>
      <w:r w:rsidR="005C451C" w:rsidRPr="00F7263B">
        <w:rPr>
          <w:rFonts w:cs="Times New Roman"/>
          <w:sz w:val="20"/>
          <w:szCs w:val="20"/>
        </w:rPr>
        <w:t xml:space="preserve"> the Program’s environmental and social safeguards agreements</w:t>
      </w:r>
      <w:r w:rsidR="00ED5613" w:rsidRPr="00F7263B">
        <w:rPr>
          <w:rFonts w:cs="Times New Roman"/>
          <w:sz w:val="20"/>
          <w:szCs w:val="20"/>
        </w:rPr>
        <w:t>,</w:t>
      </w:r>
      <w:r w:rsidR="00126FE8" w:rsidRPr="00F7263B">
        <w:rPr>
          <w:rFonts w:cs="Times New Roman"/>
          <w:sz w:val="20"/>
          <w:szCs w:val="20"/>
        </w:rPr>
        <w:t xml:space="preserve"> </w:t>
      </w:r>
      <w:r w:rsidR="00832257" w:rsidRPr="00F7263B">
        <w:rPr>
          <w:rFonts w:cs="Times New Roman"/>
          <w:sz w:val="20"/>
          <w:szCs w:val="20"/>
        </w:rPr>
        <w:t>Bureaus of Finance and Economic Development (B</w:t>
      </w:r>
      <w:r w:rsidR="005C451C" w:rsidRPr="00F7263B">
        <w:rPr>
          <w:rFonts w:cs="Times New Roman"/>
          <w:sz w:val="20"/>
          <w:szCs w:val="20"/>
        </w:rPr>
        <w:t>o</w:t>
      </w:r>
      <w:r w:rsidR="00832257" w:rsidRPr="00F7263B">
        <w:rPr>
          <w:rFonts w:cs="Times New Roman"/>
          <w:sz w:val="20"/>
          <w:szCs w:val="20"/>
        </w:rPr>
        <w:t>FED</w:t>
      </w:r>
      <w:r w:rsidR="005C451C" w:rsidRPr="00F7263B">
        <w:rPr>
          <w:rFonts w:cs="Times New Roman"/>
          <w:sz w:val="20"/>
          <w:szCs w:val="20"/>
        </w:rPr>
        <w:t>s</w:t>
      </w:r>
      <w:r w:rsidR="00832257" w:rsidRPr="00F7263B">
        <w:rPr>
          <w:rFonts w:cs="Times New Roman"/>
          <w:sz w:val="20"/>
          <w:szCs w:val="20"/>
        </w:rPr>
        <w:t xml:space="preserve">) </w:t>
      </w:r>
      <w:r w:rsidR="004E2B7B" w:rsidRPr="00F7263B">
        <w:rPr>
          <w:rFonts w:cs="Times New Roman"/>
          <w:sz w:val="20"/>
          <w:szCs w:val="20"/>
        </w:rPr>
        <w:t>for managing regional fund flow and reporting</w:t>
      </w:r>
      <w:r w:rsidR="00ED5613" w:rsidRPr="00F7263B">
        <w:rPr>
          <w:rFonts w:cs="Times New Roman"/>
          <w:sz w:val="20"/>
          <w:szCs w:val="20"/>
        </w:rPr>
        <w:t>,</w:t>
      </w:r>
      <w:r w:rsidR="00126FE8" w:rsidRPr="00F7263B">
        <w:rPr>
          <w:rFonts w:cs="Times New Roman"/>
          <w:sz w:val="20"/>
          <w:szCs w:val="20"/>
        </w:rPr>
        <w:t xml:space="preserve"> </w:t>
      </w:r>
      <w:r w:rsidR="00ED5613" w:rsidRPr="00F7263B">
        <w:rPr>
          <w:rFonts w:cs="Times New Roman"/>
          <w:sz w:val="20"/>
          <w:szCs w:val="20"/>
        </w:rPr>
        <w:t>r</w:t>
      </w:r>
      <w:r w:rsidR="00CC0549" w:rsidRPr="00F7263B">
        <w:rPr>
          <w:rFonts w:cs="Times New Roman"/>
          <w:sz w:val="20"/>
          <w:szCs w:val="20"/>
        </w:rPr>
        <w:t>egional public p</w:t>
      </w:r>
      <w:r w:rsidR="00B90D87" w:rsidRPr="00F7263B">
        <w:rPr>
          <w:rFonts w:cs="Times New Roman"/>
          <w:sz w:val="20"/>
          <w:szCs w:val="20"/>
        </w:rPr>
        <w:t>rocure</w:t>
      </w:r>
      <w:r w:rsidR="00CC0549" w:rsidRPr="00F7263B">
        <w:rPr>
          <w:rFonts w:cs="Times New Roman"/>
          <w:sz w:val="20"/>
          <w:szCs w:val="20"/>
        </w:rPr>
        <w:t>ment and asset management a</w:t>
      </w:r>
      <w:r w:rsidR="00ED5613" w:rsidRPr="00F7263B">
        <w:rPr>
          <w:rFonts w:cs="Times New Roman"/>
          <w:sz w:val="20"/>
          <w:szCs w:val="20"/>
        </w:rPr>
        <w:t>gencies</w:t>
      </w:r>
      <w:r w:rsidR="00126FE8" w:rsidRPr="00F7263B">
        <w:rPr>
          <w:rFonts w:cs="Times New Roman"/>
          <w:sz w:val="20"/>
          <w:szCs w:val="20"/>
        </w:rPr>
        <w:t xml:space="preserve"> </w:t>
      </w:r>
      <w:r w:rsidR="004E2B7B" w:rsidRPr="00F7263B">
        <w:rPr>
          <w:rFonts w:cs="Times New Roman"/>
          <w:sz w:val="20"/>
          <w:szCs w:val="20"/>
        </w:rPr>
        <w:t xml:space="preserve">to guide and support on </w:t>
      </w:r>
      <w:r w:rsidR="00CE2B10" w:rsidRPr="00F7263B">
        <w:rPr>
          <w:rFonts w:cs="Times New Roman"/>
          <w:sz w:val="20"/>
          <w:szCs w:val="20"/>
        </w:rPr>
        <w:t>procurement procedures</w:t>
      </w:r>
      <w:r w:rsidR="004E2B7B" w:rsidRPr="00F7263B">
        <w:rPr>
          <w:rFonts w:cs="Times New Roman"/>
          <w:sz w:val="20"/>
          <w:szCs w:val="20"/>
        </w:rPr>
        <w:t xml:space="preserve"> and capacity building</w:t>
      </w:r>
      <w:r w:rsidR="00ED5613" w:rsidRPr="00F7263B">
        <w:rPr>
          <w:rFonts w:cs="Times New Roman"/>
          <w:sz w:val="20"/>
          <w:szCs w:val="20"/>
        </w:rPr>
        <w:t>,</w:t>
      </w:r>
      <w:r w:rsidR="00126FE8" w:rsidRPr="00F7263B">
        <w:rPr>
          <w:rFonts w:cs="Times New Roman"/>
          <w:sz w:val="20"/>
          <w:szCs w:val="20"/>
        </w:rPr>
        <w:t xml:space="preserve"> </w:t>
      </w:r>
      <w:r w:rsidR="00CC0549" w:rsidRPr="00F7263B">
        <w:rPr>
          <w:rFonts w:cs="Times New Roman"/>
          <w:sz w:val="20"/>
          <w:szCs w:val="20"/>
        </w:rPr>
        <w:t>regional revenue a</w:t>
      </w:r>
      <w:r w:rsidR="00641DB0" w:rsidRPr="00F7263B">
        <w:rPr>
          <w:rFonts w:cs="Times New Roman"/>
          <w:sz w:val="20"/>
          <w:szCs w:val="20"/>
        </w:rPr>
        <w:t xml:space="preserve">uthorities support ULGs in the areas of </w:t>
      </w:r>
      <w:r w:rsidR="00C50B8F" w:rsidRPr="00F7263B">
        <w:rPr>
          <w:rFonts w:cs="Times New Roman"/>
          <w:sz w:val="20"/>
          <w:szCs w:val="20"/>
        </w:rPr>
        <w:t>own source revenue mobilization,</w:t>
      </w:r>
      <w:r w:rsidR="00126FE8" w:rsidRPr="00F7263B">
        <w:rPr>
          <w:rFonts w:cs="Times New Roman"/>
          <w:sz w:val="20"/>
          <w:szCs w:val="20"/>
        </w:rPr>
        <w:t xml:space="preserve"> </w:t>
      </w:r>
      <w:r w:rsidR="00B90D87" w:rsidRPr="00F7263B">
        <w:rPr>
          <w:rFonts w:cs="Times New Roman"/>
          <w:sz w:val="20"/>
          <w:szCs w:val="20"/>
        </w:rPr>
        <w:t xml:space="preserve">and </w:t>
      </w:r>
      <w:r w:rsidR="004E2B7B" w:rsidRPr="00F7263B">
        <w:rPr>
          <w:rFonts w:cs="Times New Roman"/>
          <w:sz w:val="20"/>
          <w:szCs w:val="20"/>
        </w:rPr>
        <w:t xml:space="preserve">the </w:t>
      </w:r>
      <w:r w:rsidR="00B90D87" w:rsidRPr="00F7263B">
        <w:rPr>
          <w:sz w:val="20"/>
          <w:szCs w:val="20"/>
        </w:rPr>
        <w:t xml:space="preserve">Regional Ethics and Anti-Corruption Commission (REAC) </w:t>
      </w:r>
      <w:r w:rsidR="00CE2B10" w:rsidRPr="00F7263B">
        <w:rPr>
          <w:rFonts w:cs="Times New Roman"/>
          <w:sz w:val="20"/>
          <w:szCs w:val="20"/>
        </w:rPr>
        <w:t>for fraud and corruption monitoring and reporting.</w:t>
      </w:r>
    </w:p>
    <w:p w:rsidR="00330A27" w:rsidRPr="00F7263B" w:rsidRDefault="00330A27" w:rsidP="00556F1B">
      <w:pPr>
        <w:pStyle w:val="ListParagraph"/>
        <w:tabs>
          <w:tab w:val="right" w:pos="90"/>
          <w:tab w:val="right" w:pos="270"/>
        </w:tabs>
        <w:ind w:left="0"/>
        <w:jc w:val="both"/>
        <w:rPr>
          <w:rFonts w:cs="Times New Roman"/>
          <w:sz w:val="20"/>
          <w:szCs w:val="20"/>
        </w:rPr>
      </w:pPr>
    </w:p>
    <w:p w:rsidR="00351020" w:rsidRPr="00F7263B" w:rsidRDefault="005F6E4E" w:rsidP="00472184">
      <w:pPr>
        <w:pStyle w:val="ListParagraph"/>
        <w:numPr>
          <w:ilvl w:val="0"/>
          <w:numId w:val="9"/>
        </w:numPr>
        <w:autoSpaceDE w:val="0"/>
        <w:autoSpaceDN w:val="0"/>
        <w:adjustRightInd w:val="0"/>
        <w:spacing w:after="240"/>
        <w:ind w:left="0" w:firstLine="0"/>
        <w:jc w:val="both"/>
        <w:rPr>
          <w:rFonts w:cs="Times New Roman"/>
          <w:sz w:val="20"/>
          <w:szCs w:val="20"/>
        </w:rPr>
      </w:pPr>
      <w:r w:rsidRPr="00F7263B">
        <w:rPr>
          <w:rFonts w:cs="Times New Roman"/>
          <w:sz w:val="20"/>
          <w:szCs w:val="20"/>
        </w:rPr>
        <w:t>U</w:t>
      </w:r>
      <w:r w:rsidR="00351020" w:rsidRPr="00F7263B">
        <w:rPr>
          <w:rFonts w:cs="Times New Roman"/>
          <w:sz w:val="20"/>
          <w:szCs w:val="20"/>
        </w:rPr>
        <w:t xml:space="preserve">nder </w:t>
      </w:r>
      <w:r w:rsidRPr="00F7263B">
        <w:rPr>
          <w:rFonts w:cs="Times New Roman"/>
          <w:sz w:val="20"/>
          <w:szCs w:val="20"/>
        </w:rPr>
        <w:t xml:space="preserve">the </w:t>
      </w:r>
      <w:r w:rsidR="00351020" w:rsidRPr="00F7263B">
        <w:rPr>
          <w:rFonts w:cs="Times New Roman"/>
          <w:sz w:val="20"/>
          <w:szCs w:val="20"/>
        </w:rPr>
        <w:t>ULGDP II</w:t>
      </w:r>
      <w:r w:rsidRPr="00F7263B">
        <w:rPr>
          <w:rFonts w:cs="Times New Roman"/>
          <w:sz w:val="20"/>
          <w:szCs w:val="20"/>
        </w:rPr>
        <w:t>,</w:t>
      </w:r>
      <w:r w:rsidR="00351020" w:rsidRPr="00F7263B">
        <w:rPr>
          <w:rFonts w:cs="Times New Roman"/>
          <w:sz w:val="20"/>
          <w:szCs w:val="20"/>
        </w:rPr>
        <w:t xml:space="preserve"> regional governments will assum</w:t>
      </w:r>
      <w:r w:rsidRPr="00F7263B">
        <w:rPr>
          <w:rFonts w:cs="Times New Roman"/>
          <w:sz w:val="20"/>
          <w:szCs w:val="20"/>
        </w:rPr>
        <w:t>e</w:t>
      </w:r>
      <w:r w:rsidR="00A2314D">
        <w:rPr>
          <w:rFonts w:cs="Times New Roman"/>
          <w:sz w:val="20"/>
          <w:szCs w:val="20"/>
        </w:rPr>
        <w:t xml:space="preserve"> </w:t>
      </w:r>
      <w:r w:rsidR="00351020" w:rsidRPr="00F7263B">
        <w:rPr>
          <w:rFonts w:cs="Times New Roman"/>
          <w:sz w:val="20"/>
          <w:szCs w:val="20"/>
        </w:rPr>
        <w:t xml:space="preserve">expanded roles in </w:t>
      </w:r>
      <w:r w:rsidRPr="00F7263B">
        <w:rPr>
          <w:rFonts w:cs="Times New Roman"/>
          <w:sz w:val="20"/>
          <w:szCs w:val="20"/>
        </w:rPr>
        <w:t>providing oversight and in helping ULGs within their jurisdictions build their capacity to perform.  However,</w:t>
      </w:r>
      <w:r w:rsidR="00A2314D">
        <w:rPr>
          <w:rFonts w:cs="Times New Roman"/>
          <w:sz w:val="20"/>
          <w:szCs w:val="20"/>
        </w:rPr>
        <w:t xml:space="preserve"> </w:t>
      </w:r>
      <w:r w:rsidRPr="00F7263B">
        <w:rPr>
          <w:rFonts w:cs="Times New Roman"/>
          <w:sz w:val="20"/>
          <w:szCs w:val="20"/>
        </w:rPr>
        <w:t>t</w:t>
      </w:r>
      <w:r w:rsidR="00351020" w:rsidRPr="00F7263B">
        <w:rPr>
          <w:rFonts w:cs="Times New Roman"/>
          <w:sz w:val="20"/>
          <w:szCs w:val="20"/>
        </w:rPr>
        <w:t>here is a risk that regional governments may lack capacity and sufficient incentives to undertake</w:t>
      </w:r>
      <w:r w:rsidRPr="00F7263B">
        <w:rPr>
          <w:rFonts w:cs="Times New Roman"/>
          <w:sz w:val="20"/>
          <w:szCs w:val="20"/>
        </w:rPr>
        <w:t xml:space="preserve"> the </w:t>
      </w:r>
      <w:r w:rsidR="00351020" w:rsidRPr="00F7263B">
        <w:rPr>
          <w:rFonts w:cs="Times New Roman"/>
          <w:sz w:val="20"/>
          <w:szCs w:val="20"/>
        </w:rPr>
        <w:t xml:space="preserve">expanded responsibilities. The </w:t>
      </w:r>
      <w:r w:rsidRPr="00F7263B">
        <w:rPr>
          <w:rFonts w:cs="Times New Roman"/>
          <w:sz w:val="20"/>
          <w:szCs w:val="20"/>
        </w:rPr>
        <w:t>four</w:t>
      </w:r>
      <w:r w:rsidR="00351020" w:rsidRPr="00F7263B">
        <w:rPr>
          <w:rFonts w:cs="Times New Roman"/>
          <w:sz w:val="20"/>
          <w:szCs w:val="20"/>
        </w:rPr>
        <w:t xml:space="preserve"> regional governments with relatively better capacity, with the assistance from MUDHCo</w:t>
      </w:r>
      <w:r w:rsidRPr="00F7263B">
        <w:rPr>
          <w:rFonts w:cs="Times New Roman"/>
          <w:sz w:val="20"/>
          <w:szCs w:val="20"/>
        </w:rPr>
        <w:t>,</w:t>
      </w:r>
      <w:r w:rsidR="00351020" w:rsidRPr="00F7263B">
        <w:rPr>
          <w:rFonts w:cs="Times New Roman"/>
          <w:sz w:val="20"/>
          <w:szCs w:val="20"/>
        </w:rPr>
        <w:t xml:space="preserve"> will put in</w:t>
      </w:r>
      <w:r w:rsidRPr="00F7263B">
        <w:rPr>
          <w:rFonts w:cs="Times New Roman"/>
          <w:sz w:val="20"/>
          <w:szCs w:val="20"/>
        </w:rPr>
        <w:t>to</w:t>
      </w:r>
      <w:r w:rsidR="00351020" w:rsidRPr="00F7263B">
        <w:rPr>
          <w:rFonts w:cs="Times New Roman"/>
          <w:sz w:val="20"/>
          <w:szCs w:val="20"/>
        </w:rPr>
        <w:t xml:space="preserve"> place mobile teams </w:t>
      </w:r>
      <w:r w:rsidR="00BB7B94" w:rsidRPr="00F7263B">
        <w:rPr>
          <w:rFonts w:cs="Times New Roman"/>
          <w:sz w:val="20"/>
          <w:szCs w:val="20"/>
        </w:rPr>
        <w:t xml:space="preserve">that will </w:t>
      </w:r>
      <w:r w:rsidR="005B1A33" w:rsidRPr="00F7263B">
        <w:rPr>
          <w:rFonts w:cs="Times New Roman"/>
          <w:sz w:val="20"/>
          <w:szCs w:val="20"/>
        </w:rPr>
        <w:t>help the regional bureaus of urban development develop their own capacity to guide and support the ULGs</w:t>
      </w:r>
      <w:r w:rsidR="00BB7B94" w:rsidRPr="00F7263B">
        <w:rPr>
          <w:rFonts w:cs="Times New Roman"/>
          <w:sz w:val="20"/>
          <w:szCs w:val="20"/>
        </w:rPr>
        <w:t xml:space="preserve">.  </w:t>
      </w:r>
      <w:r w:rsidR="005B1A33" w:rsidRPr="00F7263B">
        <w:rPr>
          <w:rFonts w:cs="Times New Roman"/>
          <w:sz w:val="20"/>
          <w:szCs w:val="20"/>
        </w:rPr>
        <w:t xml:space="preserve">The MUDHCo will create a multi-disciplinary mobile team comprising some 46 specialists (12 existing and 34 new) that will </w:t>
      </w:r>
      <w:r w:rsidR="00351020" w:rsidRPr="00F7263B">
        <w:rPr>
          <w:rFonts w:cs="Times New Roman"/>
          <w:sz w:val="20"/>
          <w:szCs w:val="20"/>
        </w:rPr>
        <w:t xml:space="preserve">provide capacity building support to the </w:t>
      </w:r>
      <w:r w:rsidR="005B1A33" w:rsidRPr="00F7263B">
        <w:rPr>
          <w:rFonts w:cs="Times New Roman"/>
          <w:sz w:val="20"/>
          <w:szCs w:val="20"/>
        </w:rPr>
        <w:t xml:space="preserve">four new ULGDP II developing regional states and the </w:t>
      </w:r>
      <w:r w:rsidR="00817805" w:rsidRPr="00F7263B">
        <w:rPr>
          <w:rFonts w:cs="Times New Roman"/>
          <w:sz w:val="20"/>
          <w:szCs w:val="20"/>
        </w:rPr>
        <w:t>the</w:t>
      </w:r>
      <w:r w:rsidR="005B1A33" w:rsidRPr="00F7263B">
        <w:rPr>
          <w:rFonts w:cs="Times New Roman"/>
          <w:sz w:val="20"/>
          <w:szCs w:val="20"/>
        </w:rPr>
        <w:t>ir</w:t>
      </w:r>
      <w:r w:rsidR="00A2314D">
        <w:rPr>
          <w:rFonts w:cs="Times New Roman"/>
          <w:sz w:val="20"/>
          <w:szCs w:val="20"/>
        </w:rPr>
        <w:t xml:space="preserve"> </w:t>
      </w:r>
      <w:r w:rsidR="00351020" w:rsidRPr="00F7263B">
        <w:rPr>
          <w:rFonts w:cs="Times New Roman"/>
          <w:sz w:val="20"/>
          <w:szCs w:val="20"/>
        </w:rPr>
        <w:t>ULGs</w:t>
      </w:r>
      <w:r w:rsidR="005B1A33" w:rsidRPr="00F7263B">
        <w:rPr>
          <w:rFonts w:cs="Times New Roman"/>
          <w:sz w:val="20"/>
          <w:szCs w:val="20"/>
        </w:rPr>
        <w:t>.</w:t>
      </w:r>
    </w:p>
    <w:p w:rsidR="00351020" w:rsidRPr="00F7263B" w:rsidRDefault="00351020" w:rsidP="00556F1B">
      <w:pPr>
        <w:pStyle w:val="ListParagraph"/>
        <w:tabs>
          <w:tab w:val="right" w:pos="90"/>
          <w:tab w:val="right" w:pos="270"/>
        </w:tabs>
        <w:ind w:left="0"/>
        <w:jc w:val="both"/>
        <w:rPr>
          <w:rFonts w:cs="Times New Roman"/>
          <w:i/>
          <w:sz w:val="20"/>
          <w:szCs w:val="20"/>
        </w:rPr>
      </w:pPr>
    </w:p>
    <w:p w:rsidR="009A7974" w:rsidRPr="00F7263B" w:rsidRDefault="009A7974" w:rsidP="00556F1B">
      <w:pPr>
        <w:pStyle w:val="ListParagraph"/>
        <w:tabs>
          <w:tab w:val="right" w:pos="90"/>
          <w:tab w:val="right" w:pos="270"/>
        </w:tabs>
        <w:ind w:left="0"/>
        <w:jc w:val="both"/>
        <w:rPr>
          <w:rFonts w:cs="Times New Roman"/>
          <w:i/>
          <w:sz w:val="20"/>
          <w:szCs w:val="20"/>
        </w:rPr>
      </w:pPr>
      <w:r w:rsidRPr="00F7263B">
        <w:rPr>
          <w:rFonts w:cs="Times New Roman"/>
          <w:i/>
          <w:sz w:val="20"/>
          <w:szCs w:val="20"/>
        </w:rPr>
        <w:t xml:space="preserve">Urban </w:t>
      </w:r>
      <w:r w:rsidR="00D739C3" w:rsidRPr="00F7263B">
        <w:rPr>
          <w:rFonts w:cs="Times New Roman"/>
          <w:i/>
          <w:sz w:val="20"/>
          <w:szCs w:val="20"/>
        </w:rPr>
        <w:t>l</w:t>
      </w:r>
      <w:r w:rsidRPr="00F7263B">
        <w:rPr>
          <w:rFonts w:cs="Times New Roman"/>
          <w:i/>
          <w:sz w:val="20"/>
          <w:szCs w:val="20"/>
        </w:rPr>
        <w:t xml:space="preserve">ocal </w:t>
      </w:r>
      <w:r w:rsidR="00D739C3" w:rsidRPr="00F7263B">
        <w:rPr>
          <w:rFonts w:cs="Times New Roman"/>
          <w:i/>
          <w:sz w:val="20"/>
          <w:szCs w:val="20"/>
        </w:rPr>
        <w:t>g</w:t>
      </w:r>
      <w:r w:rsidRPr="00F7263B">
        <w:rPr>
          <w:rFonts w:cs="Times New Roman"/>
          <w:i/>
          <w:sz w:val="20"/>
          <w:szCs w:val="20"/>
        </w:rPr>
        <w:t>overnment level</w:t>
      </w:r>
    </w:p>
    <w:p w:rsidR="00F3258F" w:rsidRPr="00F7263B" w:rsidRDefault="00F3258F" w:rsidP="00556F1B">
      <w:pPr>
        <w:pStyle w:val="ListParagraph"/>
        <w:autoSpaceDE w:val="0"/>
        <w:autoSpaceDN w:val="0"/>
        <w:adjustRightInd w:val="0"/>
        <w:spacing w:after="240"/>
        <w:ind w:left="0"/>
        <w:jc w:val="both"/>
        <w:rPr>
          <w:rFonts w:cs="Times New Roman"/>
          <w:sz w:val="20"/>
          <w:szCs w:val="20"/>
        </w:rPr>
      </w:pPr>
    </w:p>
    <w:p w:rsidR="00330A27" w:rsidRPr="00F7263B" w:rsidRDefault="00330A27" w:rsidP="00D92D63">
      <w:pPr>
        <w:pStyle w:val="ListParagraph"/>
        <w:numPr>
          <w:ilvl w:val="0"/>
          <w:numId w:val="9"/>
        </w:numPr>
        <w:autoSpaceDE w:val="0"/>
        <w:autoSpaceDN w:val="0"/>
        <w:adjustRightInd w:val="0"/>
        <w:spacing w:after="240"/>
        <w:ind w:left="0" w:firstLine="0"/>
        <w:jc w:val="both"/>
        <w:rPr>
          <w:rFonts w:cs="Times New Roman"/>
          <w:sz w:val="20"/>
          <w:szCs w:val="20"/>
        </w:rPr>
      </w:pPr>
      <w:r w:rsidRPr="00F7263B">
        <w:rPr>
          <w:rFonts w:cs="Times New Roman"/>
          <w:sz w:val="20"/>
          <w:szCs w:val="20"/>
        </w:rPr>
        <w:t>At the ULG level:</w:t>
      </w:r>
    </w:p>
    <w:p w:rsidR="00330A27" w:rsidRPr="00F7263B" w:rsidRDefault="00330A27" w:rsidP="00556F1B">
      <w:pPr>
        <w:pStyle w:val="ListParagraph"/>
        <w:autoSpaceDE w:val="0"/>
        <w:autoSpaceDN w:val="0"/>
        <w:adjustRightInd w:val="0"/>
        <w:spacing w:after="240"/>
        <w:ind w:left="0"/>
        <w:jc w:val="both"/>
        <w:rPr>
          <w:rFonts w:cs="Times New Roman"/>
          <w:sz w:val="20"/>
          <w:szCs w:val="20"/>
        </w:rPr>
      </w:pPr>
    </w:p>
    <w:p w:rsidR="00256957" w:rsidRPr="00F7263B" w:rsidRDefault="00303D2D" w:rsidP="003740C1">
      <w:pPr>
        <w:pStyle w:val="ListParagraph"/>
        <w:numPr>
          <w:ilvl w:val="1"/>
          <w:numId w:val="9"/>
        </w:numPr>
        <w:ind w:hanging="540"/>
        <w:jc w:val="both"/>
        <w:rPr>
          <w:rFonts w:cs="Times New Roman"/>
          <w:sz w:val="20"/>
          <w:szCs w:val="20"/>
        </w:rPr>
      </w:pPr>
      <w:r w:rsidRPr="00F7263B">
        <w:rPr>
          <w:rFonts w:cs="Times New Roman"/>
          <w:sz w:val="20"/>
          <w:szCs w:val="20"/>
        </w:rPr>
        <w:t>The m</w:t>
      </w:r>
      <w:r w:rsidR="00256957" w:rsidRPr="00F7263B">
        <w:rPr>
          <w:rFonts w:cs="Times New Roman"/>
          <w:sz w:val="20"/>
          <w:szCs w:val="20"/>
        </w:rPr>
        <w:t>ayor’s office</w:t>
      </w:r>
      <w:r w:rsidRPr="00F7263B">
        <w:rPr>
          <w:rFonts w:cs="Times New Roman"/>
          <w:sz w:val="20"/>
          <w:szCs w:val="20"/>
        </w:rPr>
        <w:t xml:space="preserve"> in each urban local government</w:t>
      </w:r>
      <w:r w:rsidR="00256957" w:rsidRPr="00F7263B">
        <w:rPr>
          <w:rFonts w:cs="Times New Roman"/>
          <w:sz w:val="20"/>
          <w:szCs w:val="20"/>
        </w:rPr>
        <w:t xml:space="preserve"> will be responsible for the overall performance of urban local governments</w:t>
      </w:r>
      <w:r w:rsidR="009313FC" w:rsidRPr="00F7263B">
        <w:rPr>
          <w:rFonts w:cs="Times New Roman"/>
          <w:sz w:val="20"/>
          <w:szCs w:val="20"/>
        </w:rPr>
        <w:t xml:space="preserve">.  </w:t>
      </w:r>
      <w:r w:rsidRPr="00F7263B">
        <w:rPr>
          <w:rFonts w:cs="Times New Roman"/>
          <w:sz w:val="20"/>
          <w:szCs w:val="20"/>
        </w:rPr>
        <w:t>It</w:t>
      </w:r>
      <w:r w:rsidR="00256957" w:rsidRPr="00F7263B">
        <w:rPr>
          <w:rFonts w:cs="Times New Roman"/>
          <w:sz w:val="20"/>
          <w:szCs w:val="20"/>
        </w:rPr>
        <w:t xml:space="preserve"> will ensure compliance with all financial management, procurement, and Program environmental and social safeguards and regulations</w:t>
      </w:r>
      <w:r w:rsidR="009313FC" w:rsidRPr="00F7263B">
        <w:rPr>
          <w:rFonts w:cs="Times New Roman"/>
          <w:sz w:val="20"/>
          <w:szCs w:val="20"/>
        </w:rPr>
        <w:t xml:space="preserve">.  </w:t>
      </w:r>
      <w:r w:rsidRPr="00F7263B">
        <w:rPr>
          <w:rFonts w:cs="Times New Roman"/>
          <w:sz w:val="20"/>
          <w:szCs w:val="20"/>
        </w:rPr>
        <w:t>It</w:t>
      </w:r>
      <w:r w:rsidR="002212E9" w:rsidRPr="00F7263B">
        <w:rPr>
          <w:rFonts w:cs="Times New Roman"/>
          <w:sz w:val="20"/>
          <w:szCs w:val="20"/>
        </w:rPr>
        <w:t xml:space="preserve"> will also facilitate access to the information required as part of the annual performance assessments.</w:t>
      </w:r>
    </w:p>
    <w:p w:rsidR="00B90D87" w:rsidRPr="00F7263B" w:rsidRDefault="00303D2D" w:rsidP="003740C1">
      <w:pPr>
        <w:pStyle w:val="ListParagraph"/>
        <w:numPr>
          <w:ilvl w:val="1"/>
          <w:numId w:val="9"/>
        </w:numPr>
        <w:ind w:hanging="540"/>
        <w:jc w:val="both"/>
        <w:rPr>
          <w:rFonts w:cs="Times New Roman"/>
          <w:sz w:val="20"/>
          <w:szCs w:val="20"/>
        </w:rPr>
      </w:pPr>
      <w:r w:rsidRPr="00F7263B">
        <w:rPr>
          <w:rFonts w:cs="Times New Roman"/>
          <w:sz w:val="20"/>
          <w:szCs w:val="20"/>
        </w:rPr>
        <w:lastRenderedPageBreak/>
        <w:t xml:space="preserve">The </w:t>
      </w:r>
      <w:r w:rsidR="003B0603" w:rsidRPr="00F7263B">
        <w:rPr>
          <w:rFonts w:cs="Times New Roman"/>
          <w:sz w:val="20"/>
          <w:szCs w:val="20"/>
        </w:rPr>
        <w:t>o</w:t>
      </w:r>
      <w:r w:rsidR="002212E9" w:rsidRPr="00F7263B">
        <w:rPr>
          <w:rFonts w:cs="Times New Roman"/>
          <w:sz w:val="20"/>
          <w:szCs w:val="20"/>
        </w:rPr>
        <w:t>ffice</w:t>
      </w:r>
      <w:r w:rsidR="00330A27" w:rsidRPr="00F7263B">
        <w:rPr>
          <w:rFonts w:cs="Times New Roman"/>
          <w:sz w:val="20"/>
          <w:szCs w:val="20"/>
        </w:rPr>
        <w:t>s</w:t>
      </w:r>
      <w:r w:rsidR="002212E9" w:rsidRPr="00F7263B">
        <w:rPr>
          <w:rFonts w:cs="Times New Roman"/>
          <w:sz w:val="20"/>
          <w:szCs w:val="20"/>
        </w:rPr>
        <w:t xml:space="preserve"> of </w:t>
      </w:r>
      <w:r w:rsidR="003B0603" w:rsidRPr="00F7263B">
        <w:rPr>
          <w:rFonts w:cs="Times New Roman"/>
          <w:sz w:val="20"/>
          <w:szCs w:val="20"/>
        </w:rPr>
        <w:t>the city m</w:t>
      </w:r>
      <w:r w:rsidR="00340C8D" w:rsidRPr="00F7263B">
        <w:rPr>
          <w:rFonts w:cs="Times New Roman"/>
          <w:sz w:val="20"/>
          <w:szCs w:val="20"/>
        </w:rPr>
        <w:t>anager</w:t>
      </w:r>
      <w:r w:rsidR="002212E9" w:rsidRPr="00F7263B">
        <w:rPr>
          <w:rFonts w:cs="Times New Roman"/>
          <w:sz w:val="20"/>
          <w:szCs w:val="20"/>
        </w:rPr>
        <w:t xml:space="preserve"> will </w:t>
      </w:r>
      <w:r w:rsidRPr="00F7263B">
        <w:rPr>
          <w:rFonts w:cs="Times New Roman"/>
          <w:sz w:val="20"/>
          <w:szCs w:val="20"/>
        </w:rPr>
        <w:t>be responsible for day-to-day Program coordination</w:t>
      </w:r>
      <w:r w:rsidR="009313FC" w:rsidRPr="00F7263B">
        <w:rPr>
          <w:rFonts w:cs="Times New Roman"/>
          <w:sz w:val="20"/>
          <w:szCs w:val="20"/>
        </w:rPr>
        <w:t xml:space="preserve">.  </w:t>
      </w:r>
      <w:r w:rsidRPr="00F7263B">
        <w:rPr>
          <w:rFonts w:cs="Times New Roman"/>
          <w:sz w:val="20"/>
          <w:szCs w:val="20"/>
        </w:rPr>
        <w:t>It will lead the participatory planning process, procure and manage works contracts, disseminate information about the Program (including contract awards, physical and financial progress of works contracts, and the like)</w:t>
      </w:r>
      <w:r w:rsidR="009313FC" w:rsidRPr="00F7263B">
        <w:rPr>
          <w:rFonts w:cs="Times New Roman"/>
          <w:sz w:val="20"/>
          <w:szCs w:val="20"/>
        </w:rPr>
        <w:t xml:space="preserve">.  </w:t>
      </w:r>
      <w:r w:rsidRPr="00F7263B">
        <w:rPr>
          <w:rFonts w:cs="Times New Roman"/>
          <w:sz w:val="20"/>
          <w:szCs w:val="20"/>
        </w:rPr>
        <w:t xml:space="preserve">It will also ensure that such contracts are implemented in accordance with the Program’s environmental and </w:t>
      </w:r>
      <w:r w:rsidR="003B0603" w:rsidRPr="00F7263B">
        <w:rPr>
          <w:rFonts w:cs="Times New Roman"/>
          <w:sz w:val="20"/>
          <w:szCs w:val="20"/>
        </w:rPr>
        <w:t>social s</w:t>
      </w:r>
      <w:r w:rsidRPr="00F7263B">
        <w:rPr>
          <w:rFonts w:cs="Times New Roman"/>
          <w:sz w:val="20"/>
          <w:szCs w:val="20"/>
        </w:rPr>
        <w:t>afeguards</w:t>
      </w:r>
      <w:r w:rsidR="009313FC" w:rsidRPr="00F7263B">
        <w:rPr>
          <w:rFonts w:cs="Times New Roman"/>
          <w:sz w:val="20"/>
          <w:szCs w:val="20"/>
        </w:rPr>
        <w:t xml:space="preserve">.  </w:t>
      </w:r>
    </w:p>
    <w:p w:rsidR="002212E9" w:rsidRPr="00F7263B" w:rsidRDefault="00303D2D" w:rsidP="003740C1">
      <w:pPr>
        <w:pStyle w:val="ListParagraph"/>
        <w:numPr>
          <w:ilvl w:val="1"/>
          <w:numId w:val="9"/>
        </w:numPr>
        <w:ind w:hanging="540"/>
        <w:jc w:val="both"/>
        <w:rPr>
          <w:rFonts w:cs="Times New Roman"/>
          <w:sz w:val="20"/>
          <w:szCs w:val="20"/>
        </w:rPr>
      </w:pPr>
      <w:r w:rsidRPr="00F7263B">
        <w:rPr>
          <w:rFonts w:cs="Times New Roman"/>
          <w:sz w:val="20"/>
          <w:szCs w:val="20"/>
        </w:rPr>
        <w:t xml:space="preserve">The </w:t>
      </w:r>
      <w:r w:rsidR="00F84279" w:rsidRPr="00F7263B">
        <w:rPr>
          <w:rFonts w:cs="Times New Roman"/>
          <w:sz w:val="20"/>
          <w:szCs w:val="20"/>
        </w:rPr>
        <w:t>o</w:t>
      </w:r>
      <w:r w:rsidR="002212E9" w:rsidRPr="00F7263B">
        <w:rPr>
          <w:rFonts w:cs="Times New Roman"/>
          <w:sz w:val="20"/>
          <w:szCs w:val="20"/>
        </w:rPr>
        <w:t>ffice</w:t>
      </w:r>
      <w:r w:rsidR="00330A27" w:rsidRPr="00F7263B">
        <w:rPr>
          <w:rFonts w:cs="Times New Roman"/>
          <w:sz w:val="20"/>
          <w:szCs w:val="20"/>
        </w:rPr>
        <w:t>s</w:t>
      </w:r>
      <w:r w:rsidR="00F84279" w:rsidRPr="00F7263B">
        <w:rPr>
          <w:rFonts w:cs="Times New Roman"/>
          <w:sz w:val="20"/>
          <w:szCs w:val="20"/>
        </w:rPr>
        <w:t xml:space="preserve"> of f</w:t>
      </w:r>
      <w:r w:rsidR="002212E9" w:rsidRPr="00F7263B">
        <w:rPr>
          <w:rFonts w:cs="Times New Roman"/>
          <w:sz w:val="20"/>
          <w:szCs w:val="20"/>
        </w:rPr>
        <w:t xml:space="preserve">inance and </w:t>
      </w:r>
      <w:r w:rsidR="00F84279" w:rsidRPr="00F7263B">
        <w:rPr>
          <w:rFonts w:cs="Times New Roman"/>
          <w:sz w:val="20"/>
          <w:szCs w:val="20"/>
        </w:rPr>
        <w:t>e</w:t>
      </w:r>
      <w:r w:rsidR="00340C8D" w:rsidRPr="00F7263B">
        <w:rPr>
          <w:rFonts w:cs="Times New Roman"/>
          <w:sz w:val="20"/>
          <w:szCs w:val="20"/>
        </w:rPr>
        <w:t xml:space="preserve">conomic </w:t>
      </w:r>
      <w:r w:rsidR="00F84279" w:rsidRPr="00F7263B">
        <w:rPr>
          <w:rFonts w:cs="Times New Roman"/>
          <w:sz w:val="20"/>
          <w:szCs w:val="20"/>
        </w:rPr>
        <w:t>d</w:t>
      </w:r>
      <w:r w:rsidR="002212E9" w:rsidRPr="00F7263B">
        <w:rPr>
          <w:rFonts w:cs="Times New Roman"/>
          <w:sz w:val="20"/>
          <w:szCs w:val="20"/>
        </w:rPr>
        <w:t>evelopment will be responsible for ensuring that all Program funds are included in IBEX and that financial reports are submitted to ORAG as soon as possible after the end of the Ethiopian fiscal year</w:t>
      </w:r>
      <w:r w:rsidR="009313FC" w:rsidRPr="00F7263B">
        <w:rPr>
          <w:rFonts w:cs="Times New Roman"/>
          <w:sz w:val="20"/>
          <w:szCs w:val="20"/>
        </w:rPr>
        <w:t xml:space="preserve">.  </w:t>
      </w:r>
    </w:p>
    <w:p w:rsidR="00256957" w:rsidRPr="00F7263B" w:rsidRDefault="00303D2D" w:rsidP="003740C1">
      <w:pPr>
        <w:pStyle w:val="ListParagraph"/>
        <w:numPr>
          <w:ilvl w:val="1"/>
          <w:numId w:val="9"/>
        </w:numPr>
        <w:ind w:hanging="540"/>
        <w:jc w:val="both"/>
        <w:rPr>
          <w:rFonts w:cs="Times New Roman"/>
          <w:sz w:val="20"/>
          <w:szCs w:val="20"/>
        </w:rPr>
      </w:pPr>
      <w:r w:rsidRPr="00F7263B">
        <w:rPr>
          <w:rFonts w:cs="Times New Roman"/>
          <w:sz w:val="20"/>
          <w:szCs w:val="20"/>
        </w:rPr>
        <w:t>The c</w:t>
      </w:r>
      <w:r w:rsidR="00256957" w:rsidRPr="00F7263B">
        <w:rPr>
          <w:rFonts w:cs="Times New Roman"/>
          <w:sz w:val="20"/>
          <w:szCs w:val="20"/>
        </w:rPr>
        <w:t>ity council</w:t>
      </w:r>
      <w:r w:rsidR="00330A27" w:rsidRPr="00F7263B">
        <w:rPr>
          <w:rFonts w:cs="Times New Roman"/>
          <w:sz w:val="20"/>
          <w:szCs w:val="20"/>
        </w:rPr>
        <w:t>s</w:t>
      </w:r>
      <w:r w:rsidR="00256957" w:rsidRPr="00F7263B">
        <w:rPr>
          <w:rFonts w:cs="Times New Roman"/>
          <w:sz w:val="20"/>
          <w:szCs w:val="20"/>
        </w:rPr>
        <w:t xml:space="preserve"> will be responsible for reviewing and approving cities’ capital investment plans, revenue enhancement plans, and asset management plans</w:t>
      </w:r>
      <w:r w:rsidR="009313FC" w:rsidRPr="00F7263B">
        <w:rPr>
          <w:rFonts w:cs="Times New Roman"/>
          <w:sz w:val="20"/>
          <w:szCs w:val="20"/>
        </w:rPr>
        <w:t xml:space="preserve">.  </w:t>
      </w:r>
    </w:p>
    <w:p w:rsidR="0056586D" w:rsidRPr="00F7263B" w:rsidRDefault="0056586D" w:rsidP="00556F1B">
      <w:pPr>
        <w:pStyle w:val="ListParagraph"/>
        <w:tabs>
          <w:tab w:val="right" w:pos="90"/>
          <w:tab w:val="right" w:pos="270"/>
        </w:tabs>
        <w:ind w:left="0"/>
        <w:jc w:val="both"/>
        <w:rPr>
          <w:rFonts w:cs="Times New Roman"/>
          <w:sz w:val="20"/>
          <w:szCs w:val="20"/>
        </w:rPr>
      </w:pPr>
    </w:p>
    <w:p w:rsidR="009B3EE8" w:rsidRPr="00F7263B" w:rsidRDefault="00053EB7" w:rsidP="00D92D63">
      <w:pPr>
        <w:pStyle w:val="ListParagraph"/>
        <w:numPr>
          <w:ilvl w:val="0"/>
          <w:numId w:val="9"/>
        </w:numPr>
        <w:autoSpaceDE w:val="0"/>
        <w:autoSpaceDN w:val="0"/>
        <w:adjustRightInd w:val="0"/>
        <w:ind w:left="0" w:firstLine="0"/>
        <w:jc w:val="both"/>
        <w:rPr>
          <w:sz w:val="20"/>
          <w:szCs w:val="20"/>
        </w:rPr>
      </w:pPr>
      <w:r w:rsidRPr="00F7263B">
        <w:rPr>
          <w:sz w:val="20"/>
          <w:szCs w:val="20"/>
        </w:rPr>
        <w:t>ULGs require a wide range of expertise to successfully carry out their mandates</w:t>
      </w:r>
      <w:r w:rsidR="009313FC" w:rsidRPr="00F7263B">
        <w:rPr>
          <w:sz w:val="20"/>
          <w:szCs w:val="20"/>
        </w:rPr>
        <w:t xml:space="preserve">.  </w:t>
      </w:r>
      <w:r w:rsidRPr="00F7263B">
        <w:rPr>
          <w:sz w:val="20"/>
          <w:szCs w:val="20"/>
        </w:rPr>
        <w:t>An analysis of staffing carried out as part of Program preparation reveals that most ULGs have the necessary staff, but a few need to fill key positions to access Program funds</w:t>
      </w:r>
      <w:r w:rsidR="009313FC" w:rsidRPr="00F7263B">
        <w:rPr>
          <w:sz w:val="20"/>
          <w:szCs w:val="20"/>
        </w:rPr>
        <w:t xml:space="preserve">.  </w:t>
      </w:r>
      <w:r w:rsidR="00DB78D6" w:rsidRPr="00F7263B">
        <w:rPr>
          <w:sz w:val="20"/>
          <w:szCs w:val="20"/>
        </w:rPr>
        <w:t>As would be expected, the 26 cities joining the Program’s performance grant mechanism have the greatest percentage of unfilled positions</w:t>
      </w:r>
      <w:r w:rsidR="009313FC" w:rsidRPr="00F7263B">
        <w:rPr>
          <w:sz w:val="20"/>
          <w:szCs w:val="20"/>
        </w:rPr>
        <w:t xml:space="preserve">.  </w:t>
      </w:r>
      <w:r w:rsidR="009B3EE8" w:rsidRPr="00F7263B">
        <w:rPr>
          <w:sz w:val="20"/>
          <w:szCs w:val="20"/>
        </w:rPr>
        <w:t>All ULGs are expected to have the necessary core staff in place by Program effectiveness; ULGs that do not meet this minimum condition will not be able to access Program funds</w:t>
      </w:r>
      <w:r w:rsidR="009313FC" w:rsidRPr="00F7263B">
        <w:rPr>
          <w:sz w:val="20"/>
          <w:szCs w:val="20"/>
        </w:rPr>
        <w:t xml:space="preserve">.  </w:t>
      </w:r>
    </w:p>
    <w:p w:rsidR="00A23256" w:rsidRPr="00F7263B" w:rsidRDefault="00A23256" w:rsidP="00556F1B">
      <w:pPr>
        <w:pStyle w:val="ListParagraph"/>
        <w:tabs>
          <w:tab w:val="right" w:pos="90"/>
          <w:tab w:val="right" w:pos="270"/>
        </w:tabs>
        <w:ind w:left="0"/>
        <w:jc w:val="both"/>
        <w:rPr>
          <w:rFonts w:cs="Times New Roman"/>
          <w:sz w:val="20"/>
          <w:szCs w:val="20"/>
        </w:rPr>
      </w:pPr>
    </w:p>
    <w:p w:rsidR="00D51A17" w:rsidRPr="00F7263B" w:rsidRDefault="001D2940" w:rsidP="00556F1B">
      <w:pPr>
        <w:pStyle w:val="Heading2"/>
        <w:jc w:val="both"/>
        <w:rPr>
          <w:sz w:val="20"/>
          <w:szCs w:val="20"/>
        </w:rPr>
      </w:pPr>
      <w:bookmarkStart w:id="17" w:name="_Toc380167576"/>
      <w:r w:rsidRPr="00F7263B">
        <w:rPr>
          <w:sz w:val="20"/>
          <w:szCs w:val="20"/>
        </w:rPr>
        <w:t>Results Monitoring and Evaluation</w:t>
      </w:r>
      <w:bookmarkEnd w:id="17"/>
    </w:p>
    <w:p w:rsidR="00D51A17" w:rsidRPr="00F7263B" w:rsidRDefault="00D51A17" w:rsidP="00556F1B">
      <w:pPr>
        <w:pStyle w:val="ListParagraph"/>
        <w:autoSpaceDE w:val="0"/>
        <w:autoSpaceDN w:val="0"/>
        <w:adjustRightInd w:val="0"/>
        <w:ind w:left="0"/>
        <w:jc w:val="both"/>
        <w:rPr>
          <w:rFonts w:cs="Times New Roman"/>
          <w:sz w:val="20"/>
          <w:szCs w:val="20"/>
        </w:rPr>
      </w:pPr>
    </w:p>
    <w:p w:rsidR="002E6051" w:rsidRPr="00F7263B" w:rsidRDefault="00170E91" w:rsidP="00D92D63">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Objectives</w:t>
      </w:r>
      <w:r w:rsidR="009313FC" w:rsidRPr="00F7263B">
        <w:rPr>
          <w:sz w:val="20"/>
          <w:szCs w:val="20"/>
        </w:rPr>
        <w:t xml:space="preserve">.  </w:t>
      </w:r>
      <w:r w:rsidRPr="00F7263B">
        <w:rPr>
          <w:sz w:val="20"/>
          <w:szCs w:val="20"/>
        </w:rPr>
        <w:t xml:space="preserve">The objective of the monitoring and evaluation (M&amp;E) system is to generate timely and relevant feedback on the </w:t>
      </w:r>
      <w:r w:rsidR="002C52FB" w:rsidRPr="00F7263B">
        <w:rPr>
          <w:sz w:val="20"/>
          <w:szCs w:val="20"/>
        </w:rPr>
        <w:t>P</w:t>
      </w:r>
      <w:r w:rsidRPr="00F7263B">
        <w:rPr>
          <w:sz w:val="20"/>
          <w:szCs w:val="20"/>
        </w:rPr>
        <w:t>ro</w:t>
      </w:r>
      <w:r w:rsidR="002C52FB" w:rsidRPr="00F7263B">
        <w:rPr>
          <w:sz w:val="20"/>
          <w:szCs w:val="20"/>
        </w:rPr>
        <w:t xml:space="preserve">gram’s </w:t>
      </w:r>
      <w:r w:rsidRPr="00F7263B">
        <w:rPr>
          <w:sz w:val="20"/>
          <w:szCs w:val="20"/>
        </w:rPr>
        <w:t xml:space="preserve">implementation progress and achievement of expected outcomes to enable the </w:t>
      </w:r>
      <w:r w:rsidR="002C52FB" w:rsidRPr="00F7263B">
        <w:rPr>
          <w:sz w:val="20"/>
          <w:szCs w:val="20"/>
        </w:rPr>
        <w:t>stakeholder</w:t>
      </w:r>
      <w:r w:rsidRPr="00F7263B">
        <w:rPr>
          <w:sz w:val="20"/>
          <w:szCs w:val="20"/>
        </w:rPr>
        <w:t xml:space="preserve"> to address issues as quickly as possible once they arise</w:t>
      </w:r>
      <w:r w:rsidR="009313FC" w:rsidRPr="00F7263B">
        <w:rPr>
          <w:sz w:val="20"/>
          <w:szCs w:val="20"/>
        </w:rPr>
        <w:t xml:space="preserve">.  </w:t>
      </w:r>
    </w:p>
    <w:p w:rsidR="002E6051" w:rsidRPr="00F7263B" w:rsidRDefault="002E6051" w:rsidP="002E6051">
      <w:pPr>
        <w:pStyle w:val="ListParagraph"/>
        <w:autoSpaceDE w:val="0"/>
        <w:autoSpaceDN w:val="0"/>
        <w:adjustRightInd w:val="0"/>
        <w:ind w:left="0"/>
        <w:jc w:val="both"/>
        <w:rPr>
          <w:rFonts w:cs="Times New Roman"/>
          <w:sz w:val="20"/>
          <w:szCs w:val="20"/>
        </w:rPr>
      </w:pPr>
    </w:p>
    <w:p w:rsidR="00883338" w:rsidRPr="00F7263B" w:rsidRDefault="002E6051" w:rsidP="00D92D63">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Design</w:t>
      </w:r>
      <w:r w:rsidR="009313FC" w:rsidRPr="00F7263B">
        <w:rPr>
          <w:b/>
          <w:sz w:val="20"/>
          <w:szCs w:val="20"/>
        </w:rPr>
        <w:t xml:space="preserve">.  </w:t>
      </w:r>
      <w:r w:rsidR="00170E91" w:rsidRPr="00F7263B">
        <w:rPr>
          <w:sz w:val="20"/>
          <w:szCs w:val="20"/>
        </w:rPr>
        <w:t xml:space="preserve">Monitoring and reporting will take place at </w:t>
      </w:r>
      <w:r w:rsidR="002C52FB" w:rsidRPr="00F7263B">
        <w:rPr>
          <w:sz w:val="20"/>
          <w:szCs w:val="20"/>
        </w:rPr>
        <w:t>all three levels of government</w:t>
      </w:r>
      <w:r w:rsidR="009313FC" w:rsidRPr="00F7263B">
        <w:rPr>
          <w:sz w:val="20"/>
          <w:szCs w:val="20"/>
        </w:rPr>
        <w:t xml:space="preserve">.  </w:t>
      </w:r>
      <w:r w:rsidR="002C52FB" w:rsidRPr="00F7263B">
        <w:rPr>
          <w:sz w:val="20"/>
          <w:szCs w:val="20"/>
        </w:rPr>
        <w:t>As under ULGDP, the M&amp;E specialist based at each ULG will be the key person in the system, collecting and reporting primary data related to the indicators of the Program’s key results areas</w:t>
      </w:r>
      <w:r w:rsidR="009313FC" w:rsidRPr="00F7263B">
        <w:rPr>
          <w:sz w:val="20"/>
          <w:szCs w:val="20"/>
        </w:rPr>
        <w:t xml:space="preserve">.  </w:t>
      </w:r>
      <w:r w:rsidR="002C52FB" w:rsidRPr="00F7263B">
        <w:rPr>
          <w:sz w:val="20"/>
          <w:szCs w:val="20"/>
        </w:rPr>
        <w:t xml:space="preserve">The M&amp;E specialist will </w:t>
      </w:r>
      <w:r w:rsidRPr="00F7263B">
        <w:rPr>
          <w:sz w:val="20"/>
          <w:szCs w:val="20"/>
        </w:rPr>
        <w:t>be responsible for the</w:t>
      </w:r>
      <w:r w:rsidR="000C528B" w:rsidRPr="00F7263B">
        <w:rPr>
          <w:sz w:val="20"/>
          <w:szCs w:val="20"/>
        </w:rPr>
        <w:t xml:space="preserve"> M&amp;E system at the city level, and </w:t>
      </w:r>
      <w:r w:rsidR="002C52FB" w:rsidRPr="00F7263B">
        <w:rPr>
          <w:sz w:val="20"/>
          <w:szCs w:val="20"/>
        </w:rPr>
        <w:t xml:space="preserve">prepare comprehensive </w:t>
      </w:r>
      <w:r w:rsidR="00BB7B94" w:rsidRPr="00F7263B">
        <w:rPr>
          <w:sz w:val="20"/>
          <w:szCs w:val="20"/>
        </w:rPr>
        <w:t xml:space="preserve">Program </w:t>
      </w:r>
      <w:r w:rsidR="002C52FB" w:rsidRPr="00F7263B">
        <w:rPr>
          <w:sz w:val="20"/>
          <w:szCs w:val="20"/>
        </w:rPr>
        <w:t>reports</w:t>
      </w:r>
      <w:r w:rsidR="00BB7B94" w:rsidRPr="00F7263B">
        <w:rPr>
          <w:sz w:val="20"/>
          <w:szCs w:val="20"/>
        </w:rPr>
        <w:t xml:space="preserve"> twice a year (the midyear report and the annual report)</w:t>
      </w:r>
      <w:r w:rsidR="002C52FB" w:rsidRPr="00F7263B">
        <w:rPr>
          <w:sz w:val="20"/>
          <w:szCs w:val="20"/>
        </w:rPr>
        <w:t xml:space="preserve"> containing </w:t>
      </w:r>
      <w:r w:rsidR="000C528B" w:rsidRPr="00F7263B">
        <w:rPr>
          <w:sz w:val="20"/>
          <w:szCs w:val="20"/>
        </w:rPr>
        <w:t>agreed</w:t>
      </w:r>
      <w:r w:rsidR="002C52FB" w:rsidRPr="00F7263B">
        <w:rPr>
          <w:sz w:val="20"/>
          <w:szCs w:val="20"/>
        </w:rPr>
        <w:t xml:space="preserve"> data and transmit it to the regional government</w:t>
      </w:r>
      <w:r w:rsidR="009313FC" w:rsidRPr="00F7263B">
        <w:rPr>
          <w:sz w:val="20"/>
          <w:szCs w:val="20"/>
        </w:rPr>
        <w:t xml:space="preserve">.  </w:t>
      </w:r>
      <w:r w:rsidR="002C52FB" w:rsidRPr="00F7263B">
        <w:rPr>
          <w:sz w:val="20"/>
          <w:szCs w:val="20"/>
        </w:rPr>
        <w:t xml:space="preserve">The </w:t>
      </w:r>
      <w:r w:rsidR="0084758F" w:rsidRPr="00F7263B">
        <w:rPr>
          <w:sz w:val="20"/>
          <w:szCs w:val="20"/>
        </w:rPr>
        <w:t xml:space="preserve">M&amp;E specialists </w:t>
      </w:r>
      <w:r w:rsidR="000C528B" w:rsidRPr="00F7263B">
        <w:rPr>
          <w:sz w:val="20"/>
          <w:szCs w:val="20"/>
        </w:rPr>
        <w:t xml:space="preserve">at the </w:t>
      </w:r>
      <w:r w:rsidRPr="00F7263B">
        <w:rPr>
          <w:sz w:val="20"/>
          <w:szCs w:val="20"/>
        </w:rPr>
        <w:t xml:space="preserve">federal and </w:t>
      </w:r>
      <w:r w:rsidR="000C528B" w:rsidRPr="00F7263B">
        <w:rPr>
          <w:sz w:val="20"/>
          <w:szCs w:val="20"/>
        </w:rPr>
        <w:t>regional level</w:t>
      </w:r>
      <w:r w:rsidR="00BB7B94" w:rsidRPr="00F7263B">
        <w:rPr>
          <w:sz w:val="20"/>
          <w:szCs w:val="20"/>
        </w:rPr>
        <w:t>s</w:t>
      </w:r>
      <w:r w:rsidRPr="00F7263B">
        <w:rPr>
          <w:sz w:val="20"/>
          <w:szCs w:val="20"/>
        </w:rPr>
        <w:t xml:space="preserve">(in the federal or regional mobile teams) </w:t>
      </w:r>
      <w:r w:rsidR="000C528B" w:rsidRPr="00F7263B">
        <w:rPr>
          <w:sz w:val="20"/>
          <w:szCs w:val="20"/>
        </w:rPr>
        <w:t xml:space="preserve">will </w:t>
      </w:r>
      <w:r w:rsidRPr="00F7263B">
        <w:rPr>
          <w:sz w:val="20"/>
          <w:szCs w:val="20"/>
        </w:rPr>
        <w:t>assist</w:t>
      </w:r>
      <w:r w:rsidR="00126FE8" w:rsidRPr="00F7263B">
        <w:rPr>
          <w:sz w:val="20"/>
          <w:szCs w:val="20"/>
        </w:rPr>
        <w:t xml:space="preserve"> </w:t>
      </w:r>
      <w:r w:rsidR="00BB7B94" w:rsidRPr="00F7263B">
        <w:rPr>
          <w:sz w:val="20"/>
          <w:szCs w:val="20"/>
        </w:rPr>
        <w:t xml:space="preserve">in </w:t>
      </w:r>
      <w:r w:rsidR="000C528B" w:rsidRPr="00F7263B">
        <w:rPr>
          <w:rFonts w:cs="Times New Roman"/>
          <w:sz w:val="20"/>
          <w:szCs w:val="20"/>
        </w:rPr>
        <w:t>establish</w:t>
      </w:r>
      <w:r w:rsidR="00BB7B94" w:rsidRPr="00F7263B">
        <w:rPr>
          <w:rFonts w:cs="Times New Roman"/>
          <w:sz w:val="20"/>
          <w:szCs w:val="20"/>
        </w:rPr>
        <w:t>ing a</w:t>
      </w:r>
      <w:r w:rsidR="00126FE8" w:rsidRPr="00F7263B">
        <w:rPr>
          <w:rFonts w:cs="Times New Roman"/>
          <w:sz w:val="20"/>
          <w:szCs w:val="20"/>
        </w:rPr>
        <w:t xml:space="preserve">  </w:t>
      </w:r>
      <w:r w:rsidR="000C528B" w:rsidRPr="00F7263B">
        <w:rPr>
          <w:rFonts w:cs="Times New Roman"/>
          <w:sz w:val="20"/>
          <w:szCs w:val="20"/>
        </w:rPr>
        <w:t xml:space="preserve">computerized M&amp;E system, </w:t>
      </w:r>
      <w:r w:rsidR="000C528B" w:rsidRPr="00F7263B">
        <w:rPr>
          <w:sz w:val="20"/>
          <w:szCs w:val="20"/>
        </w:rPr>
        <w:t xml:space="preserve">provide training and back-stopping support to staff at the </w:t>
      </w:r>
      <w:r w:rsidRPr="00F7263B">
        <w:rPr>
          <w:sz w:val="20"/>
          <w:szCs w:val="20"/>
        </w:rPr>
        <w:t xml:space="preserve">regional, and in turn, </w:t>
      </w:r>
      <w:r w:rsidR="000C528B" w:rsidRPr="00F7263B">
        <w:rPr>
          <w:sz w:val="20"/>
          <w:szCs w:val="20"/>
        </w:rPr>
        <w:t>local level</w:t>
      </w:r>
      <w:r w:rsidR="00505B07" w:rsidRPr="00F7263B">
        <w:rPr>
          <w:sz w:val="20"/>
          <w:szCs w:val="20"/>
        </w:rPr>
        <w:t>s</w:t>
      </w:r>
      <w:r w:rsidR="000C528B" w:rsidRPr="00F7263B">
        <w:rPr>
          <w:sz w:val="20"/>
          <w:szCs w:val="20"/>
        </w:rPr>
        <w:t xml:space="preserve"> to ensure that the city-specific reports are timely, comprehensive, and accurate</w:t>
      </w:r>
      <w:r w:rsidR="009313FC" w:rsidRPr="00F7263B">
        <w:rPr>
          <w:sz w:val="20"/>
          <w:szCs w:val="20"/>
        </w:rPr>
        <w:t xml:space="preserve">.  </w:t>
      </w:r>
      <w:r w:rsidRPr="00F7263B">
        <w:rPr>
          <w:sz w:val="20"/>
          <w:szCs w:val="20"/>
        </w:rPr>
        <w:t>The regional M&amp;E specialists will</w:t>
      </w:r>
      <w:r w:rsidR="00126FE8" w:rsidRPr="00F7263B">
        <w:rPr>
          <w:sz w:val="20"/>
          <w:szCs w:val="20"/>
        </w:rPr>
        <w:t xml:space="preserve"> </w:t>
      </w:r>
      <w:r w:rsidR="0084758F" w:rsidRPr="00F7263B">
        <w:rPr>
          <w:sz w:val="20"/>
          <w:szCs w:val="20"/>
        </w:rPr>
        <w:t xml:space="preserve">compile each city’s progress report into a regional progress report and submit it to the </w:t>
      </w:r>
      <w:r w:rsidR="00821460" w:rsidRPr="00F7263B">
        <w:rPr>
          <w:sz w:val="20"/>
          <w:szCs w:val="20"/>
        </w:rPr>
        <w:t>MUDHCo</w:t>
      </w:r>
      <w:r w:rsidR="009313FC" w:rsidRPr="00F7263B">
        <w:rPr>
          <w:sz w:val="20"/>
          <w:szCs w:val="20"/>
        </w:rPr>
        <w:t xml:space="preserve">.  </w:t>
      </w:r>
      <w:r w:rsidR="000C528B" w:rsidRPr="00F7263B">
        <w:rPr>
          <w:sz w:val="20"/>
          <w:szCs w:val="20"/>
        </w:rPr>
        <w:t>Similarly, t</w:t>
      </w:r>
      <w:r w:rsidR="0084758F" w:rsidRPr="00F7263B">
        <w:rPr>
          <w:sz w:val="20"/>
          <w:szCs w:val="20"/>
        </w:rPr>
        <w:t xml:space="preserve">he </w:t>
      </w:r>
      <w:r w:rsidRPr="00F7263B">
        <w:rPr>
          <w:sz w:val="20"/>
          <w:szCs w:val="20"/>
        </w:rPr>
        <w:t xml:space="preserve">federal </w:t>
      </w:r>
      <w:r w:rsidR="0084758F" w:rsidRPr="00F7263B">
        <w:rPr>
          <w:sz w:val="20"/>
          <w:szCs w:val="20"/>
        </w:rPr>
        <w:t xml:space="preserve">M&amp;E specialists </w:t>
      </w:r>
      <w:r w:rsidRPr="00F7263B">
        <w:rPr>
          <w:sz w:val="20"/>
          <w:szCs w:val="20"/>
        </w:rPr>
        <w:t>will</w:t>
      </w:r>
      <w:r w:rsidR="000C528B" w:rsidRPr="00F7263B">
        <w:rPr>
          <w:sz w:val="20"/>
          <w:szCs w:val="20"/>
        </w:rPr>
        <w:t xml:space="preserve">, depending on need, </w:t>
      </w:r>
      <w:r w:rsidRPr="00F7263B">
        <w:rPr>
          <w:sz w:val="20"/>
          <w:szCs w:val="20"/>
        </w:rPr>
        <w:t xml:space="preserve">assist </w:t>
      </w:r>
      <w:r w:rsidR="000C528B" w:rsidRPr="00F7263B">
        <w:rPr>
          <w:sz w:val="20"/>
          <w:szCs w:val="20"/>
        </w:rPr>
        <w:t xml:space="preserve">in </w:t>
      </w:r>
      <w:r w:rsidR="0084758F" w:rsidRPr="00F7263B">
        <w:rPr>
          <w:sz w:val="20"/>
          <w:szCs w:val="20"/>
        </w:rPr>
        <w:t>compil</w:t>
      </w:r>
      <w:r w:rsidR="000C528B" w:rsidRPr="00F7263B">
        <w:rPr>
          <w:sz w:val="20"/>
          <w:szCs w:val="20"/>
        </w:rPr>
        <w:t>ing</w:t>
      </w:r>
      <w:r w:rsidR="0084758F" w:rsidRPr="00F7263B">
        <w:rPr>
          <w:sz w:val="20"/>
          <w:szCs w:val="20"/>
        </w:rPr>
        <w:t xml:space="preserve"> the regional progress reports into a national report and submit</w:t>
      </w:r>
      <w:r w:rsidR="000C528B" w:rsidRPr="00F7263B">
        <w:rPr>
          <w:sz w:val="20"/>
          <w:szCs w:val="20"/>
        </w:rPr>
        <w:t>ting</w:t>
      </w:r>
      <w:r w:rsidR="0084758F" w:rsidRPr="00F7263B">
        <w:rPr>
          <w:sz w:val="20"/>
          <w:szCs w:val="20"/>
        </w:rPr>
        <w:t xml:space="preserve"> it to the World Bank for review</w:t>
      </w:r>
      <w:r w:rsidR="009313FC" w:rsidRPr="00F7263B">
        <w:rPr>
          <w:sz w:val="20"/>
          <w:szCs w:val="20"/>
        </w:rPr>
        <w:t xml:space="preserve">.  </w:t>
      </w:r>
    </w:p>
    <w:p w:rsidR="00883338" w:rsidRPr="00F7263B" w:rsidRDefault="00883338" w:rsidP="00883338">
      <w:pPr>
        <w:pStyle w:val="ListParagraph"/>
        <w:autoSpaceDE w:val="0"/>
        <w:autoSpaceDN w:val="0"/>
        <w:adjustRightInd w:val="0"/>
        <w:ind w:left="0"/>
        <w:jc w:val="both"/>
        <w:rPr>
          <w:rFonts w:cs="Times New Roman"/>
          <w:sz w:val="20"/>
          <w:szCs w:val="20"/>
        </w:rPr>
      </w:pPr>
    </w:p>
    <w:p w:rsidR="00055564" w:rsidRPr="00F7263B" w:rsidRDefault="00055564"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M&amp;E system and arrangements for ULGDP II will consist of four different layers</w:t>
      </w:r>
      <w:r w:rsidRPr="00F7263B">
        <w:rPr>
          <w:rFonts w:cs="Times New Roman"/>
          <w:sz w:val="20"/>
          <w:szCs w:val="20"/>
        </w:rPr>
        <w:t xml:space="preserve">: </w:t>
      </w:r>
    </w:p>
    <w:p w:rsidR="003B0603" w:rsidRPr="00F7263B" w:rsidRDefault="003B0603" w:rsidP="003B0603">
      <w:pPr>
        <w:pStyle w:val="ListParagraph"/>
        <w:rPr>
          <w:rFonts w:cs="Times New Roman"/>
          <w:sz w:val="20"/>
          <w:szCs w:val="20"/>
        </w:rPr>
      </w:pPr>
    </w:p>
    <w:p w:rsidR="006E7278" w:rsidRPr="00F7263B" w:rsidRDefault="00055564" w:rsidP="00056FC8">
      <w:pPr>
        <w:pStyle w:val="NoSpacing"/>
        <w:numPr>
          <w:ilvl w:val="0"/>
          <w:numId w:val="60"/>
        </w:numPr>
        <w:ind w:left="1440" w:hanging="720"/>
        <w:rPr>
          <w:rFonts w:ascii="Times New Roman" w:hAnsi="Times New Roman" w:cs="Times New Roman"/>
          <w:sz w:val="20"/>
          <w:szCs w:val="20"/>
        </w:rPr>
      </w:pPr>
      <w:r w:rsidRPr="00F7263B">
        <w:rPr>
          <w:rFonts w:ascii="Times New Roman" w:hAnsi="Times New Roman" w:cs="Times New Roman"/>
          <w:i/>
          <w:sz w:val="20"/>
          <w:szCs w:val="20"/>
        </w:rPr>
        <w:t>ULG level</w:t>
      </w:r>
      <w:r w:rsidR="009313FC" w:rsidRPr="00F7263B">
        <w:rPr>
          <w:rFonts w:ascii="Times New Roman" w:hAnsi="Times New Roman" w:cs="Times New Roman"/>
          <w:i/>
          <w:sz w:val="20"/>
          <w:szCs w:val="20"/>
        </w:rPr>
        <w:t xml:space="preserve">.  </w:t>
      </w:r>
      <w:r w:rsidR="003B0603" w:rsidRPr="00F7263B">
        <w:rPr>
          <w:rFonts w:ascii="Times New Roman" w:hAnsi="Times New Roman" w:cs="Times New Roman"/>
          <w:sz w:val="20"/>
          <w:szCs w:val="20"/>
        </w:rPr>
        <w:t>T</w:t>
      </w:r>
      <w:r w:rsidRPr="00F7263B">
        <w:rPr>
          <w:rFonts w:ascii="Times New Roman" w:hAnsi="Times New Roman" w:cs="Times New Roman"/>
          <w:sz w:val="20"/>
          <w:szCs w:val="20"/>
        </w:rPr>
        <w:t>hese systems already exist to capture information necessary for ULGDP</w:t>
      </w:r>
      <w:r w:rsidR="009313FC" w:rsidRPr="00F7263B">
        <w:rPr>
          <w:rFonts w:ascii="Times New Roman" w:hAnsi="Times New Roman" w:cs="Times New Roman"/>
          <w:sz w:val="20"/>
          <w:szCs w:val="20"/>
        </w:rPr>
        <w:t xml:space="preserve">.  </w:t>
      </w:r>
      <w:r w:rsidRPr="00F7263B">
        <w:rPr>
          <w:rFonts w:ascii="Times New Roman" w:hAnsi="Times New Roman" w:cs="Times New Roman"/>
          <w:sz w:val="20"/>
          <w:szCs w:val="20"/>
        </w:rPr>
        <w:t>ULGs will use these systems to report on Program implementation, and to capture administrative data and data on local infrastructure and services delivered by Program</w:t>
      </w:r>
      <w:r w:rsidR="003B0603" w:rsidRPr="00F7263B">
        <w:rPr>
          <w:rFonts w:ascii="Times New Roman" w:hAnsi="Times New Roman" w:cs="Times New Roman"/>
          <w:sz w:val="20"/>
          <w:szCs w:val="20"/>
        </w:rPr>
        <w:t xml:space="preserve"> funds.</w:t>
      </w:r>
    </w:p>
    <w:p w:rsidR="006E7278" w:rsidRPr="00F7263B" w:rsidRDefault="003B0603" w:rsidP="00056FC8">
      <w:pPr>
        <w:pStyle w:val="NoSpacing"/>
        <w:numPr>
          <w:ilvl w:val="0"/>
          <w:numId w:val="60"/>
        </w:numPr>
        <w:ind w:left="1440" w:hanging="720"/>
        <w:rPr>
          <w:rFonts w:ascii="Times New Roman" w:hAnsi="Times New Roman" w:cs="Times New Roman"/>
          <w:sz w:val="20"/>
          <w:szCs w:val="20"/>
        </w:rPr>
      </w:pPr>
      <w:r w:rsidRPr="00F7263B">
        <w:rPr>
          <w:rFonts w:ascii="Times New Roman" w:hAnsi="Times New Roman" w:cs="Times New Roman"/>
          <w:i/>
          <w:sz w:val="20"/>
          <w:szCs w:val="20"/>
        </w:rPr>
        <w:t>R</w:t>
      </w:r>
      <w:r w:rsidR="00055564" w:rsidRPr="00F7263B">
        <w:rPr>
          <w:rFonts w:ascii="Times New Roman" w:hAnsi="Times New Roman" w:cs="Times New Roman"/>
          <w:i/>
          <w:sz w:val="20"/>
          <w:szCs w:val="20"/>
        </w:rPr>
        <w:t>egional level</w:t>
      </w:r>
      <w:r w:rsidR="009313FC" w:rsidRPr="00F7263B">
        <w:rPr>
          <w:rFonts w:ascii="Times New Roman" w:hAnsi="Times New Roman" w:cs="Times New Roman"/>
          <w:sz w:val="20"/>
          <w:szCs w:val="20"/>
        </w:rPr>
        <w:t xml:space="preserve">.  </w:t>
      </w:r>
      <w:r w:rsidR="00055564" w:rsidRPr="00F7263B">
        <w:rPr>
          <w:rFonts w:ascii="Times New Roman" w:hAnsi="Times New Roman" w:cs="Times New Roman"/>
          <w:sz w:val="20"/>
          <w:szCs w:val="20"/>
        </w:rPr>
        <w:t xml:space="preserve">The regional </w:t>
      </w:r>
      <w:r w:rsidRPr="00F7263B">
        <w:rPr>
          <w:rFonts w:ascii="Times New Roman" w:hAnsi="Times New Roman" w:cs="Times New Roman"/>
          <w:sz w:val="20"/>
          <w:szCs w:val="20"/>
        </w:rPr>
        <w:t>bureaus of urban development</w:t>
      </w:r>
      <w:r w:rsidR="00055564" w:rsidRPr="00F7263B">
        <w:rPr>
          <w:rFonts w:ascii="Times New Roman" w:hAnsi="Times New Roman" w:cs="Times New Roman"/>
          <w:sz w:val="20"/>
          <w:szCs w:val="20"/>
        </w:rPr>
        <w:t xml:space="preserve"> will collect Program related data from ULGs, </w:t>
      </w:r>
      <w:r w:rsidR="00D847D8" w:rsidRPr="00F7263B">
        <w:rPr>
          <w:rFonts w:ascii="Times New Roman" w:hAnsi="Times New Roman" w:cs="Times New Roman"/>
          <w:sz w:val="20"/>
          <w:szCs w:val="20"/>
        </w:rPr>
        <w:t xml:space="preserve">consolidate </w:t>
      </w:r>
      <w:r w:rsidRPr="00F7263B">
        <w:rPr>
          <w:rFonts w:ascii="Times New Roman" w:hAnsi="Times New Roman" w:cs="Times New Roman"/>
          <w:sz w:val="20"/>
          <w:szCs w:val="20"/>
        </w:rPr>
        <w:t xml:space="preserve">them in a report along with their own </w:t>
      </w:r>
      <w:r w:rsidR="00D847D8" w:rsidRPr="00F7263B">
        <w:rPr>
          <w:rFonts w:ascii="Times New Roman" w:hAnsi="Times New Roman" w:cs="Times New Roman"/>
          <w:sz w:val="20"/>
          <w:szCs w:val="20"/>
        </w:rPr>
        <w:t>inputs</w:t>
      </w:r>
      <w:r w:rsidRPr="00F7263B">
        <w:rPr>
          <w:rFonts w:ascii="Times New Roman" w:hAnsi="Times New Roman" w:cs="Times New Roman"/>
          <w:sz w:val="20"/>
          <w:szCs w:val="20"/>
        </w:rPr>
        <w:t xml:space="preserve">, </w:t>
      </w:r>
      <w:r w:rsidR="00D847D8" w:rsidRPr="00F7263B">
        <w:rPr>
          <w:rFonts w:ascii="Times New Roman" w:hAnsi="Times New Roman" w:cs="Times New Roman"/>
          <w:sz w:val="20"/>
          <w:szCs w:val="20"/>
        </w:rPr>
        <w:t>and submit</w:t>
      </w:r>
      <w:r w:rsidRPr="00F7263B">
        <w:rPr>
          <w:rFonts w:ascii="Times New Roman" w:hAnsi="Times New Roman" w:cs="Times New Roman"/>
          <w:sz w:val="20"/>
          <w:szCs w:val="20"/>
        </w:rPr>
        <w:t xml:space="preserve"> the reports</w:t>
      </w:r>
      <w:r w:rsidR="00D847D8" w:rsidRPr="00F7263B">
        <w:rPr>
          <w:rFonts w:ascii="Times New Roman" w:hAnsi="Times New Roman" w:cs="Times New Roman"/>
          <w:sz w:val="20"/>
          <w:szCs w:val="20"/>
        </w:rPr>
        <w:t xml:space="preserve"> to the </w:t>
      </w:r>
      <w:r w:rsidR="00821460" w:rsidRPr="00F7263B">
        <w:rPr>
          <w:rFonts w:ascii="Times New Roman" w:hAnsi="Times New Roman" w:cs="Times New Roman"/>
          <w:sz w:val="20"/>
          <w:szCs w:val="20"/>
        </w:rPr>
        <w:t>MUDHCo</w:t>
      </w:r>
      <w:r w:rsidRPr="00F7263B">
        <w:rPr>
          <w:rFonts w:ascii="Times New Roman" w:hAnsi="Times New Roman" w:cs="Times New Roman"/>
          <w:sz w:val="20"/>
          <w:szCs w:val="20"/>
        </w:rPr>
        <w:t>.</w:t>
      </w:r>
    </w:p>
    <w:p w:rsidR="00C3290E" w:rsidRPr="00F7263B" w:rsidRDefault="00D847D8" w:rsidP="00056FC8">
      <w:pPr>
        <w:pStyle w:val="NoSpacing"/>
        <w:numPr>
          <w:ilvl w:val="0"/>
          <w:numId w:val="60"/>
        </w:numPr>
        <w:ind w:left="1440" w:hanging="720"/>
        <w:rPr>
          <w:rFonts w:ascii="Times New Roman" w:hAnsi="Times New Roman" w:cs="Times New Roman"/>
          <w:sz w:val="20"/>
          <w:szCs w:val="20"/>
        </w:rPr>
      </w:pPr>
      <w:r w:rsidRPr="00F7263B">
        <w:rPr>
          <w:rFonts w:ascii="Times New Roman" w:hAnsi="Times New Roman" w:cs="Times New Roman"/>
          <w:i/>
          <w:sz w:val="20"/>
          <w:szCs w:val="20"/>
        </w:rPr>
        <w:t>Federal</w:t>
      </w:r>
      <w:r w:rsidR="00055564" w:rsidRPr="00F7263B">
        <w:rPr>
          <w:rFonts w:ascii="Times New Roman" w:hAnsi="Times New Roman" w:cs="Times New Roman"/>
          <w:i/>
          <w:sz w:val="20"/>
          <w:szCs w:val="20"/>
        </w:rPr>
        <w:t xml:space="preserve"> M&amp;E system managed by </w:t>
      </w:r>
      <w:r w:rsidR="00821460" w:rsidRPr="00F7263B">
        <w:rPr>
          <w:rFonts w:ascii="Times New Roman" w:hAnsi="Times New Roman" w:cs="Times New Roman"/>
          <w:i/>
          <w:sz w:val="20"/>
          <w:szCs w:val="20"/>
        </w:rPr>
        <w:t>MUDHCo</w:t>
      </w:r>
      <w:r w:rsidR="009313FC" w:rsidRPr="00F7263B">
        <w:rPr>
          <w:rFonts w:ascii="Times New Roman" w:hAnsi="Times New Roman" w:cs="Times New Roman"/>
          <w:sz w:val="20"/>
          <w:szCs w:val="20"/>
        </w:rPr>
        <w:t xml:space="preserve">.  </w:t>
      </w:r>
      <w:r w:rsidR="00821460" w:rsidRPr="00F7263B">
        <w:rPr>
          <w:rFonts w:ascii="Times New Roman" w:hAnsi="Times New Roman" w:cs="Times New Roman"/>
          <w:sz w:val="20"/>
          <w:szCs w:val="20"/>
        </w:rPr>
        <w:t>MUDHCo</w:t>
      </w:r>
      <w:r w:rsidR="00055564" w:rsidRPr="00F7263B">
        <w:rPr>
          <w:rFonts w:ascii="Times New Roman" w:hAnsi="Times New Roman" w:cs="Times New Roman"/>
          <w:sz w:val="20"/>
          <w:szCs w:val="20"/>
        </w:rPr>
        <w:t xml:space="preserve"> will </w:t>
      </w:r>
      <w:r w:rsidR="00C3290E" w:rsidRPr="00F7263B">
        <w:rPr>
          <w:rFonts w:ascii="Times New Roman" w:hAnsi="Times New Roman" w:cs="Times New Roman"/>
          <w:sz w:val="20"/>
          <w:szCs w:val="20"/>
        </w:rPr>
        <w:t xml:space="preserve">strengthen its existing M&amp;E </w:t>
      </w:r>
      <w:r w:rsidR="00055564" w:rsidRPr="00F7263B">
        <w:rPr>
          <w:rFonts w:ascii="Times New Roman" w:hAnsi="Times New Roman" w:cs="Times New Roman"/>
          <w:sz w:val="20"/>
          <w:szCs w:val="20"/>
        </w:rPr>
        <w:t xml:space="preserve">system to </w:t>
      </w:r>
      <w:r w:rsidR="00C3290E" w:rsidRPr="00F7263B">
        <w:rPr>
          <w:rFonts w:ascii="Times New Roman" w:hAnsi="Times New Roman" w:cs="Times New Roman"/>
          <w:sz w:val="20"/>
          <w:szCs w:val="20"/>
        </w:rPr>
        <w:t>compile data from all 44 ULGs participating in the ULGDP II and produc</w:t>
      </w:r>
      <w:r w:rsidR="003E48EC" w:rsidRPr="00F7263B">
        <w:rPr>
          <w:rFonts w:ascii="Times New Roman" w:hAnsi="Times New Roman" w:cs="Times New Roman"/>
          <w:sz w:val="20"/>
          <w:szCs w:val="20"/>
        </w:rPr>
        <w:t xml:space="preserve">e </w:t>
      </w:r>
      <w:r w:rsidR="00C3290E" w:rsidRPr="00F7263B">
        <w:rPr>
          <w:rFonts w:ascii="Times New Roman" w:hAnsi="Times New Roman" w:cs="Times New Roman"/>
          <w:sz w:val="20"/>
          <w:szCs w:val="20"/>
        </w:rPr>
        <w:t xml:space="preserve">the midyear and annual Program progress reports.  </w:t>
      </w:r>
    </w:p>
    <w:p w:rsidR="00055564" w:rsidRPr="00F7263B" w:rsidRDefault="00055564" w:rsidP="00D847D8">
      <w:pPr>
        <w:pStyle w:val="ListParagraph"/>
        <w:autoSpaceDE w:val="0"/>
        <w:autoSpaceDN w:val="0"/>
        <w:adjustRightInd w:val="0"/>
        <w:ind w:left="0"/>
        <w:jc w:val="both"/>
        <w:rPr>
          <w:rFonts w:cs="Times New Roman"/>
          <w:sz w:val="20"/>
          <w:szCs w:val="20"/>
        </w:rPr>
      </w:pPr>
    </w:p>
    <w:p w:rsidR="008C2D1E" w:rsidRPr="00F7263B" w:rsidRDefault="00871FF9" w:rsidP="00116B71">
      <w:pPr>
        <w:pStyle w:val="ListParagraph"/>
        <w:numPr>
          <w:ilvl w:val="0"/>
          <w:numId w:val="9"/>
        </w:numPr>
        <w:autoSpaceDE w:val="0"/>
        <w:autoSpaceDN w:val="0"/>
        <w:adjustRightInd w:val="0"/>
        <w:ind w:left="0" w:firstLine="0"/>
        <w:jc w:val="both"/>
        <w:rPr>
          <w:sz w:val="20"/>
          <w:szCs w:val="20"/>
        </w:rPr>
      </w:pPr>
      <w:r w:rsidRPr="00F7263B">
        <w:rPr>
          <w:b/>
          <w:sz w:val="20"/>
          <w:szCs w:val="20"/>
        </w:rPr>
        <w:t>Data generation</w:t>
      </w:r>
      <w:r w:rsidR="004445AE" w:rsidRPr="00F7263B">
        <w:rPr>
          <w:b/>
          <w:sz w:val="20"/>
          <w:szCs w:val="20"/>
        </w:rPr>
        <w:t xml:space="preserve"> and collection</w:t>
      </w:r>
      <w:r w:rsidR="009313FC" w:rsidRPr="00F7263B">
        <w:rPr>
          <w:sz w:val="20"/>
          <w:szCs w:val="20"/>
        </w:rPr>
        <w:t xml:space="preserve">.  </w:t>
      </w:r>
      <w:r w:rsidRPr="00F7263B">
        <w:rPr>
          <w:sz w:val="20"/>
          <w:szCs w:val="20"/>
        </w:rPr>
        <w:t xml:space="preserve">The data to track many of the key performance indicators will come </w:t>
      </w:r>
      <w:r w:rsidR="001C557D" w:rsidRPr="00F7263B">
        <w:rPr>
          <w:sz w:val="20"/>
          <w:szCs w:val="20"/>
        </w:rPr>
        <w:t>primarily from the government’s own systems</w:t>
      </w:r>
      <w:r w:rsidR="009313FC" w:rsidRPr="00F7263B">
        <w:rPr>
          <w:sz w:val="20"/>
          <w:szCs w:val="20"/>
        </w:rPr>
        <w:t xml:space="preserve">.  </w:t>
      </w:r>
      <w:r w:rsidR="004445AE" w:rsidRPr="00F7263B">
        <w:rPr>
          <w:sz w:val="20"/>
          <w:szCs w:val="20"/>
        </w:rPr>
        <w:t xml:space="preserve">The table below summarizes the </w:t>
      </w:r>
      <w:r w:rsidR="00116B71" w:rsidRPr="00F7263B">
        <w:rPr>
          <w:rFonts w:cs="Times New Roman"/>
          <w:sz w:val="20"/>
          <w:szCs w:val="20"/>
        </w:rPr>
        <w:t>various inter-linked tools which will be used to monitor and report on the Program.</w:t>
      </w:r>
    </w:p>
    <w:p w:rsidR="008C2D1E" w:rsidRPr="00F7263B" w:rsidRDefault="008C2D1E" w:rsidP="00116B71">
      <w:pPr>
        <w:pStyle w:val="ListParagraph"/>
        <w:rPr>
          <w:sz w:val="20"/>
          <w:szCs w:val="20"/>
        </w:rPr>
      </w:pPr>
    </w:p>
    <w:p w:rsidR="00F45E4C" w:rsidRPr="00F7263B" w:rsidRDefault="00F45E4C" w:rsidP="00F45E4C">
      <w:pPr>
        <w:pStyle w:val="Caption"/>
        <w:jc w:val="both"/>
      </w:pPr>
      <w:bookmarkStart w:id="18" w:name="_Toc380087106"/>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5</w:t>
      </w:r>
      <w:r w:rsidR="00B845BE" w:rsidRPr="00F7263B">
        <w:fldChar w:fldCharType="end"/>
      </w:r>
      <w:r w:rsidRPr="00F7263B">
        <w:t>: Data generation and collection</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780"/>
        <w:gridCol w:w="2250"/>
      </w:tblGrid>
      <w:tr w:rsidR="00116B71" w:rsidRPr="00F7263B">
        <w:trPr>
          <w:tblHeader/>
        </w:trPr>
        <w:tc>
          <w:tcPr>
            <w:tcW w:w="3330" w:type="dxa"/>
            <w:shd w:val="clear" w:color="auto" w:fill="D9D9D9" w:themeFill="background1" w:themeFillShade="D9"/>
          </w:tcPr>
          <w:p w:rsidR="00116B71" w:rsidRPr="00F7263B" w:rsidRDefault="00116B71" w:rsidP="00C47E57">
            <w:pPr>
              <w:tabs>
                <w:tab w:val="left" w:pos="0"/>
              </w:tabs>
              <w:contextualSpacing/>
              <w:jc w:val="both"/>
              <w:rPr>
                <w:rFonts w:cs="Times New Roman"/>
                <w:b/>
                <w:sz w:val="20"/>
                <w:szCs w:val="20"/>
              </w:rPr>
            </w:pPr>
            <w:r w:rsidRPr="00F7263B">
              <w:rPr>
                <w:rFonts w:cs="Times New Roman"/>
                <w:b/>
                <w:sz w:val="20"/>
                <w:szCs w:val="20"/>
              </w:rPr>
              <w:t>Type of information</w:t>
            </w:r>
          </w:p>
        </w:tc>
        <w:tc>
          <w:tcPr>
            <w:tcW w:w="3780" w:type="dxa"/>
            <w:shd w:val="clear" w:color="auto" w:fill="D9D9D9" w:themeFill="background1" w:themeFillShade="D9"/>
          </w:tcPr>
          <w:p w:rsidR="00116B71" w:rsidRPr="00F7263B" w:rsidRDefault="00116B71" w:rsidP="00254260">
            <w:pPr>
              <w:tabs>
                <w:tab w:val="left" w:pos="0"/>
              </w:tabs>
              <w:contextualSpacing/>
              <w:jc w:val="center"/>
              <w:rPr>
                <w:rFonts w:cs="Times New Roman"/>
                <w:b/>
                <w:sz w:val="20"/>
                <w:szCs w:val="20"/>
              </w:rPr>
            </w:pPr>
            <w:r w:rsidRPr="00F7263B">
              <w:rPr>
                <w:rFonts w:cs="Times New Roman"/>
                <w:b/>
                <w:sz w:val="20"/>
                <w:szCs w:val="20"/>
              </w:rPr>
              <w:t>Means</w:t>
            </w:r>
          </w:p>
        </w:tc>
        <w:tc>
          <w:tcPr>
            <w:tcW w:w="2250" w:type="dxa"/>
            <w:shd w:val="clear" w:color="auto" w:fill="D9D9D9" w:themeFill="background1" w:themeFillShade="D9"/>
          </w:tcPr>
          <w:p w:rsidR="00116B71" w:rsidRPr="00F7263B" w:rsidRDefault="00116B71" w:rsidP="00254260">
            <w:pPr>
              <w:tabs>
                <w:tab w:val="left" w:pos="0"/>
              </w:tabs>
              <w:contextualSpacing/>
              <w:jc w:val="center"/>
              <w:rPr>
                <w:rFonts w:cs="Times New Roman"/>
                <w:b/>
                <w:sz w:val="20"/>
                <w:szCs w:val="20"/>
              </w:rPr>
            </w:pPr>
            <w:r w:rsidRPr="00F7263B">
              <w:rPr>
                <w:rFonts w:cs="Times New Roman"/>
                <w:b/>
                <w:sz w:val="20"/>
                <w:szCs w:val="20"/>
              </w:rPr>
              <w:t>Frequency</w:t>
            </w:r>
          </w:p>
        </w:tc>
      </w:tr>
      <w:tr w:rsidR="00641DB0" w:rsidRPr="00F7263B">
        <w:trPr>
          <w:trHeight w:val="353"/>
        </w:trPr>
        <w:tc>
          <w:tcPr>
            <w:tcW w:w="3330" w:type="dxa"/>
            <w:vMerge w:val="restart"/>
          </w:tcPr>
          <w:p w:rsidR="00641DB0" w:rsidRPr="00F7263B" w:rsidRDefault="003E48EC" w:rsidP="003F32C6">
            <w:pPr>
              <w:tabs>
                <w:tab w:val="left" w:pos="0"/>
              </w:tabs>
              <w:contextualSpacing/>
              <w:rPr>
                <w:rFonts w:cs="Times New Roman"/>
                <w:sz w:val="20"/>
                <w:szCs w:val="20"/>
              </w:rPr>
            </w:pPr>
            <w:r w:rsidRPr="00F7263B">
              <w:rPr>
                <w:rFonts w:cs="Times New Roman"/>
                <w:sz w:val="20"/>
                <w:szCs w:val="20"/>
              </w:rPr>
              <w:t>Implementation experience</w:t>
            </w:r>
            <w:r w:rsidR="00C3290E" w:rsidRPr="00F7263B">
              <w:rPr>
                <w:rFonts w:cs="Times New Roman"/>
                <w:sz w:val="20"/>
                <w:szCs w:val="20"/>
              </w:rPr>
              <w:t>,</w:t>
            </w:r>
            <w:r w:rsidR="00A2314D">
              <w:rPr>
                <w:rFonts w:cs="Times New Roman"/>
                <w:sz w:val="20"/>
                <w:szCs w:val="20"/>
              </w:rPr>
              <w:t xml:space="preserve"> </w:t>
            </w:r>
            <w:r w:rsidR="00C3290E" w:rsidRPr="00F7263B">
              <w:rPr>
                <w:rFonts w:cs="Times New Roman"/>
                <w:sz w:val="20"/>
                <w:szCs w:val="20"/>
              </w:rPr>
              <w:t xml:space="preserve">institutional performance, physical progress and outputs, </w:t>
            </w:r>
            <w:r w:rsidR="00641DB0" w:rsidRPr="00F7263B">
              <w:rPr>
                <w:rFonts w:cs="Times New Roman"/>
                <w:sz w:val="20"/>
                <w:szCs w:val="20"/>
              </w:rPr>
              <w:t xml:space="preserve">technical aspects of the </w:t>
            </w:r>
            <w:r w:rsidRPr="00F7263B">
              <w:rPr>
                <w:rFonts w:cs="Times New Roman"/>
                <w:sz w:val="20"/>
                <w:szCs w:val="20"/>
              </w:rPr>
              <w:t>P</w:t>
            </w:r>
            <w:r w:rsidR="00641DB0" w:rsidRPr="00F7263B">
              <w:rPr>
                <w:rFonts w:cs="Times New Roman"/>
                <w:sz w:val="20"/>
                <w:szCs w:val="20"/>
              </w:rPr>
              <w:t>rogram</w:t>
            </w:r>
            <w:r w:rsidRPr="00F7263B">
              <w:rPr>
                <w:rFonts w:cs="Times New Roman"/>
                <w:sz w:val="20"/>
                <w:szCs w:val="20"/>
              </w:rPr>
              <w:t>, and achievement of the key performance indicators.</w:t>
            </w:r>
          </w:p>
        </w:tc>
        <w:tc>
          <w:tcPr>
            <w:tcW w:w="3780" w:type="dxa"/>
          </w:tcPr>
          <w:p w:rsidR="00641DB0" w:rsidRPr="00F7263B" w:rsidRDefault="00BB6A6C" w:rsidP="00B026F6">
            <w:pPr>
              <w:tabs>
                <w:tab w:val="left" w:pos="0"/>
              </w:tabs>
              <w:contextualSpacing/>
              <w:rPr>
                <w:rFonts w:cs="Times New Roman"/>
                <w:sz w:val="20"/>
                <w:szCs w:val="20"/>
              </w:rPr>
            </w:pPr>
            <w:r w:rsidRPr="00F7263B">
              <w:rPr>
                <w:rFonts w:cs="Times New Roman"/>
                <w:sz w:val="20"/>
                <w:szCs w:val="20"/>
              </w:rPr>
              <w:t>ULGs, r</w:t>
            </w:r>
            <w:r w:rsidR="00C3290E" w:rsidRPr="00F7263B">
              <w:rPr>
                <w:rFonts w:cs="Times New Roman"/>
                <w:sz w:val="20"/>
                <w:szCs w:val="20"/>
              </w:rPr>
              <w:t>egional governments, and MUDHCo, each with responsibilities as described above.</w:t>
            </w:r>
          </w:p>
        </w:tc>
        <w:tc>
          <w:tcPr>
            <w:tcW w:w="2250" w:type="dxa"/>
          </w:tcPr>
          <w:p w:rsidR="00641DB0" w:rsidRPr="00F7263B" w:rsidRDefault="00C3290E" w:rsidP="001D67D6">
            <w:pPr>
              <w:tabs>
                <w:tab w:val="left" w:pos="0"/>
              </w:tabs>
              <w:contextualSpacing/>
              <w:rPr>
                <w:rFonts w:cs="Times New Roman"/>
                <w:sz w:val="20"/>
                <w:szCs w:val="20"/>
              </w:rPr>
            </w:pPr>
            <w:r w:rsidRPr="00F7263B">
              <w:rPr>
                <w:rFonts w:cs="Times New Roman"/>
                <w:sz w:val="20"/>
                <w:szCs w:val="20"/>
              </w:rPr>
              <w:t xml:space="preserve">Two reports a year, with the content as laid out below in paragraphs 58 and 59.  </w:t>
            </w:r>
          </w:p>
        </w:tc>
      </w:tr>
      <w:tr w:rsidR="00641DB0" w:rsidRPr="00F7263B">
        <w:trPr>
          <w:trHeight w:val="352"/>
        </w:trPr>
        <w:tc>
          <w:tcPr>
            <w:tcW w:w="3330" w:type="dxa"/>
            <w:vMerge/>
          </w:tcPr>
          <w:p w:rsidR="00641DB0" w:rsidRPr="00F7263B" w:rsidRDefault="00641DB0" w:rsidP="003B0603">
            <w:pPr>
              <w:tabs>
                <w:tab w:val="left" w:pos="0"/>
              </w:tabs>
              <w:contextualSpacing/>
              <w:rPr>
                <w:rFonts w:cs="Times New Roman"/>
                <w:sz w:val="20"/>
                <w:szCs w:val="20"/>
              </w:rPr>
            </w:pPr>
          </w:p>
        </w:tc>
        <w:tc>
          <w:tcPr>
            <w:tcW w:w="3780" w:type="dxa"/>
          </w:tcPr>
          <w:p w:rsidR="00641DB0" w:rsidRPr="00F7263B" w:rsidRDefault="00641DB0" w:rsidP="003B0603">
            <w:pPr>
              <w:tabs>
                <w:tab w:val="left" w:pos="0"/>
              </w:tabs>
              <w:contextualSpacing/>
              <w:rPr>
                <w:rFonts w:cs="Times New Roman"/>
                <w:sz w:val="20"/>
                <w:szCs w:val="20"/>
              </w:rPr>
            </w:pPr>
            <w:r w:rsidRPr="00F7263B">
              <w:rPr>
                <w:rFonts w:cs="Times New Roman"/>
                <w:sz w:val="20"/>
                <w:szCs w:val="20"/>
              </w:rPr>
              <w:t>APA</w:t>
            </w:r>
          </w:p>
        </w:tc>
        <w:tc>
          <w:tcPr>
            <w:tcW w:w="2250" w:type="dxa"/>
          </w:tcPr>
          <w:p w:rsidR="00641DB0" w:rsidRPr="00F7263B" w:rsidRDefault="00641DB0" w:rsidP="003B0603">
            <w:pPr>
              <w:tabs>
                <w:tab w:val="left" w:pos="0"/>
              </w:tabs>
              <w:contextualSpacing/>
              <w:rPr>
                <w:rFonts w:cs="Times New Roman"/>
                <w:sz w:val="20"/>
                <w:szCs w:val="20"/>
              </w:rPr>
            </w:pPr>
            <w:r w:rsidRPr="00F7263B">
              <w:rPr>
                <w:rFonts w:cs="Times New Roman"/>
                <w:sz w:val="20"/>
                <w:szCs w:val="20"/>
              </w:rPr>
              <w:t>Annually</w:t>
            </w:r>
          </w:p>
        </w:tc>
      </w:tr>
      <w:tr w:rsidR="00116B71" w:rsidRPr="00F7263B">
        <w:tc>
          <w:tcPr>
            <w:tcW w:w="3330" w:type="dxa"/>
            <w:tcBorders>
              <w:bottom w:val="single" w:sz="4" w:space="0" w:color="auto"/>
            </w:tcBorders>
          </w:tcPr>
          <w:p w:rsidR="00116B71" w:rsidRPr="00F7263B" w:rsidRDefault="00116B71" w:rsidP="003B0603">
            <w:pPr>
              <w:tabs>
                <w:tab w:val="left" w:pos="0"/>
              </w:tabs>
              <w:contextualSpacing/>
              <w:rPr>
                <w:rFonts w:cs="Times New Roman"/>
                <w:sz w:val="20"/>
                <w:szCs w:val="20"/>
              </w:rPr>
            </w:pPr>
            <w:r w:rsidRPr="00F7263B">
              <w:rPr>
                <w:rFonts w:cs="Times New Roman"/>
                <w:sz w:val="20"/>
                <w:szCs w:val="20"/>
              </w:rPr>
              <w:lastRenderedPageBreak/>
              <w:t>Achievements of infrastructure plans and targets</w:t>
            </w:r>
          </w:p>
        </w:tc>
        <w:tc>
          <w:tcPr>
            <w:tcW w:w="3780" w:type="dxa"/>
            <w:tcBorders>
              <w:bottom w:val="single" w:sz="4" w:space="0" w:color="auto"/>
            </w:tcBorders>
          </w:tcPr>
          <w:p w:rsidR="00116B71" w:rsidRPr="00F7263B" w:rsidRDefault="00116B71" w:rsidP="003B0603">
            <w:pPr>
              <w:tabs>
                <w:tab w:val="left" w:pos="0"/>
              </w:tabs>
              <w:contextualSpacing/>
              <w:rPr>
                <w:rFonts w:cs="Times New Roman"/>
                <w:sz w:val="20"/>
                <w:szCs w:val="20"/>
              </w:rPr>
            </w:pPr>
            <w:r w:rsidRPr="00F7263B">
              <w:rPr>
                <w:rFonts w:cs="Times New Roman"/>
                <w:sz w:val="20"/>
                <w:szCs w:val="20"/>
              </w:rPr>
              <w:t>APA</w:t>
            </w:r>
          </w:p>
        </w:tc>
        <w:tc>
          <w:tcPr>
            <w:tcW w:w="2250" w:type="dxa"/>
            <w:tcBorders>
              <w:bottom w:val="single" w:sz="4" w:space="0" w:color="auto"/>
            </w:tcBorders>
          </w:tcPr>
          <w:p w:rsidR="00116B71" w:rsidRPr="00F7263B" w:rsidRDefault="00116B71" w:rsidP="003B0603">
            <w:pPr>
              <w:tabs>
                <w:tab w:val="left" w:pos="0"/>
              </w:tabs>
              <w:contextualSpacing/>
              <w:rPr>
                <w:rFonts w:cs="Times New Roman"/>
                <w:sz w:val="20"/>
                <w:szCs w:val="20"/>
              </w:rPr>
            </w:pPr>
            <w:r w:rsidRPr="00F7263B">
              <w:rPr>
                <w:rFonts w:cs="Times New Roman"/>
                <w:sz w:val="20"/>
                <w:szCs w:val="20"/>
              </w:rPr>
              <w:t>Annually</w:t>
            </w:r>
          </w:p>
        </w:tc>
      </w:tr>
      <w:tr w:rsidR="00116B71" w:rsidRPr="00F7263B">
        <w:tc>
          <w:tcPr>
            <w:tcW w:w="3330" w:type="dxa"/>
            <w:shd w:val="clear" w:color="auto" w:fill="FFFFFF" w:themeFill="background1"/>
          </w:tcPr>
          <w:p w:rsidR="00116B71" w:rsidRPr="00F7263B" w:rsidRDefault="00116B71" w:rsidP="003B0603">
            <w:pPr>
              <w:tabs>
                <w:tab w:val="left" w:pos="0"/>
              </w:tabs>
              <w:contextualSpacing/>
              <w:rPr>
                <w:rFonts w:cs="Times New Roman"/>
                <w:sz w:val="20"/>
                <w:szCs w:val="20"/>
              </w:rPr>
            </w:pPr>
            <w:r w:rsidRPr="00F7263B">
              <w:rPr>
                <w:rFonts w:cs="Times New Roman"/>
                <w:sz w:val="20"/>
                <w:szCs w:val="20"/>
              </w:rPr>
              <w:t>Value for the money</w:t>
            </w:r>
          </w:p>
        </w:tc>
        <w:tc>
          <w:tcPr>
            <w:tcW w:w="3780" w:type="dxa"/>
            <w:shd w:val="clear" w:color="auto" w:fill="FFFFFF" w:themeFill="background1"/>
          </w:tcPr>
          <w:p w:rsidR="00116B71" w:rsidRPr="00F7263B" w:rsidRDefault="00116B71" w:rsidP="00BB6A6C">
            <w:pPr>
              <w:tabs>
                <w:tab w:val="left" w:pos="0"/>
              </w:tabs>
              <w:contextualSpacing/>
              <w:rPr>
                <w:rFonts w:cs="Times New Roman"/>
                <w:sz w:val="20"/>
                <w:szCs w:val="20"/>
              </w:rPr>
            </w:pPr>
            <w:r w:rsidRPr="00F7263B">
              <w:rPr>
                <w:rFonts w:cs="Times New Roman"/>
                <w:sz w:val="20"/>
                <w:szCs w:val="20"/>
              </w:rPr>
              <w:t xml:space="preserve">Value for the money audits, results </w:t>
            </w:r>
            <w:r w:rsidR="00BB6A6C" w:rsidRPr="00F7263B">
              <w:rPr>
                <w:rFonts w:cs="Times New Roman"/>
                <w:sz w:val="20"/>
                <w:szCs w:val="20"/>
              </w:rPr>
              <w:t>to feed into</w:t>
            </w:r>
            <w:r w:rsidRPr="00F7263B">
              <w:rPr>
                <w:rFonts w:cs="Times New Roman"/>
                <w:sz w:val="20"/>
                <w:szCs w:val="20"/>
              </w:rPr>
              <w:t xml:space="preserve"> the APA and impact on allocations</w:t>
            </w:r>
          </w:p>
        </w:tc>
        <w:tc>
          <w:tcPr>
            <w:tcW w:w="2250" w:type="dxa"/>
            <w:shd w:val="clear" w:color="auto" w:fill="FFFFFF" w:themeFill="background1"/>
          </w:tcPr>
          <w:p w:rsidR="00116B71" w:rsidRPr="00F7263B" w:rsidRDefault="00116B71" w:rsidP="00055B8C">
            <w:pPr>
              <w:tabs>
                <w:tab w:val="left" w:pos="0"/>
              </w:tabs>
              <w:contextualSpacing/>
              <w:rPr>
                <w:rFonts w:cs="Times New Roman"/>
                <w:sz w:val="20"/>
                <w:szCs w:val="20"/>
              </w:rPr>
            </w:pPr>
            <w:r w:rsidRPr="00F7263B">
              <w:rPr>
                <w:rFonts w:cs="Times New Roman"/>
                <w:sz w:val="20"/>
                <w:szCs w:val="20"/>
              </w:rPr>
              <w:t>Every year</w:t>
            </w:r>
            <w:r w:rsidR="00641DB0" w:rsidRPr="00F7263B">
              <w:rPr>
                <w:rFonts w:cs="Times New Roman"/>
                <w:sz w:val="20"/>
                <w:szCs w:val="20"/>
              </w:rPr>
              <w:t xml:space="preserve"> starting the  </w:t>
            </w:r>
            <w:r w:rsidR="00055B8C" w:rsidRPr="00F7263B">
              <w:rPr>
                <w:rFonts w:cs="Times New Roman"/>
                <w:sz w:val="20"/>
                <w:szCs w:val="20"/>
              </w:rPr>
              <w:t xml:space="preserve">2nd  </w:t>
            </w:r>
            <w:r w:rsidR="00340C8D" w:rsidRPr="00F7263B">
              <w:rPr>
                <w:rFonts w:cs="Times New Roman"/>
                <w:sz w:val="20"/>
                <w:szCs w:val="20"/>
              </w:rPr>
              <w:t>year</w:t>
            </w:r>
          </w:p>
        </w:tc>
      </w:tr>
      <w:tr w:rsidR="00116B71" w:rsidRPr="00F7263B">
        <w:tc>
          <w:tcPr>
            <w:tcW w:w="3330" w:type="dxa"/>
          </w:tcPr>
          <w:p w:rsidR="00116B71" w:rsidRPr="00F7263B" w:rsidRDefault="00116B71" w:rsidP="003B0603">
            <w:pPr>
              <w:tabs>
                <w:tab w:val="left" w:pos="0"/>
              </w:tabs>
              <w:contextualSpacing/>
              <w:rPr>
                <w:rFonts w:cs="Times New Roman"/>
                <w:sz w:val="20"/>
                <w:szCs w:val="20"/>
              </w:rPr>
            </w:pPr>
            <w:r w:rsidRPr="00F7263B">
              <w:rPr>
                <w:rFonts w:cs="Times New Roman"/>
                <w:sz w:val="20"/>
                <w:szCs w:val="20"/>
              </w:rPr>
              <w:t>Financial reporting (use of funds, expenditure composition</w:t>
            </w:r>
            <w:r w:rsidR="003B0603" w:rsidRPr="00F7263B">
              <w:rPr>
                <w:rFonts w:cs="Times New Roman"/>
                <w:sz w:val="20"/>
                <w:szCs w:val="20"/>
              </w:rPr>
              <w:t>, and the like</w:t>
            </w:r>
            <w:r w:rsidRPr="00F7263B">
              <w:rPr>
                <w:rFonts w:cs="Times New Roman"/>
                <w:sz w:val="20"/>
                <w:szCs w:val="20"/>
              </w:rPr>
              <w:t>)</w:t>
            </w:r>
          </w:p>
        </w:tc>
        <w:tc>
          <w:tcPr>
            <w:tcW w:w="3780" w:type="dxa"/>
          </w:tcPr>
          <w:p w:rsidR="00116B71" w:rsidRPr="00F7263B" w:rsidRDefault="00116B71" w:rsidP="000A5D72">
            <w:pPr>
              <w:tabs>
                <w:tab w:val="left" w:pos="0"/>
              </w:tabs>
              <w:contextualSpacing/>
              <w:rPr>
                <w:rFonts w:cs="Times New Roman"/>
                <w:sz w:val="20"/>
                <w:szCs w:val="20"/>
              </w:rPr>
            </w:pPr>
            <w:r w:rsidRPr="00F7263B">
              <w:rPr>
                <w:rFonts w:cs="Times New Roman"/>
                <w:sz w:val="20"/>
                <w:szCs w:val="20"/>
              </w:rPr>
              <w:t>Annual financial statements</w:t>
            </w:r>
            <w:r w:rsidR="003B0603" w:rsidRPr="00F7263B">
              <w:rPr>
                <w:rFonts w:cs="Times New Roman"/>
                <w:sz w:val="20"/>
                <w:szCs w:val="20"/>
              </w:rPr>
              <w:t xml:space="preserve">, </w:t>
            </w:r>
            <w:r w:rsidR="000A5D72" w:rsidRPr="00F7263B">
              <w:rPr>
                <w:rFonts w:cs="Times New Roman"/>
                <w:sz w:val="20"/>
                <w:szCs w:val="20"/>
              </w:rPr>
              <w:t xml:space="preserve">semiannual </w:t>
            </w:r>
            <w:r w:rsidR="00055B8C" w:rsidRPr="00F7263B">
              <w:rPr>
                <w:rFonts w:cs="Times New Roman"/>
                <w:sz w:val="20"/>
                <w:szCs w:val="20"/>
              </w:rPr>
              <w:t>financial reports,</w:t>
            </w:r>
            <w:r w:rsidR="00A2314D">
              <w:rPr>
                <w:rFonts w:cs="Times New Roman"/>
                <w:sz w:val="20"/>
                <w:szCs w:val="20"/>
              </w:rPr>
              <w:t xml:space="preserve"> </w:t>
            </w:r>
            <w:r w:rsidRPr="00F7263B">
              <w:rPr>
                <w:rFonts w:cs="Times New Roman"/>
                <w:sz w:val="20"/>
                <w:szCs w:val="20"/>
              </w:rPr>
              <w:t>internal audit reports</w:t>
            </w:r>
            <w:r w:rsidR="003B0603" w:rsidRPr="00F7263B">
              <w:rPr>
                <w:rFonts w:cs="Times New Roman"/>
                <w:sz w:val="20"/>
                <w:szCs w:val="20"/>
              </w:rPr>
              <w:t>,</w:t>
            </w:r>
            <w:r w:rsidR="00A2314D">
              <w:rPr>
                <w:rFonts w:cs="Times New Roman"/>
                <w:sz w:val="20"/>
                <w:szCs w:val="20"/>
              </w:rPr>
              <w:t xml:space="preserve"> </w:t>
            </w:r>
            <w:r w:rsidR="003B0603" w:rsidRPr="00F7263B">
              <w:rPr>
                <w:rFonts w:cs="Times New Roman"/>
                <w:sz w:val="20"/>
                <w:szCs w:val="20"/>
              </w:rPr>
              <w:t>a</w:t>
            </w:r>
            <w:r w:rsidRPr="00F7263B">
              <w:rPr>
                <w:rFonts w:cs="Times New Roman"/>
                <w:sz w:val="20"/>
                <w:szCs w:val="20"/>
              </w:rPr>
              <w:t>nnual external audit reports</w:t>
            </w:r>
          </w:p>
        </w:tc>
        <w:tc>
          <w:tcPr>
            <w:tcW w:w="2250" w:type="dxa"/>
          </w:tcPr>
          <w:p w:rsidR="00116B71" w:rsidRPr="00F7263B" w:rsidRDefault="00055B8C" w:rsidP="003B0603">
            <w:pPr>
              <w:tabs>
                <w:tab w:val="left" w:pos="0"/>
              </w:tabs>
              <w:contextualSpacing/>
              <w:rPr>
                <w:rFonts w:cs="Times New Roman"/>
                <w:sz w:val="20"/>
                <w:szCs w:val="20"/>
              </w:rPr>
            </w:pPr>
            <w:r w:rsidRPr="00F7263B">
              <w:rPr>
                <w:rFonts w:cs="Times New Roman"/>
                <w:sz w:val="20"/>
                <w:szCs w:val="20"/>
              </w:rPr>
              <w:t>Semiannually</w:t>
            </w:r>
          </w:p>
          <w:p w:rsidR="00116B71" w:rsidRPr="00F7263B" w:rsidRDefault="00116B71" w:rsidP="003B0603">
            <w:pPr>
              <w:tabs>
                <w:tab w:val="left" w:pos="0"/>
              </w:tabs>
              <w:contextualSpacing/>
              <w:rPr>
                <w:rFonts w:cs="Times New Roman"/>
                <w:sz w:val="20"/>
                <w:szCs w:val="20"/>
              </w:rPr>
            </w:pPr>
            <w:r w:rsidRPr="00F7263B">
              <w:rPr>
                <w:rFonts w:cs="Times New Roman"/>
                <w:sz w:val="20"/>
                <w:szCs w:val="20"/>
              </w:rPr>
              <w:t>Annually</w:t>
            </w:r>
          </w:p>
        </w:tc>
      </w:tr>
      <w:tr w:rsidR="00116B71" w:rsidRPr="00F7263B">
        <w:tc>
          <w:tcPr>
            <w:tcW w:w="3330" w:type="dxa"/>
          </w:tcPr>
          <w:p w:rsidR="00116B71" w:rsidRPr="00F7263B" w:rsidRDefault="00975B0C" w:rsidP="003F32C6">
            <w:pPr>
              <w:tabs>
                <w:tab w:val="left" w:pos="0"/>
              </w:tabs>
              <w:contextualSpacing/>
              <w:rPr>
                <w:rFonts w:cs="Times New Roman"/>
                <w:sz w:val="20"/>
                <w:szCs w:val="20"/>
              </w:rPr>
            </w:pPr>
            <w:r w:rsidRPr="00F7263B">
              <w:rPr>
                <w:rFonts w:cs="Times New Roman"/>
                <w:sz w:val="20"/>
                <w:szCs w:val="20"/>
              </w:rPr>
              <w:t xml:space="preserve">Detailed </w:t>
            </w:r>
            <w:r w:rsidR="003E48EC" w:rsidRPr="00F7263B">
              <w:rPr>
                <w:rFonts w:cs="Times New Roman"/>
                <w:sz w:val="20"/>
                <w:szCs w:val="20"/>
              </w:rPr>
              <w:t>review of implementation experience,</w:t>
            </w:r>
            <w:r w:rsidR="00A2314D">
              <w:rPr>
                <w:rFonts w:cs="Times New Roman"/>
                <w:sz w:val="20"/>
                <w:szCs w:val="20"/>
              </w:rPr>
              <w:t xml:space="preserve"> </w:t>
            </w:r>
            <w:r w:rsidR="003E48EC" w:rsidRPr="00F7263B">
              <w:rPr>
                <w:rFonts w:cs="Times New Roman"/>
                <w:sz w:val="20"/>
                <w:szCs w:val="20"/>
              </w:rPr>
              <w:t>achievement of the key performance indicators,</w:t>
            </w:r>
            <w:r w:rsidR="00116B71" w:rsidRPr="00F7263B">
              <w:rPr>
                <w:rFonts w:cs="Times New Roman"/>
                <w:sz w:val="20"/>
                <w:szCs w:val="20"/>
              </w:rPr>
              <w:t xml:space="preserve"> and </w:t>
            </w:r>
            <w:r w:rsidR="003E48EC" w:rsidRPr="00F7263B">
              <w:rPr>
                <w:rFonts w:cs="Times New Roman"/>
                <w:sz w:val="20"/>
                <w:szCs w:val="20"/>
              </w:rPr>
              <w:t>progress towards the PDOs.</w:t>
            </w:r>
          </w:p>
        </w:tc>
        <w:tc>
          <w:tcPr>
            <w:tcW w:w="3780" w:type="dxa"/>
          </w:tcPr>
          <w:p w:rsidR="00116B71" w:rsidRPr="00F7263B" w:rsidRDefault="003E48EC" w:rsidP="00B026F6">
            <w:pPr>
              <w:tabs>
                <w:tab w:val="left" w:pos="0"/>
              </w:tabs>
              <w:contextualSpacing/>
              <w:rPr>
                <w:rFonts w:cs="Times New Roman"/>
                <w:sz w:val="20"/>
                <w:szCs w:val="20"/>
              </w:rPr>
            </w:pPr>
            <w:r w:rsidRPr="00F7263B">
              <w:rPr>
                <w:rFonts w:cs="Times New Roman"/>
                <w:sz w:val="20"/>
                <w:szCs w:val="20"/>
              </w:rPr>
              <w:t>M</w:t>
            </w:r>
            <w:r w:rsidR="00116B71" w:rsidRPr="00F7263B">
              <w:rPr>
                <w:rFonts w:cs="Times New Roman"/>
                <w:sz w:val="20"/>
                <w:szCs w:val="20"/>
              </w:rPr>
              <w:t>idterm review</w:t>
            </w:r>
            <w:r w:rsidRPr="00F7263B">
              <w:rPr>
                <w:rFonts w:cs="Times New Roman"/>
                <w:sz w:val="20"/>
                <w:szCs w:val="20"/>
              </w:rPr>
              <w:t>.</w:t>
            </w:r>
          </w:p>
        </w:tc>
        <w:tc>
          <w:tcPr>
            <w:tcW w:w="2250" w:type="dxa"/>
          </w:tcPr>
          <w:p w:rsidR="00116B71" w:rsidRPr="00F7263B" w:rsidRDefault="00116B71" w:rsidP="003B0603">
            <w:pPr>
              <w:tabs>
                <w:tab w:val="left" w:pos="0"/>
              </w:tabs>
              <w:contextualSpacing/>
              <w:rPr>
                <w:rFonts w:cs="Times New Roman"/>
                <w:sz w:val="20"/>
                <w:szCs w:val="20"/>
              </w:rPr>
            </w:pPr>
            <w:r w:rsidRPr="00F7263B">
              <w:rPr>
                <w:rFonts w:cs="Times New Roman"/>
                <w:sz w:val="20"/>
                <w:szCs w:val="20"/>
              </w:rPr>
              <w:t>Once in the Program (2017)</w:t>
            </w:r>
          </w:p>
        </w:tc>
      </w:tr>
    </w:tbl>
    <w:p w:rsidR="003E48EC" w:rsidRPr="00F7263B" w:rsidRDefault="003E48EC" w:rsidP="004C7DCC">
      <w:pPr>
        <w:pStyle w:val="ListParagraph"/>
        <w:rPr>
          <w:rFonts w:cs="Times New Roman"/>
          <w:sz w:val="20"/>
          <w:szCs w:val="20"/>
        </w:rPr>
      </w:pPr>
    </w:p>
    <w:p w:rsidR="004C7DCC" w:rsidRPr="00F7263B" w:rsidRDefault="00821460" w:rsidP="00975B0C">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MUDHCo</w:t>
      </w:r>
      <w:r w:rsidR="004C7DCC" w:rsidRPr="00F7263B">
        <w:rPr>
          <w:rFonts w:cs="Times New Roman"/>
          <w:b/>
          <w:sz w:val="20"/>
          <w:szCs w:val="20"/>
        </w:rPr>
        <w:t xml:space="preserve"> is responsible for planning and supervising the implementation of the </w:t>
      </w:r>
      <w:r w:rsidR="00191B07" w:rsidRPr="00F7263B">
        <w:rPr>
          <w:rFonts w:cs="Times New Roman"/>
          <w:b/>
          <w:sz w:val="20"/>
          <w:szCs w:val="20"/>
        </w:rPr>
        <w:t>APA</w:t>
      </w:r>
      <w:r w:rsidR="004C7DCC" w:rsidRPr="00F7263B">
        <w:rPr>
          <w:rFonts w:cs="Times New Roman"/>
          <w:b/>
          <w:sz w:val="20"/>
          <w:szCs w:val="20"/>
        </w:rPr>
        <w:t xml:space="preserve"> and the value for money audit</w:t>
      </w:r>
      <w:r w:rsidR="003B0603" w:rsidRPr="00F7263B">
        <w:rPr>
          <w:rFonts w:cs="Times New Roman"/>
          <w:b/>
          <w:sz w:val="20"/>
          <w:szCs w:val="20"/>
        </w:rPr>
        <w:t>.</w:t>
      </w:r>
      <w:r w:rsidR="00126FE8" w:rsidRPr="00F7263B">
        <w:rPr>
          <w:rFonts w:cs="Times New Roman"/>
          <w:b/>
          <w:sz w:val="20"/>
          <w:szCs w:val="20"/>
        </w:rPr>
        <w:t xml:space="preserve"> </w:t>
      </w:r>
      <w:r w:rsidR="004C7DCC" w:rsidRPr="00F7263B">
        <w:rPr>
          <w:rFonts w:cs="Times New Roman"/>
          <w:sz w:val="20"/>
          <w:szCs w:val="20"/>
        </w:rPr>
        <w:t xml:space="preserve">The </w:t>
      </w:r>
      <w:r w:rsidR="00191B07" w:rsidRPr="00F7263B">
        <w:rPr>
          <w:rFonts w:cs="Times New Roman"/>
          <w:sz w:val="20"/>
          <w:szCs w:val="20"/>
        </w:rPr>
        <w:t>APA</w:t>
      </w:r>
      <w:r w:rsidR="004C7DCC" w:rsidRPr="00F7263B">
        <w:rPr>
          <w:rFonts w:cs="Times New Roman"/>
          <w:sz w:val="20"/>
          <w:szCs w:val="20"/>
        </w:rPr>
        <w:t xml:space="preserve"> will be carried out by an independent firm to ensure the objectivity of the </w:t>
      </w:r>
      <w:r w:rsidR="003E48EC" w:rsidRPr="00F7263B">
        <w:rPr>
          <w:rFonts w:cs="Times New Roman"/>
          <w:sz w:val="20"/>
          <w:szCs w:val="20"/>
        </w:rPr>
        <w:t>findings</w:t>
      </w:r>
      <w:r w:rsidR="003B0603" w:rsidRPr="00F7263B">
        <w:rPr>
          <w:rFonts w:cs="Times New Roman"/>
          <w:sz w:val="20"/>
          <w:szCs w:val="20"/>
        </w:rPr>
        <w:t xml:space="preserve">.  </w:t>
      </w:r>
      <w:r w:rsidR="004C7DCC" w:rsidRPr="00F7263B">
        <w:rPr>
          <w:rFonts w:cs="Times New Roman"/>
          <w:sz w:val="20"/>
          <w:szCs w:val="20"/>
        </w:rPr>
        <w:t xml:space="preserve">The assessment will be carried out in line with the </w:t>
      </w:r>
      <w:r w:rsidR="007414BF" w:rsidRPr="00F7263B">
        <w:rPr>
          <w:rFonts w:cs="Times New Roman"/>
          <w:sz w:val="20"/>
          <w:szCs w:val="20"/>
        </w:rPr>
        <w:t>Operational Manual</w:t>
      </w:r>
      <w:r w:rsidR="004C7DCC" w:rsidRPr="00F7263B">
        <w:rPr>
          <w:rFonts w:cs="Times New Roman"/>
          <w:sz w:val="20"/>
          <w:szCs w:val="20"/>
        </w:rPr>
        <w:t xml:space="preserve">, which is being developed by </w:t>
      </w:r>
      <w:r w:rsidRPr="00F7263B">
        <w:rPr>
          <w:rFonts w:cs="Times New Roman"/>
          <w:sz w:val="20"/>
          <w:szCs w:val="20"/>
        </w:rPr>
        <w:t>MUDHCo</w:t>
      </w:r>
      <w:r w:rsidR="004C7DCC" w:rsidRPr="00F7263B">
        <w:rPr>
          <w:rFonts w:cs="Times New Roman"/>
          <w:sz w:val="20"/>
          <w:szCs w:val="20"/>
        </w:rPr>
        <w:t>, with its content and quality acceptable to the Bank</w:t>
      </w:r>
      <w:r w:rsidR="003B0603" w:rsidRPr="00F7263B">
        <w:rPr>
          <w:rFonts w:cs="Times New Roman"/>
          <w:sz w:val="20"/>
          <w:szCs w:val="20"/>
        </w:rPr>
        <w:t xml:space="preserve">.  </w:t>
      </w:r>
      <w:r w:rsidR="004C7DCC" w:rsidRPr="00F7263B">
        <w:rPr>
          <w:rFonts w:cs="Times New Roman"/>
          <w:sz w:val="20"/>
          <w:szCs w:val="20"/>
        </w:rPr>
        <w:t xml:space="preserve">The </w:t>
      </w:r>
      <w:r w:rsidR="00373BD4" w:rsidRPr="00F7263B">
        <w:rPr>
          <w:rFonts w:cs="Times New Roman"/>
          <w:sz w:val="20"/>
          <w:szCs w:val="20"/>
        </w:rPr>
        <w:t xml:space="preserve">Operations Manual </w:t>
      </w:r>
      <w:r w:rsidR="004C7DCC" w:rsidRPr="00F7263B">
        <w:rPr>
          <w:rFonts w:cs="Times New Roman"/>
          <w:sz w:val="20"/>
          <w:szCs w:val="20"/>
        </w:rPr>
        <w:t>will provide clear definitions for each indicator as well as comprehensive guidance on the scoring</w:t>
      </w:r>
      <w:r w:rsidR="003B0603" w:rsidRPr="00F7263B">
        <w:rPr>
          <w:rFonts w:cs="Times New Roman"/>
          <w:sz w:val="20"/>
          <w:szCs w:val="20"/>
        </w:rPr>
        <w:t xml:space="preserve">.  </w:t>
      </w:r>
      <w:r w:rsidR="004C7DCC" w:rsidRPr="00F7263B">
        <w:rPr>
          <w:rFonts w:cs="Times New Roman"/>
          <w:sz w:val="20"/>
          <w:szCs w:val="20"/>
        </w:rPr>
        <w:t xml:space="preserve">Adjustments which might be needed to the performance indicators and scoring will be done throughout implementation and particularly at the midterm review to </w:t>
      </w:r>
      <w:r w:rsidR="00FF2455" w:rsidRPr="00F7263B">
        <w:rPr>
          <w:rFonts w:cs="Times New Roman"/>
          <w:sz w:val="20"/>
          <w:szCs w:val="20"/>
        </w:rPr>
        <w:t xml:space="preserve">ensure that the system is </w:t>
      </w:r>
      <w:r w:rsidR="00373BD4" w:rsidRPr="00F7263B">
        <w:rPr>
          <w:rFonts w:cs="Times New Roman"/>
          <w:sz w:val="20"/>
          <w:szCs w:val="20"/>
        </w:rPr>
        <w:t xml:space="preserve">manageable and </w:t>
      </w:r>
      <w:r w:rsidR="00FF2455" w:rsidRPr="00F7263B">
        <w:rPr>
          <w:rFonts w:cs="Times New Roman"/>
          <w:sz w:val="20"/>
          <w:szCs w:val="20"/>
        </w:rPr>
        <w:t>robust</w:t>
      </w:r>
      <w:r w:rsidR="003B0603" w:rsidRPr="00F7263B">
        <w:rPr>
          <w:rFonts w:cs="Times New Roman"/>
          <w:sz w:val="20"/>
          <w:szCs w:val="20"/>
        </w:rPr>
        <w:t xml:space="preserve">.  </w:t>
      </w:r>
      <w:r w:rsidR="002720A7" w:rsidRPr="00F7263B">
        <w:rPr>
          <w:rFonts w:cs="Times New Roman"/>
          <w:sz w:val="20"/>
          <w:szCs w:val="20"/>
        </w:rPr>
        <w:t>Starting in year three of the ULGDP II, t</w:t>
      </w:r>
      <w:r w:rsidR="00FF2455" w:rsidRPr="00F7263B">
        <w:rPr>
          <w:rFonts w:cs="Times New Roman"/>
          <w:sz w:val="20"/>
          <w:szCs w:val="20"/>
        </w:rPr>
        <w:t xml:space="preserve">he value for money audits will be </w:t>
      </w:r>
      <w:r w:rsidR="002720A7" w:rsidRPr="00F7263B">
        <w:rPr>
          <w:rFonts w:cs="Times New Roman"/>
          <w:sz w:val="20"/>
          <w:szCs w:val="20"/>
        </w:rPr>
        <w:t>launched and carried out</w:t>
      </w:r>
      <w:r w:rsidR="00126FE8" w:rsidRPr="00F7263B">
        <w:rPr>
          <w:rFonts w:cs="Times New Roman"/>
          <w:sz w:val="20"/>
          <w:szCs w:val="20"/>
        </w:rPr>
        <w:t xml:space="preserve"> </w:t>
      </w:r>
      <w:r w:rsidR="002720A7" w:rsidRPr="00F7263B">
        <w:rPr>
          <w:rFonts w:cs="Times New Roman"/>
          <w:sz w:val="20"/>
          <w:szCs w:val="20"/>
        </w:rPr>
        <w:t xml:space="preserve">by independent firms </w:t>
      </w:r>
      <w:r w:rsidR="00FF2455" w:rsidRPr="00F7263B">
        <w:rPr>
          <w:rFonts w:cs="Times New Roman"/>
          <w:sz w:val="20"/>
          <w:szCs w:val="20"/>
        </w:rPr>
        <w:t>under terms of reference acceptable to the Bank</w:t>
      </w:r>
      <w:r w:rsidR="003B0603" w:rsidRPr="00F7263B">
        <w:rPr>
          <w:rFonts w:cs="Times New Roman"/>
          <w:sz w:val="20"/>
          <w:szCs w:val="20"/>
        </w:rPr>
        <w:t xml:space="preserve">.  </w:t>
      </w:r>
      <w:r w:rsidR="000765D6" w:rsidRPr="00F7263B">
        <w:rPr>
          <w:rFonts w:cs="Times New Roman"/>
          <w:sz w:val="20"/>
          <w:szCs w:val="20"/>
        </w:rPr>
        <w:t xml:space="preserve">Results of the </w:t>
      </w:r>
      <w:r w:rsidR="003B0603" w:rsidRPr="00F7263B">
        <w:rPr>
          <w:rFonts w:cs="Times New Roman"/>
          <w:sz w:val="20"/>
          <w:szCs w:val="20"/>
        </w:rPr>
        <w:t xml:space="preserve">value for money audits </w:t>
      </w:r>
      <w:r w:rsidR="000765D6" w:rsidRPr="00F7263B">
        <w:rPr>
          <w:rFonts w:cs="Times New Roman"/>
          <w:sz w:val="20"/>
          <w:szCs w:val="20"/>
        </w:rPr>
        <w:t xml:space="preserve">will </w:t>
      </w:r>
      <w:r w:rsidR="003B0603" w:rsidRPr="00F7263B">
        <w:rPr>
          <w:rFonts w:cs="Times New Roman"/>
          <w:sz w:val="20"/>
          <w:szCs w:val="20"/>
        </w:rPr>
        <w:t>be captured in</w:t>
      </w:r>
      <w:r w:rsidR="000765D6" w:rsidRPr="00F7263B">
        <w:rPr>
          <w:rFonts w:cs="Times New Roman"/>
          <w:sz w:val="20"/>
          <w:szCs w:val="20"/>
        </w:rPr>
        <w:t xml:space="preserve"> the APA.</w:t>
      </w:r>
    </w:p>
    <w:p w:rsidR="000765D6" w:rsidRPr="00F7263B" w:rsidRDefault="000765D6" w:rsidP="00975B0C">
      <w:pPr>
        <w:pStyle w:val="ListParagraph"/>
        <w:rPr>
          <w:rFonts w:cs="Times New Roman"/>
          <w:sz w:val="20"/>
          <w:szCs w:val="20"/>
        </w:rPr>
      </w:pPr>
    </w:p>
    <w:p w:rsidR="000765D6" w:rsidRPr="00F7263B" w:rsidRDefault="000765D6" w:rsidP="00D92D63">
      <w:pPr>
        <w:pStyle w:val="ListParagraph"/>
        <w:numPr>
          <w:ilvl w:val="0"/>
          <w:numId w:val="9"/>
        </w:numPr>
        <w:autoSpaceDE w:val="0"/>
        <w:autoSpaceDN w:val="0"/>
        <w:adjustRightInd w:val="0"/>
        <w:spacing w:after="240"/>
        <w:ind w:left="0" w:firstLine="0"/>
        <w:jc w:val="both"/>
        <w:rPr>
          <w:rFonts w:cs="Times New Roman"/>
          <w:sz w:val="20"/>
          <w:szCs w:val="20"/>
        </w:rPr>
      </w:pPr>
      <w:r w:rsidRPr="00F7263B">
        <w:rPr>
          <w:b/>
          <w:sz w:val="20"/>
          <w:szCs w:val="20"/>
        </w:rPr>
        <w:t>Reporting</w:t>
      </w:r>
      <w:r w:rsidR="003B0603" w:rsidRPr="00F7263B">
        <w:rPr>
          <w:sz w:val="20"/>
          <w:szCs w:val="20"/>
        </w:rPr>
        <w:t xml:space="preserve">.  </w:t>
      </w:r>
      <w:r w:rsidRPr="00F7263B">
        <w:rPr>
          <w:sz w:val="20"/>
          <w:szCs w:val="20"/>
        </w:rPr>
        <w:t xml:space="preserve">The </w:t>
      </w:r>
      <w:r w:rsidR="00276BC8" w:rsidRPr="00F7263B">
        <w:rPr>
          <w:rFonts w:cs="Times New Roman"/>
          <w:sz w:val="20"/>
          <w:szCs w:val="20"/>
        </w:rPr>
        <w:t>MUDHCo</w:t>
      </w:r>
      <w:r w:rsidRPr="00F7263B">
        <w:rPr>
          <w:rFonts w:cs="Times New Roman"/>
          <w:sz w:val="20"/>
          <w:szCs w:val="20"/>
        </w:rPr>
        <w:t xml:space="preserve"> will be responsible for overall Program reporting</w:t>
      </w:r>
      <w:r w:rsidR="003B0603" w:rsidRPr="00F7263B">
        <w:rPr>
          <w:rFonts w:cs="Times New Roman"/>
          <w:sz w:val="20"/>
          <w:szCs w:val="20"/>
        </w:rPr>
        <w:t xml:space="preserve">.  </w:t>
      </w:r>
      <w:r w:rsidRPr="00F7263B">
        <w:rPr>
          <w:rFonts w:cs="Times New Roman"/>
          <w:sz w:val="20"/>
          <w:szCs w:val="20"/>
        </w:rPr>
        <w:t xml:space="preserve">It will consolidate and analyze the field data submitted by regions and ULGs and update the Program’s results framework </w:t>
      </w:r>
      <w:r w:rsidR="003E48EC" w:rsidRPr="00F7263B">
        <w:rPr>
          <w:rFonts w:cs="Times New Roman"/>
          <w:sz w:val="20"/>
          <w:szCs w:val="20"/>
        </w:rPr>
        <w:t>twice a year</w:t>
      </w:r>
      <w:r w:rsidR="003B0603" w:rsidRPr="00F7263B">
        <w:rPr>
          <w:rFonts w:cs="Times New Roman"/>
          <w:sz w:val="20"/>
          <w:szCs w:val="20"/>
        </w:rPr>
        <w:t xml:space="preserve">.  </w:t>
      </w:r>
      <w:r w:rsidRPr="00F7263B">
        <w:rPr>
          <w:rFonts w:cs="Times New Roman"/>
          <w:sz w:val="20"/>
          <w:szCs w:val="20"/>
        </w:rPr>
        <w:t>It will also produce and submit to the World Bank</w:t>
      </w:r>
      <w:r w:rsidR="003E48EC" w:rsidRPr="00F7263B">
        <w:rPr>
          <w:rFonts w:cs="Times New Roman"/>
          <w:sz w:val="20"/>
          <w:szCs w:val="20"/>
        </w:rPr>
        <w:t xml:space="preserve">a </w:t>
      </w:r>
      <w:r w:rsidR="00975B0C" w:rsidRPr="00F7263B">
        <w:rPr>
          <w:rFonts w:cs="Times New Roman"/>
          <w:sz w:val="20"/>
          <w:szCs w:val="20"/>
        </w:rPr>
        <w:t xml:space="preserve">midyear </w:t>
      </w:r>
      <w:r w:rsidR="0070054B" w:rsidRPr="00F7263B">
        <w:rPr>
          <w:rFonts w:cs="Times New Roman"/>
          <w:sz w:val="20"/>
          <w:szCs w:val="20"/>
        </w:rPr>
        <w:t xml:space="preserve">and </w:t>
      </w:r>
      <w:r w:rsidR="00510B83" w:rsidRPr="00F7263B">
        <w:rPr>
          <w:rFonts w:cs="Times New Roman"/>
          <w:sz w:val="20"/>
          <w:szCs w:val="20"/>
        </w:rPr>
        <w:t xml:space="preserve">an </w:t>
      </w:r>
      <w:r w:rsidRPr="00F7263B">
        <w:rPr>
          <w:rFonts w:cs="Times New Roman"/>
          <w:sz w:val="20"/>
          <w:szCs w:val="20"/>
        </w:rPr>
        <w:t>annual Program report</w:t>
      </w:r>
      <w:r w:rsidR="003E48EC" w:rsidRPr="00F7263B">
        <w:rPr>
          <w:rFonts w:cs="Times New Roman"/>
          <w:sz w:val="20"/>
          <w:szCs w:val="20"/>
        </w:rPr>
        <w:t>, with</w:t>
      </w:r>
      <w:r w:rsidRPr="00F7263B">
        <w:rPr>
          <w:rFonts w:cs="Times New Roman"/>
          <w:sz w:val="20"/>
          <w:szCs w:val="20"/>
        </w:rPr>
        <w:t xml:space="preserve"> information on the following:</w:t>
      </w:r>
    </w:p>
    <w:p w:rsidR="002E6515" w:rsidRPr="00F7263B" w:rsidRDefault="002E6515" w:rsidP="00254260">
      <w:pPr>
        <w:pStyle w:val="ListParagraph"/>
        <w:rPr>
          <w:rFonts w:cs="Times New Roman"/>
          <w:sz w:val="20"/>
          <w:szCs w:val="20"/>
        </w:rPr>
      </w:pPr>
    </w:p>
    <w:p w:rsidR="002E6515" w:rsidRPr="00F7263B" w:rsidRDefault="002E6515" w:rsidP="00D92D63">
      <w:pPr>
        <w:pStyle w:val="ListParagraph"/>
        <w:numPr>
          <w:ilvl w:val="0"/>
          <w:numId w:val="9"/>
        </w:numPr>
        <w:autoSpaceDE w:val="0"/>
        <w:autoSpaceDN w:val="0"/>
        <w:adjustRightInd w:val="0"/>
        <w:spacing w:after="240"/>
        <w:ind w:left="0" w:firstLine="0"/>
        <w:jc w:val="both"/>
        <w:rPr>
          <w:rFonts w:cs="Times New Roman"/>
          <w:sz w:val="20"/>
          <w:szCs w:val="20"/>
        </w:rPr>
      </w:pPr>
      <w:r w:rsidRPr="00F7263B">
        <w:rPr>
          <w:rFonts w:cs="Times New Roman"/>
          <w:b/>
          <w:sz w:val="20"/>
          <w:szCs w:val="20"/>
        </w:rPr>
        <w:t>The midyear will cover the following issues</w:t>
      </w:r>
      <w:r w:rsidRPr="00F7263B">
        <w:rPr>
          <w:rFonts w:cs="Times New Roman"/>
          <w:sz w:val="20"/>
          <w:szCs w:val="20"/>
        </w:rPr>
        <w:t>:</w:t>
      </w:r>
    </w:p>
    <w:p w:rsidR="00A215D4" w:rsidRPr="00F7263B" w:rsidRDefault="00A215D4" w:rsidP="00A215D4">
      <w:pPr>
        <w:pStyle w:val="ListParagraph"/>
        <w:rPr>
          <w:rFonts w:cs="Times New Roman"/>
          <w:sz w:val="20"/>
          <w:szCs w:val="20"/>
        </w:rPr>
      </w:pPr>
    </w:p>
    <w:p w:rsidR="000765D6" w:rsidRPr="00F7263B" w:rsidRDefault="000765D6"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Program expenditures and Program infrastructure delivered by ULGs</w:t>
      </w:r>
      <w:r w:rsidR="00A215D4" w:rsidRPr="00F7263B">
        <w:rPr>
          <w:rFonts w:cs="Times New Roman"/>
          <w:sz w:val="20"/>
          <w:szCs w:val="20"/>
        </w:rPr>
        <w:t>.</w:t>
      </w:r>
    </w:p>
    <w:p w:rsidR="000765D6" w:rsidRPr="00F7263B" w:rsidRDefault="000765D6"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 xml:space="preserve">Execution of the </w:t>
      </w:r>
      <w:r w:rsidR="00276BC8" w:rsidRPr="00F7263B">
        <w:rPr>
          <w:rFonts w:cs="Times New Roman"/>
          <w:sz w:val="20"/>
          <w:szCs w:val="20"/>
        </w:rPr>
        <w:t>MUDHCo</w:t>
      </w:r>
      <w:r w:rsidRPr="00F7263B">
        <w:rPr>
          <w:rFonts w:cs="Times New Roman"/>
          <w:sz w:val="20"/>
          <w:szCs w:val="20"/>
        </w:rPr>
        <w:t xml:space="preserve"> capacity building plan</w:t>
      </w:r>
      <w:r w:rsidR="00A215D4" w:rsidRPr="00F7263B">
        <w:rPr>
          <w:rFonts w:cs="Times New Roman"/>
          <w:sz w:val="20"/>
          <w:szCs w:val="20"/>
        </w:rPr>
        <w:t>.</w:t>
      </w:r>
    </w:p>
    <w:p w:rsidR="000765D6" w:rsidRPr="00F7263B" w:rsidRDefault="000765D6"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capacity building activities undertaken by ULGs</w:t>
      </w:r>
      <w:r w:rsidR="00A215D4" w:rsidRPr="00F7263B">
        <w:rPr>
          <w:rFonts w:cs="Times New Roman"/>
          <w:sz w:val="20"/>
          <w:szCs w:val="20"/>
        </w:rPr>
        <w:t xml:space="preserve"> and regional government</w:t>
      </w:r>
      <w:r w:rsidRPr="00F7263B">
        <w:rPr>
          <w:rFonts w:cs="Times New Roman"/>
          <w:sz w:val="20"/>
          <w:szCs w:val="20"/>
        </w:rPr>
        <w:t>s</w:t>
      </w:r>
      <w:r w:rsidR="00A215D4" w:rsidRPr="00F7263B">
        <w:rPr>
          <w:rFonts w:cs="Times New Roman"/>
          <w:sz w:val="20"/>
          <w:szCs w:val="20"/>
        </w:rPr>
        <w:t>.</w:t>
      </w:r>
    </w:p>
    <w:p w:rsidR="000765D6" w:rsidRPr="00F7263B" w:rsidRDefault="000765D6"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environmental and social performance reports from each ULG, including information on grievances</w:t>
      </w:r>
      <w:r w:rsidR="00A215D4" w:rsidRPr="00F7263B">
        <w:rPr>
          <w:rFonts w:cs="Times New Roman"/>
          <w:sz w:val="20"/>
          <w:szCs w:val="20"/>
        </w:rPr>
        <w:t>.</w:t>
      </w:r>
    </w:p>
    <w:p w:rsidR="002E6515" w:rsidRPr="00F7263B" w:rsidRDefault="002E6515"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progress against Program’s performance indicators.</w:t>
      </w:r>
    </w:p>
    <w:p w:rsidR="000765D6" w:rsidRPr="00F7263B" w:rsidRDefault="000765D6" w:rsidP="00254260">
      <w:pPr>
        <w:pStyle w:val="ListParagraph"/>
        <w:spacing w:after="200"/>
        <w:ind w:left="0"/>
        <w:jc w:val="both"/>
        <w:rPr>
          <w:sz w:val="20"/>
          <w:szCs w:val="20"/>
        </w:rPr>
      </w:pPr>
    </w:p>
    <w:p w:rsidR="002E6515" w:rsidRPr="00F7263B" w:rsidRDefault="002E6515" w:rsidP="00254260">
      <w:pPr>
        <w:pStyle w:val="ListParagraph"/>
        <w:numPr>
          <w:ilvl w:val="0"/>
          <w:numId w:val="9"/>
        </w:numPr>
        <w:autoSpaceDE w:val="0"/>
        <w:autoSpaceDN w:val="0"/>
        <w:adjustRightInd w:val="0"/>
        <w:spacing w:after="240"/>
        <w:ind w:left="0" w:firstLine="0"/>
        <w:jc w:val="both"/>
        <w:rPr>
          <w:b/>
          <w:sz w:val="20"/>
          <w:szCs w:val="20"/>
        </w:rPr>
      </w:pPr>
      <w:r w:rsidRPr="00F7263B">
        <w:rPr>
          <w:b/>
          <w:sz w:val="20"/>
          <w:szCs w:val="20"/>
        </w:rPr>
        <w:t>The annual Program report will include all the above, plus:</w:t>
      </w:r>
    </w:p>
    <w:p w:rsidR="002E6515" w:rsidRPr="00F7263B" w:rsidRDefault="002E6515" w:rsidP="00254260">
      <w:pPr>
        <w:pStyle w:val="ListParagraph"/>
        <w:autoSpaceDE w:val="0"/>
        <w:autoSpaceDN w:val="0"/>
        <w:adjustRightInd w:val="0"/>
        <w:spacing w:after="240"/>
        <w:ind w:left="0"/>
        <w:jc w:val="both"/>
        <w:rPr>
          <w:sz w:val="20"/>
          <w:szCs w:val="20"/>
        </w:rPr>
      </w:pPr>
    </w:p>
    <w:p w:rsidR="002E6515" w:rsidRPr="00F7263B" w:rsidRDefault="002E6515"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the assessment results, including the performance of Program ULGs and the disbursed amounts.</w:t>
      </w:r>
    </w:p>
    <w:p w:rsidR="002E6515" w:rsidRPr="00F7263B" w:rsidRDefault="002E6515"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information on procurement grievances.</w:t>
      </w:r>
    </w:p>
    <w:p w:rsidR="002E6515" w:rsidRPr="00F7263B" w:rsidRDefault="002E6515" w:rsidP="002E6515">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information on fraud and corruption issues.</w:t>
      </w:r>
    </w:p>
    <w:p w:rsidR="002E6515" w:rsidRPr="00F7263B" w:rsidRDefault="002E6515" w:rsidP="00254260">
      <w:pPr>
        <w:pStyle w:val="ListParagraph"/>
        <w:autoSpaceDE w:val="0"/>
        <w:autoSpaceDN w:val="0"/>
        <w:adjustRightInd w:val="0"/>
        <w:spacing w:after="240"/>
        <w:ind w:left="0"/>
        <w:jc w:val="both"/>
        <w:rPr>
          <w:sz w:val="20"/>
          <w:szCs w:val="20"/>
        </w:rPr>
      </w:pPr>
    </w:p>
    <w:p w:rsidR="00282B94" w:rsidRPr="00F7263B" w:rsidRDefault="00E72ECE" w:rsidP="00D92D63">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Capacity building for M&amp;E</w:t>
      </w:r>
      <w:r w:rsidR="003B0603" w:rsidRPr="00F7263B">
        <w:rPr>
          <w:sz w:val="20"/>
          <w:szCs w:val="20"/>
        </w:rPr>
        <w:t xml:space="preserve">.  </w:t>
      </w:r>
      <w:r w:rsidRPr="00F7263B">
        <w:rPr>
          <w:sz w:val="20"/>
          <w:szCs w:val="20"/>
        </w:rPr>
        <w:t>The Program provides support for one or two additional M&amp;E specialists at the federal level</w:t>
      </w:r>
      <w:r w:rsidR="003B0603" w:rsidRPr="00F7263B">
        <w:rPr>
          <w:sz w:val="20"/>
          <w:szCs w:val="20"/>
        </w:rPr>
        <w:t xml:space="preserve">.  </w:t>
      </w:r>
      <w:r w:rsidRPr="00F7263B">
        <w:rPr>
          <w:sz w:val="20"/>
          <w:szCs w:val="20"/>
        </w:rPr>
        <w:t>Moreover, each regional mobile team will include at least one M&amp;E specialist</w:t>
      </w:r>
      <w:r w:rsidR="003B0603" w:rsidRPr="00F7263B">
        <w:rPr>
          <w:sz w:val="20"/>
          <w:szCs w:val="20"/>
        </w:rPr>
        <w:t xml:space="preserve">.  </w:t>
      </w:r>
      <w:r w:rsidRPr="00F7263B">
        <w:rPr>
          <w:sz w:val="20"/>
          <w:szCs w:val="20"/>
        </w:rPr>
        <w:t>Cities are required to appoint an M&amp;E specialist to their Program team as a minimum access condition</w:t>
      </w:r>
      <w:r w:rsidR="003B0603" w:rsidRPr="00F7263B">
        <w:rPr>
          <w:sz w:val="20"/>
          <w:szCs w:val="20"/>
        </w:rPr>
        <w:t xml:space="preserve">.  </w:t>
      </w:r>
      <w:r w:rsidRPr="00F7263B">
        <w:rPr>
          <w:sz w:val="20"/>
          <w:szCs w:val="20"/>
        </w:rPr>
        <w:t>The Program will finance regular training of M&amp;E specialists, technical assistance, and other capacity support required to establish and operate an effective M&amp;E system</w:t>
      </w:r>
      <w:r w:rsidR="003B0603" w:rsidRPr="00F7263B">
        <w:rPr>
          <w:sz w:val="20"/>
          <w:szCs w:val="20"/>
        </w:rPr>
        <w:t xml:space="preserve">.  </w:t>
      </w:r>
    </w:p>
    <w:p w:rsidR="00121C28" w:rsidRPr="00F7263B" w:rsidRDefault="00121C28" w:rsidP="00556F1B">
      <w:pPr>
        <w:pStyle w:val="ListParagraph"/>
        <w:autoSpaceDE w:val="0"/>
        <w:autoSpaceDN w:val="0"/>
        <w:adjustRightInd w:val="0"/>
        <w:ind w:left="0"/>
        <w:jc w:val="both"/>
        <w:rPr>
          <w:rFonts w:cs="Times New Roman"/>
          <w:sz w:val="20"/>
          <w:szCs w:val="20"/>
        </w:rPr>
      </w:pPr>
    </w:p>
    <w:p w:rsidR="00D51A17" w:rsidRPr="00F7263B" w:rsidRDefault="001D2940" w:rsidP="00EE1400">
      <w:pPr>
        <w:pStyle w:val="Heading2"/>
        <w:ind w:left="0"/>
        <w:jc w:val="both"/>
        <w:rPr>
          <w:sz w:val="20"/>
          <w:szCs w:val="20"/>
        </w:rPr>
      </w:pPr>
      <w:bookmarkStart w:id="19" w:name="_Toc380167577"/>
      <w:r w:rsidRPr="00F7263B">
        <w:rPr>
          <w:sz w:val="20"/>
          <w:szCs w:val="20"/>
        </w:rPr>
        <w:t xml:space="preserve">Disbursement </w:t>
      </w:r>
      <w:r w:rsidR="00D93430" w:rsidRPr="00F7263B">
        <w:rPr>
          <w:sz w:val="20"/>
          <w:szCs w:val="20"/>
        </w:rPr>
        <w:t>A</w:t>
      </w:r>
      <w:r w:rsidRPr="00F7263B">
        <w:rPr>
          <w:sz w:val="20"/>
          <w:szCs w:val="20"/>
        </w:rPr>
        <w:t>rrangements and Verification Protocols</w:t>
      </w:r>
      <w:bookmarkEnd w:id="19"/>
    </w:p>
    <w:p w:rsidR="00D51A17" w:rsidRPr="00F7263B" w:rsidRDefault="00D51A17" w:rsidP="00556F1B">
      <w:pPr>
        <w:pStyle w:val="ListParagraph"/>
        <w:autoSpaceDE w:val="0"/>
        <w:autoSpaceDN w:val="0"/>
        <w:adjustRightInd w:val="0"/>
        <w:ind w:left="0"/>
        <w:jc w:val="both"/>
        <w:rPr>
          <w:rFonts w:cs="Times New Roman"/>
          <w:sz w:val="20"/>
          <w:szCs w:val="20"/>
        </w:rPr>
      </w:pPr>
    </w:p>
    <w:p w:rsidR="001D2534" w:rsidRPr="00F7263B" w:rsidRDefault="001D2534"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Disbursements of Program funds towards DLIs 1, 2 and 3 will be made </w:t>
      </w:r>
      <w:r w:rsidR="002E6515" w:rsidRPr="00F7263B">
        <w:rPr>
          <w:rFonts w:cs="Times New Roman"/>
          <w:sz w:val="20"/>
          <w:szCs w:val="20"/>
        </w:rPr>
        <w:t>twice a year</w:t>
      </w:r>
      <w:r w:rsidR="00B27491" w:rsidRPr="00F7263B">
        <w:rPr>
          <w:rFonts w:cs="Times New Roman"/>
          <w:sz w:val="20"/>
          <w:szCs w:val="20"/>
        </w:rPr>
        <w:t xml:space="preserve">.  Disbursements </w:t>
      </w:r>
      <w:r w:rsidRPr="00F7263B">
        <w:rPr>
          <w:rFonts w:cs="Times New Roman"/>
          <w:sz w:val="20"/>
          <w:szCs w:val="20"/>
        </w:rPr>
        <w:t xml:space="preserve">towards the remaining DLIs </w:t>
      </w:r>
      <w:r w:rsidR="00B27491" w:rsidRPr="00F7263B">
        <w:rPr>
          <w:rFonts w:cs="Times New Roman"/>
          <w:sz w:val="20"/>
          <w:szCs w:val="20"/>
        </w:rPr>
        <w:t xml:space="preserve">4, 5, 6, 8, and 9 </w:t>
      </w:r>
      <w:r w:rsidRPr="00F7263B">
        <w:rPr>
          <w:rFonts w:cs="Times New Roman"/>
          <w:sz w:val="20"/>
          <w:szCs w:val="20"/>
        </w:rPr>
        <w:t>will be made annually</w:t>
      </w:r>
      <w:r w:rsidR="00B27491" w:rsidRPr="00F7263B">
        <w:rPr>
          <w:rFonts w:cs="Times New Roman"/>
          <w:sz w:val="20"/>
          <w:szCs w:val="20"/>
        </w:rPr>
        <w:t xml:space="preserve">.  Disbursements towards </w:t>
      </w:r>
      <w:r w:rsidR="00B97856" w:rsidRPr="00F7263B">
        <w:rPr>
          <w:rFonts w:cs="Times New Roman"/>
          <w:sz w:val="20"/>
          <w:szCs w:val="20"/>
        </w:rPr>
        <w:t>DLI 7 will be disbursed twice during the Program period (in FY17 and FY19),</w:t>
      </w:r>
      <w:r w:rsidRPr="00F7263B">
        <w:rPr>
          <w:rFonts w:cs="Times New Roman"/>
          <w:sz w:val="20"/>
          <w:szCs w:val="20"/>
        </w:rPr>
        <w:t xml:space="preserve"> upon the verification of the delivery of intended results, as detailed in the verification protocol</w:t>
      </w:r>
      <w:r w:rsidR="00126FE8" w:rsidRPr="00F7263B">
        <w:rPr>
          <w:rFonts w:cs="Times New Roman"/>
          <w:sz w:val="20"/>
          <w:szCs w:val="20"/>
        </w:rPr>
        <w:t xml:space="preserve"> </w:t>
      </w:r>
      <w:r w:rsidR="00BD1B5F" w:rsidRPr="00F7263B">
        <w:rPr>
          <w:rFonts w:cs="Times New Roman"/>
          <w:sz w:val="20"/>
          <w:szCs w:val="20"/>
        </w:rPr>
        <w:t>(a</w:t>
      </w:r>
      <w:r w:rsidR="00907653" w:rsidRPr="00F7263B">
        <w:rPr>
          <w:rFonts w:cs="Times New Roman"/>
          <w:sz w:val="20"/>
          <w:szCs w:val="20"/>
        </w:rPr>
        <w:t>nnex 3)</w:t>
      </w:r>
      <w:r w:rsidR="003B0603" w:rsidRPr="00F7263B">
        <w:rPr>
          <w:rFonts w:cs="Times New Roman"/>
          <w:sz w:val="20"/>
          <w:szCs w:val="20"/>
        </w:rPr>
        <w:t xml:space="preserve">.  </w:t>
      </w:r>
      <w:r w:rsidRPr="00F7263B">
        <w:rPr>
          <w:rFonts w:cs="Times New Roman"/>
          <w:sz w:val="20"/>
          <w:szCs w:val="20"/>
        </w:rPr>
        <w:t xml:space="preserve">The basis of the verification protocol for DLIs 1 through 7 will be the independent </w:t>
      </w:r>
      <w:r w:rsidR="00BD1B5F" w:rsidRPr="00F7263B">
        <w:rPr>
          <w:rFonts w:cs="Times New Roman"/>
          <w:sz w:val="20"/>
          <w:szCs w:val="20"/>
        </w:rPr>
        <w:t>APA.</w:t>
      </w:r>
      <w:r w:rsidR="00126FE8" w:rsidRPr="00F7263B">
        <w:rPr>
          <w:rFonts w:cs="Times New Roman"/>
          <w:sz w:val="20"/>
          <w:szCs w:val="20"/>
        </w:rPr>
        <w:t xml:space="preserve"> </w:t>
      </w:r>
      <w:r w:rsidRPr="00F7263B">
        <w:rPr>
          <w:rFonts w:cs="Times New Roman"/>
          <w:sz w:val="20"/>
          <w:szCs w:val="20"/>
        </w:rPr>
        <w:t xml:space="preserve">The terms of reference of the firm </w:t>
      </w:r>
      <w:r w:rsidR="00BD1B5F" w:rsidRPr="00F7263B">
        <w:rPr>
          <w:rFonts w:cs="Times New Roman"/>
          <w:sz w:val="20"/>
          <w:szCs w:val="20"/>
        </w:rPr>
        <w:t>carrying out the APA must</w:t>
      </w:r>
      <w:r w:rsidR="00126FE8" w:rsidRPr="00F7263B">
        <w:rPr>
          <w:rFonts w:cs="Times New Roman"/>
          <w:sz w:val="20"/>
          <w:szCs w:val="20"/>
        </w:rPr>
        <w:t xml:space="preserve"> </w:t>
      </w:r>
      <w:r w:rsidRPr="00F7263B">
        <w:rPr>
          <w:rFonts w:cs="Times New Roman"/>
          <w:sz w:val="20"/>
          <w:szCs w:val="20"/>
        </w:rPr>
        <w:t>be acceptable to the World Bank.</w:t>
      </w:r>
      <w:r w:rsidR="001A09A3" w:rsidRPr="00F7263B">
        <w:rPr>
          <w:rFonts w:cs="Times New Roman"/>
          <w:sz w:val="20"/>
          <w:szCs w:val="20"/>
        </w:rPr>
        <w:t xml:space="preserve"> IDA will disburse funds to MoFED only once a year based on independent annual performance reviews.</w:t>
      </w:r>
    </w:p>
    <w:p w:rsidR="001D2534" w:rsidRPr="00F7263B" w:rsidRDefault="001D2534" w:rsidP="001D2534">
      <w:pPr>
        <w:pStyle w:val="ListParagraph"/>
        <w:autoSpaceDE w:val="0"/>
        <w:autoSpaceDN w:val="0"/>
        <w:adjustRightInd w:val="0"/>
        <w:ind w:left="0"/>
        <w:jc w:val="both"/>
        <w:rPr>
          <w:rFonts w:cs="Times New Roman"/>
          <w:sz w:val="20"/>
          <w:szCs w:val="20"/>
        </w:rPr>
      </w:pPr>
    </w:p>
    <w:p w:rsidR="001D2534" w:rsidRPr="00F7263B" w:rsidRDefault="001D2534"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The </w:t>
      </w:r>
      <w:r w:rsidR="00B27491" w:rsidRPr="00F7263B">
        <w:rPr>
          <w:rFonts w:cs="Times New Roman"/>
          <w:sz w:val="20"/>
          <w:szCs w:val="20"/>
        </w:rPr>
        <w:t>APA</w:t>
      </w:r>
      <w:r w:rsidRPr="00F7263B">
        <w:rPr>
          <w:rFonts w:cs="Times New Roman"/>
          <w:sz w:val="20"/>
          <w:szCs w:val="20"/>
        </w:rPr>
        <w:t xml:space="preserve"> will measure the performance of ULGs against the Program’s minimum access conditions and performance indicators (see </w:t>
      </w:r>
      <w:r w:rsidR="00BD1B5F" w:rsidRPr="00F7263B">
        <w:rPr>
          <w:rFonts w:cs="Times New Roman"/>
          <w:sz w:val="20"/>
          <w:szCs w:val="20"/>
        </w:rPr>
        <w:t>a</w:t>
      </w:r>
      <w:r w:rsidRPr="00F7263B">
        <w:rPr>
          <w:rFonts w:cs="Times New Roman"/>
          <w:sz w:val="20"/>
          <w:szCs w:val="20"/>
        </w:rPr>
        <w:t>nnex 10 for detailed list of Program minimum conditions and performance measures)</w:t>
      </w:r>
      <w:r w:rsidR="003B0603" w:rsidRPr="00F7263B">
        <w:rPr>
          <w:rFonts w:cs="Times New Roman"/>
          <w:sz w:val="20"/>
          <w:szCs w:val="20"/>
        </w:rPr>
        <w:t xml:space="preserve">.  </w:t>
      </w:r>
      <w:r w:rsidRPr="00F7263B">
        <w:rPr>
          <w:rFonts w:cs="Times New Roman"/>
          <w:sz w:val="20"/>
          <w:szCs w:val="20"/>
        </w:rPr>
        <w:t>The results of ULG compliance with minimum conditions will determine the disbursement of DLI 1</w:t>
      </w:r>
      <w:r w:rsidR="003B0603" w:rsidRPr="00F7263B">
        <w:rPr>
          <w:rFonts w:cs="Times New Roman"/>
          <w:sz w:val="20"/>
          <w:szCs w:val="20"/>
        </w:rPr>
        <w:t xml:space="preserve">.  </w:t>
      </w:r>
      <w:r w:rsidRPr="00F7263B">
        <w:rPr>
          <w:rFonts w:cs="Times New Roman"/>
          <w:sz w:val="20"/>
          <w:szCs w:val="20"/>
        </w:rPr>
        <w:t>The results of ULG performance against Program’s performance measures will determine disbursement of DLIs 2 and 3</w:t>
      </w:r>
      <w:r w:rsidR="003B0603" w:rsidRPr="00F7263B">
        <w:rPr>
          <w:rFonts w:cs="Times New Roman"/>
          <w:sz w:val="20"/>
          <w:szCs w:val="20"/>
        </w:rPr>
        <w:t xml:space="preserve">.  </w:t>
      </w:r>
      <w:r w:rsidRPr="00F7263B">
        <w:rPr>
          <w:rFonts w:cs="Times New Roman"/>
          <w:sz w:val="20"/>
          <w:szCs w:val="20"/>
        </w:rPr>
        <w:t xml:space="preserve">As part of DLI 3 verification, starting in Program year three, </w:t>
      </w:r>
      <w:r w:rsidR="00BD1B5F" w:rsidRPr="00F7263B">
        <w:rPr>
          <w:rFonts w:cs="Times New Roman"/>
          <w:sz w:val="20"/>
          <w:szCs w:val="20"/>
        </w:rPr>
        <w:t xml:space="preserve">the </w:t>
      </w:r>
      <w:r w:rsidRPr="00F7263B">
        <w:rPr>
          <w:rFonts w:cs="Times New Roman"/>
          <w:sz w:val="20"/>
          <w:szCs w:val="20"/>
        </w:rPr>
        <w:t xml:space="preserve">findings of </w:t>
      </w:r>
      <w:r w:rsidR="00BD1B5F" w:rsidRPr="00F7263B">
        <w:rPr>
          <w:rFonts w:cs="Times New Roman"/>
          <w:sz w:val="20"/>
          <w:szCs w:val="20"/>
        </w:rPr>
        <w:t>value for money</w:t>
      </w:r>
      <w:r w:rsidRPr="00F7263B">
        <w:rPr>
          <w:rFonts w:cs="Times New Roman"/>
          <w:sz w:val="20"/>
          <w:szCs w:val="20"/>
        </w:rPr>
        <w:t xml:space="preserve"> audits will be inc</w:t>
      </w:r>
      <w:r w:rsidR="00BD1B5F" w:rsidRPr="00F7263B">
        <w:rPr>
          <w:rFonts w:cs="Times New Roman"/>
          <w:sz w:val="20"/>
          <w:szCs w:val="20"/>
        </w:rPr>
        <w:t>luded in</w:t>
      </w:r>
      <w:r w:rsidRPr="00F7263B">
        <w:rPr>
          <w:rFonts w:cs="Times New Roman"/>
          <w:sz w:val="20"/>
          <w:szCs w:val="20"/>
        </w:rPr>
        <w:t xml:space="preserve"> the </w:t>
      </w:r>
      <w:r w:rsidR="00BD1B5F" w:rsidRPr="00F7263B">
        <w:rPr>
          <w:rFonts w:cs="Times New Roman"/>
          <w:sz w:val="20"/>
          <w:szCs w:val="20"/>
        </w:rPr>
        <w:t>APA</w:t>
      </w:r>
      <w:r w:rsidR="003B0603" w:rsidRPr="00F7263B">
        <w:rPr>
          <w:rFonts w:cs="Times New Roman"/>
          <w:sz w:val="20"/>
          <w:szCs w:val="20"/>
        </w:rPr>
        <w:t xml:space="preserve">.  </w:t>
      </w:r>
      <w:r w:rsidRPr="00F7263B">
        <w:rPr>
          <w:rFonts w:cs="Times New Roman"/>
          <w:sz w:val="20"/>
          <w:szCs w:val="20"/>
        </w:rPr>
        <w:t xml:space="preserve">In addition, the </w:t>
      </w:r>
      <w:r w:rsidR="00BD1B5F" w:rsidRPr="00F7263B">
        <w:rPr>
          <w:rFonts w:cs="Times New Roman"/>
          <w:sz w:val="20"/>
          <w:szCs w:val="20"/>
        </w:rPr>
        <w:t>APA</w:t>
      </w:r>
      <w:r w:rsidRPr="00F7263B">
        <w:rPr>
          <w:rFonts w:cs="Times New Roman"/>
          <w:sz w:val="20"/>
          <w:szCs w:val="20"/>
        </w:rPr>
        <w:t xml:space="preserve"> will also measure the performance of regional governments with</w:t>
      </w:r>
      <w:r w:rsidR="00373BD4" w:rsidRPr="00F7263B">
        <w:rPr>
          <w:rFonts w:cs="Times New Roman"/>
          <w:sz w:val="20"/>
          <w:szCs w:val="20"/>
        </w:rPr>
        <w:t xml:space="preserve"> respect to</w:t>
      </w:r>
      <w:r w:rsidRPr="00F7263B">
        <w:rPr>
          <w:rFonts w:cs="Times New Roman"/>
          <w:sz w:val="20"/>
          <w:szCs w:val="20"/>
        </w:rPr>
        <w:t xml:space="preserve"> capacity building, timely completion of ULG financial audits, timely review of ULG safeguards practices</w:t>
      </w:r>
      <w:r w:rsidR="00BD1B5F" w:rsidRPr="00F7263B">
        <w:rPr>
          <w:rFonts w:cs="Times New Roman"/>
          <w:sz w:val="20"/>
          <w:szCs w:val="20"/>
        </w:rPr>
        <w:t>,</w:t>
      </w:r>
      <w:r w:rsidRPr="00F7263B">
        <w:rPr>
          <w:rFonts w:cs="Times New Roman"/>
          <w:sz w:val="20"/>
          <w:szCs w:val="20"/>
        </w:rPr>
        <w:t xml:space="preserve"> and support to ULG revenue enhancement, which will determine the disbursement of DLIs 4, 5, 6 and 7, respectively</w:t>
      </w:r>
      <w:r w:rsidR="003B0603" w:rsidRPr="00F7263B">
        <w:rPr>
          <w:rFonts w:cs="Times New Roman"/>
          <w:sz w:val="20"/>
          <w:szCs w:val="20"/>
        </w:rPr>
        <w:t xml:space="preserve">.  </w:t>
      </w:r>
    </w:p>
    <w:p w:rsidR="001D2534" w:rsidRPr="00F7263B" w:rsidRDefault="001D2534" w:rsidP="00254260">
      <w:pPr>
        <w:pStyle w:val="ListParagraph"/>
        <w:autoSpaceDE w:val="0"/>
        <w:autoSpaceDN w:val="0"/>
        <w:adjustRightInd w:val="0"/>
        <w:ind w:left="0"/>
        <w:jc w:val="both"/>
        <w:rPr>
          <w:rFonts w:cs="Times New Roman"/>
          <w:sz w:val="20"/>
          <w:szCs w:val="20"/>
        </w:rPr>
      </w:pPr>
    </w:p>
    <w:p w:rsidR="001D2534" w:rsidRPr="00F7263B" w:rsidRDefault="001D2534" w:rsidP="003F32C6">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The </w:t>
      </w:r>
      <w:r w:rsidR="0032371C" w:rsidRPr="00F7263B">
        <w:rPr>
          <w:rFonts w:cs="Times New Roman"/>
          <w:sz w:val="20"/>
          <w:szCs w:val="20"/>
        </w:rPr>
        <w:t>firm</w:t>
      </w:r>
      <w:r w:rsidR="00BD1B5F" w:rsidRPr="00F7263B">
        <w:rPr>
          <w:rFonts w:cs="Times New Roman"/>
          <w:sz w:val="20"/>
          <w:szCs w:val="20"/>
        </w:rPr>
        <w:t xml:space="preserve"> will submit the APA</w:t>
      </w:r>
      <w:r w:rsidRPr="00F7263B">
        <w:rPr>
          <w:rFonts w:cs="Times New Roman"/>
          <w:sz w:val="20"/>
          <w:szCs w:val="20"/>
        </w:rPr>
        <w:t xml:space="preserve"> simultaneously</w:t>
      </w:r>
      <w:r w:rsidR="00126FE8" w:rsidRPr="00F7263B">
        <w:rPr>
          <w:rFonts w:cs="Times New Roman"/>
          <w:sz w:val="20"/>
          <w:szCs w:val="20"/>
        </w:rPr>
        <w:t xml:space="preserve"> </w:t>
      </w:r>
      <w:r w:rsidRPr="00F7263B">
        <w:rPr>
          <w:rFonts w:cs="Times New Roman"/>
          <w:sz w:val="20"/>
          <w:szCs w:val="20"/>
        </w:rPr>
        <w:t>to the government and the Bank</w:t>
      </w:r>
      <w:r w:rsidR="00BD1B5F" w:rsidRPr="00F7263B">
        <w:rPr>
          <w:rFonts w:cs="Times New Roman"/>
          <w:sz w:val="20"/>
          <w:szCs w:val="20"/>
        </w:rPr>
        <w:t xml:space="preserve"> for review</w:t>
      </w:r>
      <w:r w:rsidR="003B0603" w:rsidRPr="00F7263B">
        <w:rPr>
          <w:rFonts w:cs="Times New Roman"/>
          <w:sz w:val="20"/>
          <w:szCs w:val="20"/>
        </w:rPr>
        <w:t xml:space="preserve">.  </w:t>
      </w:r>
      <w:r w:rsidR="0032371C" w:rsidRPr="00F7263B">
        <w:rPr>
          <w:rFonts w:cs="Times New Roman"/>
          <w:sz w:val="20"/>
          <w:szCs w:val="20"/>
        </w:rPr>
        <w:t xml:space="preserve">The Bank will retain the right to make the final decision whether a DLI has been achieved or not. In addition, the Bank will </w:t>
      </w:r>
      <w:r w:rsidR="00373BD4" w:rsidRPr="00F7263B">
        <w:rPr>
          <w:rFonts w:cs="Times New Roman"/>
          <w:sz w:val="20"/>
          <w:szCs w:val="20"/>
        </w:rPr>
        <w:t xml:space="preserve">contract an independent firm to cross-check the reliability of the findings of the ALP </w:t>
      </w:r>
      <w:r w:rsidR="0032371C" w:rsidRPr="00F7263B">
        <w:rPr>
          <w:rFonts w:cs="Times New Roman"/>
          <w:sz w:val="20"/>
          <w:szCs w:val="20"/>
        </w:rPr>
        <w:t xml:space="preserve">to ensure continued robustness.  </w:t>
      </w:r>
      <w:r w:rsidR="00BD1B5F" w:rsidRPr="00F7263B">
        <w:rPr>
          <w:rFonts w:cs="Times New Roman"/>
          <w:sz w:val="20"/>
          <w:szCs w:val="20"/>
        </w:rPr>
        <w:t>E</w:t>
      </w:r>
      <w:r w:rsidRPr="00F7263B">
        <w:rPr>
          <w:rFonts w:cs="Times New Roman"/>
          <w:sz w:val="20"/>
          <w:szCs w:val="20"/>
        </w:rPr>
        <w:t>xcept for factual errors</w:t>
      </w:r>
      <w:r w:rsidR="00BD1B5F" w:rsidRPr="00F7263B">
        <w:rPr>
          <w:rFonts w:cs="Times New Roman"/>
          <w:sz w:val="20"/>
          <w:szCs w:val="20"/>
        </w:rPr>
        <w:t xml:space="preserve">, </w:t>
      </w:r>
      <w:r w:rsidR="0032371C" w:rsidRPr="00F7263B">
        <w:rPr>
          <w:rFonts w:cs="Times New Roman"/>
          <w:sz w:val="20"/>
          <w:szCs w:val="20"/>
        </w:rPr>
        <w:t>the findi</w:t>
      </w:r>
      <w:r w:rsidR="00BD1B5F" w:rsidRPr="00F7263B">
        <w:rPr>
          <w:rFonts w:cs="Times New Roman"/>
          <w:sz w:val="20"/>
          <w:szCs w:val="20"/>
        </w:rPr>
        <w:t>n</w:t>
      </w:r>
      <w:r w:rsidR="0032371C" w:rsidRPr="00F7263B">
        <w:rPr>
          <w:rFonts w:cs="Times New Roman"/>
          <w:sz w:val="20"/>
          <w:szCs w:val="20"/>
        </w:rPr>
        <w:t>gs of the APA (as confirmed by the Bank) will be taken as final</w:t>
      </w:r>
      <w:r w:rsidR="003B0603" w:rsidRPr="00F7263B">
        <w:rPr>
          <w:rFonts w:cs="Times New Roman"/>
          <w:sz w:val="20"/>
          <w:szCs w:val="20"/>
        </w:rPr>
        <w:t xml:space="preserve">.  </w:t>
      </w:r>
      <w:r w:rsidRPr="00F7263B">
        <w:rPr>
          <w:rFonts w:cs="Times New Roman"/>
          <w:sz w:val="20"/>
          <w:szCs w:val="20"/>
        </w:rPr>
        <w:t xml:space="preserve">The </w:t>
      </w:r>
      <w:r w:rsidR="0032371C" w:rsidRPr="00F7263B">
        <w:rPr>
          <w:rFonts w:cs="Times New Roman"/>
          <w:sz w:val="20"/>
          <w:szCs w:val="20"/>
        </w:rPr>
        <w:t>firm</w:t>
      </w:r>
      <w:r w:rsidRPr="00F7263B">
        <w:rPr>
          <w:rFonts w:cs="Times New Roman"/>
          <w:sz w:val="20"/>
          <w:szCs w:val="20"/>
        </w:rPr>
        <w:t xml:space="preserve"> will calculate the allocation to each ULG and </w:t>
      </w:r>
      <w:r w:rsidR="00BD1B5F" w:rsidRPr="00F7263B">
        <w:rPr>
          <w:rFonts w:cs="Times New Roman"/>
          <w:sz w:val="20"/>
          <w:szCs w:val="20"/>
        </w:rPr>
        <w:t>regional government</w:t>
      </w:r>
      <w:r w:rsidRPr="00F7263B">
        <w:rPr>
          <w:rFonts w:cs="Times New Roman"/>
          <w:sz w:val="20"/>
          <w:szCs w:val="20"/>
        </w:rPr>
        <w:t xml:space="preserve"> as per the formula in the Bank</w:t>
      </w:r>
      <w:r w:rsidR="00BD1B5F" w:rsidRPr="00F7263B">
        <w:rPr>
          <w:rFonts w:cs="Times New Roman"/>
          <w:sz w:val="20"/>
          <w:szCs w:val="20"/>
        </w:rPr>
        <w:t>’s</w:t>
      </w:r>
      <w:r w:rsidR="00126FE8" w:rsidRPr="00F7263B">
        <w:rPr>
          <w:rFonts w:cs="Times New Roman"/>
          <w:sz w:val="20"/>
          <w:szCs w:val="20"/>
        </w:rPr>
        <w:t xml:space="preserve"> </w:t>
      </w:r>
      <w:r w:rsidR="00BD1B5F" w:rsidRPr="00F7263B">
        <w:rPr>
          <w:rFonts w:cs="Times New Roman"/>
          <w:sz w:val="20"/>
          <w:szCs w:val="20"/>
        </w:rPr>
        <w:t>disbursement t</w:t>
      </w:r>
      <w:r w:rsidRPr="00F7263B">
        <w:rPr>
          <w:rFonts w:cs="Times New Roman"/>
          <w:sz w:val="20"/>
          <w:szCs w:val="20"/>
        </w:rPr>
        <w:t xml:space="preserve">able, and will submit the suggested disbursement amounts (along with the full assessment report and its findings) simultaneously to </w:t>
      </w:r>
      <w:r w:rsidR="00BD1B5F" w:rsidRPr="00F7263B">
        <w:rPr>
          <w:rFonts w:cs="Times New Roman"/>
          <w:sz w:val="20"/>
          <w:szCs w:val="20"/>
        </w:rPr>
        <w:t xml:space="preserve">the government and </w:t>
      </w:r>
      <w:r w:rsidRPr="00F7263B">
        <w:rPr>
          <w:rFonts w:cs="Times New Roman"/>
          <w:sz w:val="20"/>
          <w:szCs w:val="20"/>
        </w:rPr>
        <w:t>the Bank for review</w:t>
      </w:r>
      <w:r w:rsidR="003B0603" w:rsidRPr="00F7263B">
        <w:rPr>
          <w:rFonts w:cs="Times New Roman"/>
          <w:sz w:val="20"/>
          <w:szCs w:val="20"/>
        </w:rPr>
        <w:t xml:space="preserve">.  </w:t>
      </w:r>
    </w:p>
    <w:p w:rsidR="001D2534" w:rsidRPr="00F7263B" w:rsidRDefault="001D2534" w:rsidP="00254260">
      <w:pPr>
        <w:pStyle w:val="ListParagraph"/>
        <w:autoSpaceDE w:val="0"/>
        <w:autoSpaceDN w:val="0"/>
        <w:adjustRightInd w:val="0"/>
        <w:ind w:left="0"/>
        <w:jc w:val="both"/>
        <w:rPr>
          <w:rFonts w:cs="Times New Roman"/>
          <w:sz w:val="20"/>
          <w:szCs w:val="20"/>
        </w:rPr>
      </w:pPr>
    </w:p>
    <w:p w:rsidR="001D2534" w:rsidRPr="00F7263B" w:rsidRDefault="0037090C"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For DLIs 1, 2 and 3, </w:t>
      </w:r>
      <w:r w:rsidR="001D2534" w:rsidRPr="00F7263B">
        <w:rPr>
          <w:rFonts w:cs="Times New Roman"/>
          <w:sz w:val="20"/>
          <w:szCs w:val="20"/>
        </w:rPr>
        <w:t>ORAG</w:t>
      </w:r>
      <w:r w:rsidR="00373BD4" w:rsidRPr="00F7263B">
        <w:rPr>
          <w:rFonts w:cs="Times New Roman"/>
          <w:sz w:val="20"/>
          <w:szCs w:val="20"/>
        </w:rPr>
        <w:t>’s</w:t>
      </w:r>
      <w:r w:rsidR="001D2534" w:rsidRPr="00F7263B">
        <w:rPr>
          <w:rFonts w:cs="Times New Roman"/>
          <w:sz w:val="20"/>
          <w:szCs w:val="20"/>
        </w:rPr>
        <w:t xml:space="preserve"> audit results for ULGs</w:t>
      </w:r>
      <w:r w:rsidR="00373BD4" w:rsidRPr="00F7263B">
        <w:rPr>
          <w:rFonts w:cs="Times New Roman"/>
          <w:sz w:val="20"/>
          <w:szCs w:val="20"/>
        </w:rPr>
        <w:t xml:space="preserve"> will be used to verify that a ULG has met the </w:t>
      </w:r>
      <w:r w:rsidR="001D2534" w:rsidRPr="00F7263B">
        <w:rPr>
          <w:rFonts w:cs="Times New Roman"/>
          <w:sz w:val="20"/>
          <w:szCs w:val="20"/>
        </w:rPr>
        <w:t>minimum condition</w:t>
      </w:r>
      <w:r w:rsidR="00373BD4" w:rsidRPr="00F7263B">
        <w:rPr>
          <w:rFonts w:cs="Times New Roman"/>
          <w:sz w:val="20"/>
          <w:szCs w:val="20"/>
        </w:rPr>
        <w:t xml:space="preserve"> of having a clean audit</w:t>
      </w:r>
      <w:r w:rsidRPr="00F7263B">
        <w:rPr>
          <w:rFonts w:cs="Times New Roman"/>
          <w:sz w:val="20"/>
          <w:szCs w:val="20"/>
        </w:rPr>
        <w:t xml:space="preserve">.  </w:t>
      </w:r>
      <w:r w:rsidR="001D2534" w:rsidRPr="00F7263B">
        <w:rPr>
          <w:rFonts w:cs="Times New Roman"/>
          <w:sz w:val="20"/>
          <w:szCs w:val="20"/>
        </w:rPr>
        <w:t>The sum of these individual amounts will comprise the disbursement to be made for that year</w:t>
      </w:r>
      <w:r w:rsidR="003B0603" w:rsidRPr="00F7263B">
        <w:rPr>
          <w:rFonts w:cs="Times New Roman"/>
          <w:sz w:val="20"/>
          <w:szCs w:val="20"/>
        </w:rPr>
        <w:t xml:space="preserve">.  </w:t>
      </w:r>
      <w:r w:rsidR="001D2534" w:rsidRPr="00F7263B">
        <w:rPr>
          <w:rFonts w:cs="Times New Roman"/>
          <w:sz w:val="20"/>
          <w:szCs w:val="20"/>
        </w:rPr>
        <w:t>For DLIs 1 through 7, as part of the due diligence and implementation support, the Bank will review (</w:t>
      </w:r>
      <w:r w:rsidR="008C1650" w:rsidRPr="00F7263B">
        <w:rPr>
          <w:rFonts w:cs="Times New Roman"/>
          <w:sz w:val="20"/>
          <w:szCs w:val="20"/>
        </w:rPr>
        <w:t>a</w:t>
      </w:r>
      <w:r w:rsidR="001D2534" w:rsidRPr="00F7263B">
        <w:rPr>
          <w:rFonts w:cs="Times New Roman"/>
          <w:sz w:val="20"/>
          <w:szCs w:val="20"/>
        </w:rPr>
        <w:t>) the assessment results</w:t>
      </w:r>
      <w:r w:rsidRPr="00F7263B">
        <w:rPr>
          <w:rFonts w:cs="Times New Roman"/>
          <w:sz w:val="20"/>
          <w:szCs w:val="20"/>
        </w:rPr>
        <w:t>,</w:t>
      </w:r>
      <w:r w:rsidR="001D2534" w:rsidRPr="00F7263B">
        <w:rPr>
          <w:rFonts w:cs="Times New Roman"/>
          <w:sz w:val="20"/>
          <w:szCs w:val="20"/>
        </w:rPr>
        <w:t xml:space="preserve"> and (</w:t>
      </w:r>
      <w:r w:rsidR="008C1650" w:rsidRPr="00F7263B">
        <w:rPr>
          <w:rFonts w:cs="Times New Roman"/>
          <w:sz w:val="20"/>
          <w:szCs w:val="20"/>
        </w:rPr>
        <w:t>b</w:t>
      </w:r>
      <w:r w:rsidR="001D2534" w:rsidRPr="00F7263B">
        <w:rPr>
          <w:rFonts w:cs="Times New Roman"/>
          <w:sz w:val="20"/>
          <w:szCs w:val="20"/>
        </w:rPr>
        <w:t xml:space="preserve">) </w:t>
      </w:r>
      <w:r w:rsidR="008C1650" w:rsidRPr="00F7263B">
        <w:rPr>
          <w:rFonts w:cs="Times New Roman"/>
          <w:sz w:val="20"/>
          <w:szCs w:val="20"/>
        </w:rPr>
        <w:t xml:space="preserve">the </w:t>
      </w:r>
      <w:r w:rsidR="001D2534" w:rsidRPr="00F7263B">
        <w:rPr>
          <w:rFonts w:cs="Times New Roman"/>
          <w:sz w:val="20"/>
          <w:szCs w:val="20"/>
        </w:rPr>
        <w:t>allocation</w:t>
      </w:r>
      <w:r w:rsidR="008C1650" w:rsidRPr="00F7263B">
        <w:rPr>
          <w:rFonts w:cs="Times New Roman"/>
          <w:sz w:val="20"/>
          <w:szCs w:val="20"/>
        </w:rPr>
        <w:t>s</w:t>
      </w:r>
      <w:r w:rsidR="00126FE8" w:rsidRPr="00F7263B">
        <w:rPr>
          <w:rFonts w:cs="Times New Roman"/>
          <w:sz w:val="20"/>
          <w:szCs w:val="20"/>
        </w:rPr>
        <w:t xml:space="preserve"> </w:t>
      </w:r>
      <w:r w:rsidR="008C1650" w:rsidRPr="00F7263B">
        <w:rPr>
          <w:rFonts w:cs="Times New Roman"/>
          <w:sz w:val="20"/>
          <w:szCs w:val="20"/>
        </w:rPr>
        <w:t xml:space="preserve">for </w:t>
      </w:r>
      <w:r w:rsidR="001D2534" w:rsidRPr="00F7263B">
        <w:rPr>
          <w:rFonts w:cs="Times New Roman"/>
          <w:sz w:val="20"/>
          <w:szCs w:val="20"/>
        </w:rPr>
        <w:t xml:space="preserve">each ULG and </w:t>
      </w:r>
      <w:r w:rsidR="00BD1B5F" w:rsidRPr="00F7263B">
        <w:rPr>
          <w:rFonts w:cs="Times New Roman"/>
          <w:sz w:val="20"/>
          <w:szCs w:val="20"/>
        </w:rPr>
        <w:t>regional government</w:t>
      </w:r>
      <w:r w:rsidR="003B0603" w:rsidRPr="00F7263B">
        <w:rPr>
          <w:rFonts w:cs="Times New Roman"/>
          <w:sz w:val="20"/>
          <w:szCs w:val="20"/>
        </w:rPr>
        <w:t xml:space="preserve">.  </w:t>
      </w:r>
    </w:p>
    <w:p w:rsidR="001D2534" w:rsidRPr="00F7263B" w:rsidRDefault="001D2534" w:rsidP="001D2534">
      <w:pPr>
        <w:pStyle w:val="ListParagraph"/>
        <w:rPr>
          <w:rFonts w:cs="Times New Roman"/>
          <w:sz w:val="20"/>
          <w:szCs w:val="20"/>
        </w:rPr>
      </w:pPr>
    </w:p>
    <w:p w:rsidR="001D2534" w:rsidRPr="00F7263B" w:rsidRDefault="001D2534"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The verification of DLIs related to central government performance (DLIs 8 and 9) will be based on administrative reports </w:t>
      </w:r>
      <w:r w:rsidR="00884C45" w:rsidRPr="00F7263B">
        <w:rPr>
          <w:rFonts w:cs="Times New Roman"/>
          <w:sz w:val="20"/>
          <w:szCs w:val="20"/>
        </w:rPr>
        <w:t>and</w:t>
      </w:r>
      <w:r w:rsidRPr="00F7263B">
        <w:rPr>
          <w:rFonts w:cs="Times New Roman"/>
          <w:sz w:val="20"/>
          <w:szCs w:val="20"/>
        </w:rPr>
        <w:t xml:space="preserve"> information from the </w:t>
      </w:r>
      <w:r w:rsidR="00884C45" w:rsidRPr="00F7263B">
        <w:rPr>
          <w:rFonts w:cs="Times New Roman"/>
          <w:sz w:val="20"/>
          <w:szCs w:val="20"/>
        </w:rPr>
        <w:t xml:space="preserve">APA.  The information will be </w:t>
      </w:r>
      <w:r w:rsidRPr="00F7263B">
        <w:rPr>
          <w:rFonts w:cs="Times New Roman"/>
          <w:sz w:val="20"/>
          <w:szCs w:val="20"/>
        </w:rPr>
        <w:t xml:space="preserve">confirmed by the Bank during </w:t>
      </w:r>
      <w:r w:rsidR="00884C45" w:rsidRPr="00F7263B">
        <w:rPr>
          <w:rFonts w:cs="Times New Roman"/>
          <w:sz w:val="20"/>
          <w:szCs w:val="20"/>
        </w:rPr>
        <w:t>its</w:t>
      </w:r>
      <w:r w:rsidRPr="00F7263B">
        <w:rPr>
          <w:rFonts w:cs="Times New Roman"/>
          <w:sz w:val="20"/>
          <w:szCs w:val="20"/>
        </w:rPr>
        <w:t xml:space="preserve"> regular implementation support missions</w:t>
      </w:r>
      <w:r w:rsidR="003B0603" w:rsidRPr="00F7263B">
        <w:rPr>
          <w:rFonts w:cs="Times New Roman"/>
          <w:sz w:val="20"/>
          <w:szCs w:val="20"/>
        </w:rPr>
        <w:t xml:space="preserve">.  </w:t>
      </w:r>
    </w:p>
    <w:p w:rsidR="001D2534" w:rsidRPr="00F7263B" w:rsidRDefault="001D2534" w:rsidP="001D2534">
      <w:pPr>
        <w:pStyle w:val="ListParagraph"/>
        <w:rPr>
          <w:rFonts w:cs="Times New Roman"/>
          <w:sz w:val="20"/>
          <w:szCs w:val="20"/>
        </w:rPr>
      </w:pPr>
    </w:p>
    <w:p w:rsidR="00FE129E" w:rsidRPr="00F7263B" w:rsidRDefault="00B026F6" w:rsidP="00B026F6">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For all DLIs, IDA will disburse funds to MoFED</w:t>
      </w:r>
      <w:r w:rsidR="00A2314D">
        <w:rPr>
          <w:rFonts w:cs="Times New Roman"/>
          <w:sz w:val="20"/>
          <w:szCs w:val="20"/>
        </w:rPr>
        <w:t xml:space="preserve"> </w:t>
      </w:r>
      <w:r w:rsidRPr="00F7263B">
        <w:rPr>
          <w:rFonts w:cs="Times New Roman"/>
          <w:sz w:val="20"/>
          <w:szCs w:val="20"/>
        </w:rPr>
        <w:t xml:space="preserve">once a year.  </w:t>
      </w:r>
      <w:r w:rsidR="001D2534" w:rsidRPr="00F7263B">
        <w:rPr>
          <w:rFonts w:cs="Times New Roman"/>
          <w:sz w:val="20"/>
          <w:szCs w:val="20"/>
        </w:rPr>
        <w:t xml:space="preserve">Once amounts against DLIs 1, 2 and 3 have been established, </w:t>
      </w:r>
      <w:r w:rsidRPr="00F7263B">
        <w:rPr>
          <w:rFonts w:cs="Times New Roman"/>
          <w:sz w:val="20"/>
          <w:szCs w:val="20"/>
        </w:rPr>
        <w:t xml:space="preserve">MoFED will disburse Program funds to the ULGs in two tranches in July and January.  </w:t>
      </w:r>
      <w:r w:rsidR="001D2534" w:rsidRPr="00F7263B">
        <w:rPr>
          <w:rFonts w:cs="Times New Roman"/>
          <w:sz w:val="20"/>
          <w:szCs w:val="20"/>
        </w:rPr>
        <w:t>Transfers will be aligned with the budget c</w:t>
      </w:r>
      <w:r w:rsidR="008E41C4" w:rsidRPr="00F7263B">
        <w:rPr>
          <w:rFonts w:cs="Times New Roman"/>
          <w:sz w:val="20"/>
          <w:szCs w:val="20"/>
        </w:rPr>
        <w:t>ycle of ULGs (see grant cycle, a</w:t>
      </w:r>
      <w:r w:rsidR="001D2534" w:rsidRPr="00F7263B">
        <w:rPr>
          <w:rFonts w:cs="Times New Roman"/>
          <w:sz w:val="20"/>
          <w:szCs w:val="20"/>
        </w:rPr>
        <w:t>nnex 1)</w:t>
      </w:r>
      <w:r w:rsidR="003B0603" w:rsidRPr="00F7263B">
        <w:rPr>
          <w:rFonts w:cs="Times New Roman"/>
          <w:sz w:val="20"/>
          <w:szCs w:val="20"/>
        </w:rPr>
        <w:t xml:space="preserve">.  </w:t>
      </w:r>
      <w:r w:rsidR="001D2534" w:rsidRPr="00F7263B">
        <w:rPr>
          <w:rFonts w:cs="Times New Roman"/>
          <w:sz w:val="20"/>
          <w:szCs w:val="20"/>
        </w:rPr>
        <w:t xml:space="preserve">For DLIs </w:t>
      </w:r>
      <w:r w:rsidRPr="00F7263B">
        <w:rPr>
          <w:rFonts w:cs="Times New Roman"/>
          <w:sz w:val="20"/>
          <w:szCs w:val="20"/>
        </w:rPr>
        <w:t>4</w:t>
      </w:r>
      <w:r w:rsidR="001D2534" w:rsidRPr="00F7263B">
        <w:rPr>
          <w:rFonts w:cs="Times New Roman"/>
          <w:sz w:val="20"/>
          <w:szCs w:val="20"/>
        </w:rPr>
        <w:t>through 7, M</w:t>
      </w:r>
      <w:r w:rsidR="008E41C4" w:rsidRPr="00F7263B">
        <w:rPr>
          <w:rFonts w:cs="Times New Roman"/>
          <w:sz w:val="20"/>
          <w:szCs w:val="20"/>
        </w:rPr>
        <w:t>o</w:t>
      </w:r>
      <w:r w:rsidR="001D2534" w:rsidRPr="00F7263B">
        <w:rPr>
          <w:rFonts w:cs="Times New Roman"/>
          <w:sz w:val="20"/>
          <w:szCs w:val="20"/>
        </w:rPr>
        <w:t>FED will transfer fun</w:t>
      </w:r>
      <w:r w:rsidR="008E41C4" w:rsidRPr="00F7263B">
        <w:rPr>
          <w:rFonts w:cs="Times New Roman"/>
          <w:sz w:val="20"/>
          <w:szCs w:val="20"/>
        </w:rPr>
        <w:t>ds to the regional governments</w:t>
      </w:r>
      <w:r w:rsidR="0037090C" w:rsidRPr="00F7263B">
        <w:rPr>
          <w:rFonts w:cs="Times New Roman"/>
          <w:sz w:val="20"/>
          <w:szCs w:val="20"/>
        </w:rPr>
        <w:t>’</w:t>
      </w:r>
      <w:r w:rsidR="00A2314D">
        <w:rPr>
          <w:rFonts w:cs="Times New Roman"/>
          <w:sz w:val="20"/>
          <w:szCs w:val="20"/>
        </w:rPr>
        <w:t xml:space="preserve"> </w:t>
      </w:r>
      <w:r w:rsidR="001D2534" w:rsidRPr="00F7263B">
        <w:rPr>
          <w:rFonts w:cs="Times New Roman"/>
          <w:sz w:val="20"/>
          <w:szCs w:val="20"/>
        </w:rPr>
        <w:t>B</w:t>
      </w:r>
      <w:r w:rsidR="008E41C4" w:rsidRPr="00F7263B">
        <w:rPr>
          <w:rFonts w:cs="Times New Roman"/>
          <w:sz w:val="20"/>
          <w:szCs w:val="20"/>
        </w:rPr>
        <w:t>o</w:t>
      </w:r>
      <w:r w:rsidR="001D2534" w:rsidRPr="00F7263B">
        <w:rPr>
          <w:rFonts w:cs="Times New Roman"/>
          <w:sz w:val="20"/>
          <w:szCs w:val="20"/>
        </w:rPr>
        <w:t>FEDs</w:t>
      </w:r>
      <w:r w:rsidRPr="00F7263B">
        <w:rPr>
          <w:rFonts w:cs="Times New Roman"/>
          <w:sz w:val="20"/>
          <w:szCs w:val="20"/>
        </w:rPr>
        <w:t xml:space="preserve"> once a year</w:t>
      </w:r>
      <w:r w:rsidR="003B0603" w:rsidRPr="00F7263B">
        <w:rPr>
          <w:rFonts w:cs="Times New Roman"/>
          <w:sz w:val="20"/>
          <w:szCs w:val="20"/>
        </w:rPr>
        <w:t xml:space="preserve">.  </w:t>
      </w:r>
      <w:r w:rsidR="001D2534" w:rsidRPr="00F7263B">
        <w:rPr>
          <w:rFonts w:cs="Times New Roman"/>
          <w:sz w:val="20"/>
          <w:szCs w:val="20"/>
        </w:rPr>
        <w:t>B</w:t>
      </w:r>
      <w:r w:rsidR="008E41C4" w:rsidRPr="00F7263B">
        <w:rPr>
          <w:rFonts w:cs="Times New Roman"/>
          <w:sz w:val="20"/>
          <w:szCs w:val="20"/>
        </w:rPr>
        <w:t>o</w:t>
      </w:r>
      <w:r w:rsidR="001D2534" w:rsidRPr="00F7263B">
        <w:rPr>
          <w:rFonts w:cs="Times New Roman"/>
          <w:sz w:val="20"/>
          <w:szCs w:val="20"/>
        </w:rPr>
        <w:t xml:space="preserve">FEDs will retain </w:t>
      </w:r>
      <w:r w:rsidR="008E41C4" w:rsidRPr="00F7263B">
        <w:rPr>
          <w:rFonts w:cs="Times New Roman"/>
          <w:sz w:val="20"/>
          <w:szCs w:val="20"/>
        </w:rPr>
        <w:t xml:space="preserve">the </w:t>
      </w:r>
      <w:r w:rsidR="001D2534" w:rsidRPr="00F7263B">
        <w:rPr>
          <w:rFonts w:cs="Times New Roman"/>
          <w:sz w:val="20"/>
          <w:szCs w:val="20"/>
        </w:rPr>
        <w:t>part of the funds which pertain to the achievement of results associated with regional governments (DLIs 4, 5, 6 and 7) and transfer the funds which are associated with the achievement of results at the ULG level (DLIs 1, 2 a</w:t>
      </w:r>
      <w:r w:rsidR="008E41C4" w:rsidRPr="00F7263B">
        <w:rPr>
          <w:rFonts w:cs="Times New Roman"/>
          <w:sz w:val="20"/>
          <w:szCs w:val="20"/>
        </w:rPr>
        <w:t>nd 3) to the local governments offices of finance and economic development</w:t>
      </w:r>
      <w:r w:rsidR="003B0603" w:rsidRPr="00F7263B">
        <w:rPr>
          <w:rFonts w:cs="Times New Roman"/>
          <w:sz w:val="20"/>
          <w:szCs w:val="20"/>
        </w:rPr>
        <w:t xml:space="preserve">.  </w:t>
      </w:r>
      <w:r w:rsidR="001D2534" w:rsidRPr="00F7263B">
        <w:rPr>
          <w:rFonts w:cs="Times New Roman"/>
          <w:sz w:val="20"/>
          <w:szCs w:val="20"/>
        </w:rPr>
        <w:t>To ensure predictability, ULGDP II indicative planning figures (see annex 1) will be shared with ULGs and regional governments, although actual annual disbursements will be based on performance and achievement of the DLIs</w:t>
      </w:r>
      <w:r w:rsidR="003B0603" w:rsidRPr="00F7263B">
        <w:rPr>
          <w:rFonts w:cs="Times New Roman"/>
          <w:sz w:val="20"/>
          <w:szCs w:val="20"/>
        </w:rPr>
        <w:t xml:space="preserve">.  </w:t>
      </w:r>
      <w:r w:rsidR="001D2534" w:rsidRPr="00F7263B">
        <w:rPr>
          <w:rFonts w:cs="Times New Roman"/>
          <w:sz w:val="20"/>
          <w:szCs w:val="20"/>
        </w:rPr>
        <w:t xml:space="preserve">ULGs will be informed in January of each year of their actual disbursement for the following fiscal year, as soon as the annual performance assessment is complete and the ULG audit results </w:t>
      </w:r>
      <w:r w:rsidR="007A49A8" w:rsidRPr="00F7263B">
        <w:rPr>
          <w:rFonts w:cs="Times New Roman"/>
          <w:sz w:val="20"/>
          <w:szCs w:val="20"/>
        </w:rPr>
        <w:t>(</w:t>
      </w:r>
      <w:r w:rsidR="00B44D00" w:rsidRPr="00F7263B">
        <w:rPr>
          <w:rFonts w:cs="Times New Roman"/>
          <w:sz w:val="20"/>
          <w:szCs w:val="20"/>
        </w:rPr>
        <w:t>f</w:t>
      </w:r>
      <w:r w:rsidR="007A49A8" w:rsidRPr="00F7263B">
        <w:rPr>
          <w:rFonts w:cs="Times New Roman"/>
          <w:sz w:val="20"/>
          <w:szCs w:val="20"/>
        </w:rPr>
        <w:t>inancial audit, IPA</w:t>
      </w:r>
      <w:r w:rsidR="00373BD4" w:rsidRPr="00F7263B">
        <w:rPr>
          <w:rFonts w:cs="Times New Roman"/>
          <w:sz w:val="20"/>
          <w:szCs w:val="20"/>
        </w:rPr>
        <w:t>,</w:t>
      </w:r>
      <w:r w:rsidR="00126FE8" w:rsidRPr="00F7263B">
        <w:rPr>
          <w:rFonts w:cs="Times New Roman"/>
          <w:sz w:val="20"/>
          <w:szCs w:val="20"/>
        </w:rPr>
        <w:t xml:space="preserve"> </w:t>
      </w:r>
      <w:r w:rsidR="00373BD4" w:rsidRPr="00F7263B">
        <w:rPr>
          <w:rFonts w:cs="Times New Roman"/>
          <w:sz w:val="20"/>
          <w:szCs w:val="20"/>
        </w:rPr>
        <w:t>and the value for money assessment</w:t>
      </w:r>
      <w:r w:rsidR="007A49A8" w:rsidRPr="00F7263B">
        <w:rPr>
          <w:rFonts w:cs="Times New Roman"/>
          <w:sz w:val="20"/>
          <w:szCs w:val="20"/>
        </w:rPr>
        <w:t xml:space="preserve">) </w:t>
      </w:r>
      <w:r w:rsidR="001D2534" w:rsidRPr="00F7263B">
        <w:rPr>
          <w:rFonts w:cs="Times New Roman"/>
          <w:sz w:val="20"/>
          <w:szCs w:val="20"/>
        </w:rPr>
        <w:t>are available</w:t>
      </w:r>
      <w:r w:rsidR="003B0603" w:rsidRPr="00F7263B">
        <w:rPr>
          <w:rFonts w:cs="Times New Roman"/>
          <w:sz w:val="20"/>
          <w:szCs w:val="20"/>
        </w:rPr>
        <w:t xml:space="preserve">.  </w:t>
      </w:r>
      <w:r w:rsidR="001D2534" w:rsidRPr="00F7263B">
        <w:rPr>
          <w:rFonts w:cs="Times New Roman"/>
          <w:sz w:val="20"/>
          <w:szCs w:val="20"/>
        </w:rPr>
        <w:t>Disbursement of funds associated with the federal government (DLIs 8 and 9) will be made from M</w:t>
      </w:r>
      <w:r w:rsidR="008E41C4" w:rsidRPr="00F7263B">
        <w:rPr>
          <w:rFonts w:cs="Times New Roman"/>
          <w:sz w:val="20"/>
          <w:szCs w:val="20"/>
        </w:rPr>
        <w:t>o</w:t>
      </w:r>
      <w:r w:rsidR="001D2534" w:rsidRPr="00F7263B">
        <w:rPr>
          <w:rFonts w:cs="Times New Roman"/>
          <w:sz w:val="20"/>
          <w:szCs w:val="20"/>
        </w:rPr>
        <w:t xml:space="preserve">FED to </w:t>
      </w:r>
      <w:r w:rsidR="00821460" w:rsidRPr="00F7263B">
        <w:rPr>
          <w:rFonts w:cs="Times New Roman"/>
          <w:sz w:val="20"/>
          <w:szCs w:val="20"/>
        </w:rPr>
        <w:t>MUDHCo</w:t>
      </w:r>
      <w:r w:rsidR="00800D02" w:rsidRPr="00F7263B">
        <w:rPr>
          <w:rFonts w:cs="Times New Roman"/>
          <w:sz w:val="20"/>
          <w:szCs w:val="20"/>
        </w:rPr>
        <w:t xml:space="preserve"> once a year</w:t>
      </w:r>
      <w:r w:rsidR="003B0603" w:rsidRPr="00F7263B">
        <w:rPr>
          <w:rFonts w:cs="Times New Roman"/>
          <w:sz w:val="20"/>
          <w:szCs w:val="20"/>
        </w:rPr>
        <w:t xml:space="preserve">.  </w:t>
      </w:r>
    </w:p>
    <w:p w:rsidR="00204A87" w:rsidRPr="00F7263B" w:rsidRDefault="00204A87" w:rsidP="0068255C">
      <w:pPr>
        <w:pStyle w:val="ListParagraph"/>
        <w:autoSpaceDE w:val="0"/>
        <w:autoSpaceDN w:val="0"/>
        <w:adjustRightInd w:val="0"/>
        <w:ind w:left="0"/>
        <w:jc w:val="both"/>
        <w:rPr>
          <w:rFonts w:cs="Times New Roman"/>
          <w:sz w:val="20"/>
          <w:szCs w:val="20"/>
        </w:rPr>
      </w:pPr>
    </w:p>
    <w:p w:rsidR="003D39E3" w:rsidRPr="00F7263B" w:rsidRDefault="001D2940" w:rsidP="00556F1B">
      <w:pPr>
        <w:pStyle w:val="Heading1"/>
        <w:jc w:val="both"/>
        <w:rPr>
          <w:sz w:val="20"/>
          <w:szCs w:val="20"/>
        </w:rPr>
      </w:pPr>
      <w:bookmarkStart w:id="20" w:name="_Toc380086976"/>
      <w:bookmarkStart w:id="21" w:name="_Toc380087055"/>
      <w:bookmarkStart w:id="22" w:name="_Toc380086977"/>
      <w:bookmarkStart w:id="23" w:name="_Toc380087056"/>
      <w:bookmarkStart w:id="24" w:name="_Toc380167578"/>
      <w:bookmarkEnd w:id="20"/>
      <w:bookmarkEnd w:id="21"/>
      <w:bookmarkEnd w:id="22"/>
      <w:bookmarkEnd w:id="23"/>
      <w:r w:rsidRPr="00F7263B">
        <w:rPr>
          <w:sz w:val="20"/>
          <w:szCs w:val="20"/>
        </w:rPr>
        <w:t>ASSESSMENT SUMMARY</w:t>
      </w:r>
      <w:bookmarkEnd w:id="24"/>
    </w:p>
    <w:p w:rsidR="003D39E3" w:rsidRPr="00F7263B" w:rsidRDefault="003D39E3" w:rsidP="00556F1B">
      <w:pPr>
        <w:pStyle w:val="ListParagraph"/>
        <w:autoSpaceDE w:val="0"/>
        <w:autoSpaceDN w:val="0"/>
        <w:adjustRightInd w:val="0"/>
        <w:ind w:left="0"/>
        <w:jc w:val="both"/>
        <w:rPr>
          <w:rFonts w:cs="Times New Roman"/>
          <w:sz w:val="20"/>
          <w:szCs w:val="20"/>
        </w:rPr>
      </w:pPr>
    </w:p>
    <w:p w:rsidR="003D39E3" w:rsidRPr="00F7263B" w:rsidRDefault="001D2940" w:rsidP="00556F1B">
      <w:pPr>
        <w:pStyle w:val="Heading2"/>
        <w:jc w:val="both"/>
        <w:rPr>
          <w:sz w:val="20"/>
          <w:szCs w:val="20"/>
        </w:rPr>
      </w:pPr>
      <w:bookmarkStart w:id="25" w:name="_Toc380167579"/>
      <w:r w:rsidRPr="00F7263B">
        <w:rPr>
          <w:sz w:val="20"/>
          <w:szCs w:val="20"/>
        </w:rPr>
        <w:t>Technical (including program economic evaluation)</w:t>
      </w:r>
      <w:bookmarkEnd w:id="25"/>
    </w:p>
    <w:p w:rsidR="00DA5FCC" w:rsidRPr="00F7263B" w:rsidRDefault="00DA5FCC" w:rsidP="00276BC8">
      <w:pPr>
        <w:pStyle w:val="ListParagraph"/>
        <w:autoSpaceDE w:val="0"/>
        <w:autoSpaceDN w:val="0"/>
        <w:adjustRightInd w:val="0"/>
        <w:ind w:left="0"/>
        <w:jc w:val="both"/>
        <w:rPr>
          <w:sz w:val="20"/>
          <w:szCs w:val="20"/>
        </w:rPr>
      </w:pPr>
    </w:p>
    <w:p w:rsidR="00DA5FCC" w:rsidRPr="00F7263B" w:rsidRDefault="00DA5FCC"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Strategic relevance</w:t>
      </w:r>
      <w:r w:rsidR="00276BC8" w:rsidRPr="00F7263B">
        <w:rPr>
          <w:rFonts w:cs="Times New Roman"/>
          <w:b/>
          <w:i/>
          <w:sz w:val="20"/>
          <w:szCs w:val="20"/>
        </w:rPr>
        <w:t xml:space="preserve">.  </w:t>
      </w:r>
      <w:r w:rsidRPr="00F7263B">
        <w:rPr>
          <w:rFonts w:cs="Times New Roman"/>
          <w:sz w:val="20"/>
          <w:szCs w:val="20"/>
        </w:rPr>
        <w:t>Ethiopia is urbaniz</w:t>
      </w:r>
      <w:r w:rsidR="009D49B2" w:rsidRPr="00F7263B">
        <w:rPr>
          <w:rFonts w:cs="Times New Roman"/>
          <w:sz w:val="20"/>
          <w:szCs w:val="20"/>
        </w:rPr>
        <w:t>ing</w:t>
      </w:r>
      <w:r w:rsidRPr="00F7263B">
        <w:rPr>
          <w:rFonts w:cs="Times New Roman"/>
          <w:sz w:val="20"/>
          <w:szCs w:val="20"/>
        </w:rPr>
        <w:t xml:space="preserve"> rapidly, which is a necessary condition for structural change at the macroeconomic level</w:t>
      </w:r>
      <w:r w:rsidR="00276BC8" w:rsidRPr="00F7263B">
        <w:rPr>
          <w:rFonts w:cs="Times New Roman"/>
          <w:sz w:val="20"/>
          <w:szCs w:val="20"/>
        </w:rPr>
        <w:t xml:space="preserve">.  </w:t>
      </w:r>
      <w:r w:rsidRPr="00F7263B">
        <w:rPr>
          <w:rFonts w:cs="Times New Roman"/>
          <w:sz w:val="20"/>
          <w:szCs w:val="20"/>
        </w:rPr>
        <w:t>While effective urbanization is key to Ethiopia’s growth, there are serious challenges to it, comprising (</w:t>
      </w:r>
      <w:r w:rsidR="00276BC8" w:rsidRPr="00F7263B">
        <w:rPr>
          <w:rFonts w:cs="Times New Roman"/>
          <w:sz w:val="20"/>
          <w:szCs w:val="20"/>
        </w:rPr>
        <w:t>a</w:t>
      </w:r>
      <w:r w:rsidRPr="00F7263B">
        <w:rPr>
          <w:rFonts w:cs="Times New Roman"/>
          <w:sz w:val="20"/>
          <w:szCs w:val="20"/>
        </w:rPr>
        <w:t>) infrastructure and service delivery gaps and urban administrations institutional capacity weaknesses</w:t>
      </w:r>
      <w:r w:rsidR="00F84279" w:rsidRPr="00F7263B">
        <w:rPr>
          <w:rFonts w:cs="Times New Roman"/>
          <w:sz w:val="20"/>
          <w:szCs w:val="20"/>
        </w:rPr>
        <w:t>,</w:t>
      </w:r>
      <w:r w:rsidRPr="00F7263B">
        <w:rPr>
          <w:rFonts w:cs="Times New Roman"/>
          <w:sz w:val="20"/>
          <w:szCs w:val="20"/>
        </w:rPr>
        <w:t xml:space="preserve"> (</w:t>
      </w:r>
      <w:r w:rsidR="00276BC8" w:rsidRPr="00F7263B">
        <w:rPr>
          <w:rFonts w:cs="Times New Roman"/>
          <w:sz w:val="20"/>
          <w:szCs w:val="20"/>
        </w:rPr>
        <w:t>b</w:t>
      </w:r>
      <w:r w:rsidRPr="00F7263B">
        <w:rPr>
          <w:rFonts w:cs="Times New Roman"/>
          <w:sz w:val="20"/>
          <w:szCs w:val="20"/>
        </w:rPr>
        <w:t>) increasing urban population and higher demand for the already limited services and infrastructure, and (</w:t>
      </w:r>
      <w:r w:rsidR="00276BC8" w:rsidRPr="00F7263B">
        <w:rPr>
          <w:rFonts w:cs="Times New Roman"/>
          <w:sz w:val="20"/>
          <w:szCs w:val="20"/>
        </w:rPr>
        <w:t>c</w:t>
      </w:r>
      <w:r w:rsidRPr="00F7263B">
        <w:rPr>
          <w:rFonts w:cs="Times New Roman"/>
          <w:sz w:val="20"/>
          <w:szCs w:val="20"/>
        </w:rPr>
        <w:t>) a significant fiscal gap to help ULGs overcome these challenges</w:t>
      </w:r>
      <w:r w:rsidR="00276BC8" w:rsidRPr="00F7263B">
        <w:rPr>
          <w:rFonts w:cs="Times New Roman"/>
          <w:sz w:val="20"/>
          <w:szCs w:val="20"/>
        </w:rPr>
        <w:t xml:space="preserve">.  </w:t>
      </w:r>
      <w:r w:rsidRPr="00F7263B">
        <w:rPr>
          <w:rFonts w:cs="Times New Roman"/>
          <w:sz w:val="20"/>
          <w:szCs w:val="20"/>
        </w:rPr>
        <w:t>The fiscal gap is due mainly to the inadequacy of the current fiscal system in Ethiopia to meet the financing needs of these fast growing ULGs</w:t>
      </w:r>
      <w:r w:rsidR="00276BC8" w:rsidRPr="00F7263B">
        <w:rPr>
          <w:rFonts w:cs="Times New Roman"/>
          <w:sz w:val="20"/>
          <w:szCs w:val="20"/>
        </w:rPr>
        <w:t xml:space="preserve">.  </w:t>
      </w:r>
      <w:r w:rsidRPr="00F7263B">
        <w:rPr>
          <w:rFonts w:cs="Times New Roman"/>
          <w:sz w:val="20"/>
          <w:szCs w:val="20"/>
        </w:rPr>
        <w:t>Within the fiscal system, ULGs receive recurrent support from regions through block grants to meet their mandate to carry out the state functions which have been delegated to them from the regional governments and some financing for core public sector employee salaries</w:t>
      </w:r>
      <w:r w:rsidR="00276BC8" w:rsidRPr="00F7263B">
        <w:rPr>
          <w:rFonts w:cs="Times New Roman"/>
          <w:sz w:val="20"/>
          <w:szCs w:val="20"/>
        </w:rPr>
        <w:t xml:space="preserve">.  </w:t>
      </w:r>
      <w:r w:rsidRPr="00F7263B">
        <w:rPr>
          <w:rFonts w:cs="Times New Roman"/>
          <w:sz w:val="20"/>
          <w:szCs w:val="20"/>
        </w:rPr>
        <w:t>In addition to these resources, there is almost no support for capital investments</w:t>
      </w:r>
      <w:r w:rsidR="00276BC8" w:rsidRPr="00F7263B">
        <w:rPr>
          <w:rFonts w:cs="Times New Roman"/>
          <w:sz w:val="20"/>
          <w:szCs w:val="20"/>
        </w:rPr>
        <w:t xml:space="preserve">.  </w:t>
      </w:r>
      <w:r w:rsidRPr="00F7263B">
        <w:rPr>
          <w:rFonts w:cs="Times New Roman"/>
          <w:sz w:val="20"/>
          <w:szCs w:val="20"/>
        </w:rPr>
        <w:t>In most cases, ULGs have to meet the infrastructure investment financing through their own source revenues</w:t>
      </w:r>
      <w:r w:rsidR="00276BC8" w:rsidRPr="00F7263B">
        <w:rPr>
          <w:rFonts w:cs="Times New Roman"/>
          <w:sz w:val="20"/>
          <w:szCs w:val="20"/>
        </w:rPr>
        <w:t xml:space="preserve">.  </w:t>
      </w:r>
      <w:r w:rsidRPr="00F7263B">
        <w:rPr>
          <w:rFonts w:cs="Times New Roman"/>
          <w:sz w:val="20"/>
          <w:szCs w:val="20"/>
        </w:rPr>
        <w:t>The government wishes to introduce ULGDP II to address these shortcomings, in the context of the overall evolution of its intergovernmental fiscal system</w:t>
      </w:r>
      <w:r w:rsidR="00276BC8" w:rsidRPr="00F7263B">
        <w:rPr>
          <w:rFonts w:cs="Times New Roman"/>
          <w:sz w:val="20"/>
          <w:szCs w:val="20"/>
        </w:rPr>
        <w:t xml:space="preserve">.  </w:t>
      </w:r>
      <w:r w:rsidRPr="00F7263B">
        <w:rPr>
          <w:rFonts w:cs="Times New Roman"/>
          <w:sz w:val="20"/>
          <w:szCs w:val="20"/>
        </w:rPr>
        <w:t xml:space="preserve">In this context, the Program rationale is to address the current urban infrastructure gaps and strengthen the institutions of both the ULGs involved in service delivery and the regions and the </w:t>
      </w:r>
      <w:r w:rsidR="00E65E2E" w:rsidRPr="00F7263B">
        <w:rPr>
          <w:rFonts w:cs="Times New Roman"/>
          <w:sz w:val="20"/>
          <w:szCs w:val="20"/>
        </w:rPr>
        <w:t>MUDHCo</w:t>
      </w:r>
      <w:r w:rsidRPr="00F7263B">
        <w:rPr>
          <w:rFonts w:cs="Times New Roman"/>
          <w:sz w:val="20"/>
          <w:szCs w:val="20"/>
        </w:rPr>
        <w:t xml:space="preserve"> for support for urban management and improved urban services</w:t>
      </w:r>
      <w:r w:rsidR="00276BC8" w:rsidRPr="00F7263B">
        <w:rPr>
          <w:rFonts w:cs="Times New Roman"/>
          <w:sz w:val="20"/>
          <w:szCs w:val="20"/>
        </w:rPr>
        <w:t xml:space="preserve">.  </w:t>
      </w:r>
      <w:r w:rsidRPr="00F7263B">
        <w:rPr>
          <w:rFonts w:cs="Times New Roman"/>
          <w:sz w:val="20"/>
          <w:szCs w:val="20"/>
        </w:rPr>
        <w:t>As such, the Program will be in important continuation of the improvement of infrastructure and services in the 18 cities currently under ULGDP and an important step in rolling out the approach to the next class of 26 ULGs</w:t>
      </w:r>
      <w:r w:rsidR="00276BC8" w:rsidRPr="00F7263B">
        <w:rPr>
          <w:rFonts w:cs="Times New Roman"/>
          <w:sz w:val="20"/>
          <w:szCs w:val="20"/>
        </w:rPr>
        <w:t xml:space="preserve">.  </w:t>
      </w:r>
      <w:r w:rsidRPr="00F7263B">
        <w:rPr>
          <w:rFonts w:cs="Times New Roman"/>
          <w:sz w:val="20"/>
          <w:szCs w:val="20"/>
        </w:rPr>
        <w:t xml:space="preserve">Given the </w:t>
      </w:r>
      <w:r w:rsidRPr="00F7263B">
        <w:rPr>
          <w:rFonts w:cs="Times New Roman"/>
          <w:sz w:val="20"/>
          <w:szCs w:val="20"/>
        </w:rPr>
        <w:lastRenderedPageBreak/>
        <w:t>importance of urbanization and the role of ULGs for Ethiopia’s overall economic growth on the one hand, and the current fiscal gap which prevents ULGs from fulfilling this role on the other, the Program has high strategic relevance</w:t>
      </w:r>
      <w:r w:rsidR="00126FE8" w:rsidRPr="00F7263B">
        <w:rPr>
          <w:rFonts w:cs="Times New Roman"/>
          <w:sz w:val="20"/>
          <w:szCs w:val="20"/>
        </w:rPr>
        <w:t xml:space="preserve"> </w:t>
      </w:r>
      <w:r w:rsidRPr="00F7263B">
        <w:rPr>
          <w:rFonts w:cs="Times New Roman"/>
          <w:sz w:val="20"/>
          <w:szCs w:val="20"/>
        </w:rPr>
        <w:t>for Ethiopia’s development priorities</w:t>
      </w:r>
      <w:r w:rsidR="00276BC8" w:rsidRPr="00F7263B">
        <w:rPr>
          <w:rFonts w:cs="Times New Roman"/>
          <w:sz w:val="20"/>
          <w:szCs w:val="20"/>
        </w:rPr>
        <w:t xml:space="preserve">.  </w:t>
      </w:r>
    </w:p>
    <w:p w:rsidR="00DA5FCC" w:rsidRPr="00F7263B" w:rsidRDefault="00DA5FCC" w:rsidP="00B74452">
      <w:pPr>
        <w:pStyle w:val="ListParagraph"/>
        <w:autoSpaceDE w:val="0"/>
        <w:autoSpaceDN w:val="0"/>
        <w:adjustRightInd w:val="0"/>
        <w:ind w:left="0"/>
        <w:jc w:val="both"/>
        <w:rPr>
          <w:rFonts w:cs="Times New Roman"/>
          <w:sz w:val="20"/>
          <w:szCs w:val="20"/>
        </w:rPr>
      </w:pPr>
    </w:p>
    <w:p w:rsidR="00DA5FCC" w:rsidRPr="00F7263B" w:rsidRDefault="00DA5FCC"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Technical soundness</w:t>
      </w:r>
      <w:r w:rsidR="00126FE8" w:rsidRPr="00F7263B">
        <w:rPr>
          <w:rFonts w:cs="Times New Roman"/>
          <w:b/>
          <w:sz w:val="20"/>
          <w:szCs w:val="20"/>
        </w:rPr>
        <w:t xml:space="preserve"> </w:t>
      </w:r>
      <w:r w:rsidR="00276BC8" w:rsidRPr="00F7263B">
        <w:rPr>
          <w:rFonts w:cs="Times New Roman"/>
          <w:b/>
          <w:i/>
          <w:sz w:val="20"/>
          <w:szCs w:val="20"/>
        </w:rPr>
        <w:t>.</w:t>
      </w:r>
      <w:r w:rsidRPr="00F7263B">
        <w:rPr>
          <w:sz w:val="20"/>
          <w:szCs w:val="20"/>
        </w:rPr>
        <w:t xml:space="preserve">ULGDP II draws heavily from the extensive experiences of Bank and </w:t>
      </w:r>
      <w:r w:rsidR="00276BC8" w:rsidRPr="00F7263B">
        <w:rPr>
          <w:sz w:val="20"/>
          <w:szCs w:val="20"/>
        </w:rPr>
        <w:t>government</w:t>
      </w:r>
      <w:r w:rsidRPr="00F7263B">
        <w:rPr>
          <w:sz w:val="20"/>
          <w:szCs w:val="20"/>
        </w:rPr>
        <w:t xml:space="preserve"> partnership in the urban sector, most recently under the ULGDP</w:t>
      </w:r>
      <w:r w:rsidR="00276BC8" w:rsidRPr="00F7263B">
        <w:rPr>
          <w:sz w:val="20"/>
          <w:szCs w:val="20"/>
        </w:rPr>
        <w:t xml:space="preserve">.  </w:t>
      </w:r>
      <w:r w:rsidRPr="00F7263B">
        <w:rPr>
          <w:sz w:val="20"/>
          <w:szCs w:val="20"/>
        </w:rPr>
        <w:t xml:space="preserve">These experiences, and those from other similar operations in relevant countries with the similar modalities have proved that the types of activities to be implemented using the Program funds at the ULG, regional and at the </w:t>
      </w:r>
      <w:r w:rsidR="00E65E2E" w:rsidRPr="00F7263B">
        <w:rPr>
          <w:sz w:val="20"/>
          <w:szCs w:val="20"/>
        </w:rPr>
        <w:t>MUDHCo</w:t>
      </w:r>
      <w:r w:rsidRPr="00F7263B">
        <w:rPr>
          <w:sz w:val="20"/>
          <w:szCs w:val="20"/>
        </w:rPr>
        <w:t xml:space="preserve"> levels are highly likely to produce results of improved coverage and quality of core urban services and of strengthening of the institutional capacity of the participating ULGs, regions and the federal agencies involved</w:t>
      </w:r>
      <w:r w:rsidR="00276BC8" w:rsidRPr="00F7263B">
        <w:rPr>
          <w:sz w:val="20"/>
          <w:szCs w:val="20"/>
        </w:rPr>
        <w:t xml:space="preserve">.  </w:t>
      </w:r>
      <w:r w:rsidRPr="00F7263B">
        <w:rPr>
          <w:sz w:val="20"/>
          <w:szCs w:val="20"/>
        </w:rPr>
        <w:t xml:space="preserve">In addition to building on the </w:t>
      </w:r>
      <w:r w:rsidRPr="00F7263B">
        <w:rPr>
          <w:rFonts w:cs="Times New Roman"/>
          <w:bCs/>
          <w:sz w:val="20"/>
          <w:szCs w:val="20"/>
        </w:rPr>
        <w:t>experience of ULGDP, Program design also addresses the challenges faced under ULGDP which include ensuring that the annual assessments are undertaken on time, strengthening the capacity building support (supply and demand side), taking Addis out of the Program scope to ensure that the unique circumstances of the primate city are addressed properly under a possible Addis specific project, and the expansion of the incentives to support at all tiers of governance, including the regional governments</w:t>
      </w:r>
      <w:r w:rsidR="00276BC8" w:rsidRPr="00F7263B">
        <w:rPr>
          <w:rFonts w:cs="Times New Roman"/>
          <w:bCs/>
          <w:sz w:val="20"/>
          <w:szCs w:val="20"/>
        </w:rPr>
        <w:t xml:space="preserve">.  </w:t>
      </w:r>
      <w:r w:rsidRPr="00F7263B">
        <w:rPr>
          <w:rFonts w:cs="Times New Roman"/>
          <w:bCs/>
          <w:sz w:val="20"/>
          <w:szCs w:val="20"/>
        </w:rPr>
        <w:t>In addition, the design of the Program has benefitted from the knowledge and experiences of internal and external experts and the experiences from performance-based grant systems from various countries</w:t>
      </w:r>
      <w:r w:rsidR="00276BC8" w:rsidRPr="00F7263B">
        <w:rPr>
          <w:rFonts w:cs="Times New Roman"/>
          <w:bCs/>
          <w:sz w:val="20"/>
          <w:szCs w:val="20"/>
        </w:rPr>
        <w:t xml:space="preserve">.  </w:t>
      </w:r>
      <w:r w:rsidRPr="00F7263B">
        <w:rPr>
          <w:rFonts w:cs="Times New Roman"/>
          <w:bCs/>
          <w:sz w:val="20"/>
          <w:szCs w:val="20"/>
        </w:rPr>
        <w:t xml:space="preserve">An increasing number of countries have introduced </w:t>
      </w:r>
      <w:r w:rsidR="00D0377C" w:rsidRPr="00F7263B">
        <w:rPr>
          <w:rFonts w:cs="Times New Roman"/>
          <w:bCs/>
          <w:sz w:val="20"/>
          <w:szCs w:val="20"/>
        </w:rPr>
        <w:t>performance-based</w:t>
      </w:r>
      <w:r w:rsidRPr="00F7263B">
        <w:rPr>
          <w:rFonts w:cs="Times New Roman"/>
          <w:bCs/>
          <w:sz w:val="20"/>
          <w:szCs w:val="20"/>
        </w:rPr>
        <w:t xml:space="preserve"> grant systems, and most recently linked to PforR operations with focus on urban investments, such as Uganda and Tanzania.</w:t>
      </w:r>
    </w:p>
    <w:p w:rsidR="00DA5FCC" w:rsidRPr="00F7263B" w:rsidRDefault="00DA5FCC" w:rsidP="00B74452">
      <w:pPr>
        <w:pStyle w:val="ListParagraph"/>
        <w:autoSpaceDE w:val="0"/>
        <w:autoSpaceDN w:val="0"/>
        <w:adjustRightInd w:val="0"/>
        <w:ind w:left="0"/>
        <w:jc w:val="both"/>
        <w:rPr>
          <w:rFonts w:cs="Times New Roman"/>
          <w:sz w:val="20"/>
          <w:szCs w:val="20"/>
        </w:rPr>
      </w:pPr>
    </w:p>
    <w:p w:rsidR="00DA5FCC" w:rsidRPr="00F7263B" w:rsidRDefault="00DA5FCC"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Cs/>
          <w:sz w:val="20"/>
          <w:szCs w:val="20"/>
        </w:rPr>
        <w:t xml:space="preserve">Further, to ensure the sustainability of investments created by using Program funds and of the existing stock, each ULG will be supported in undertaking assets management, </w:t>
      </w:r>
      <w:r w:rsidR="003D0123" w:rsidRPr="00F7263B">
        <w:rPr>
          <w:rFonts w:cs="Times New Roman"/>
          <w:bCs/>
          <w:sz w:val="20"/>
          <w:szCs w:val="20"/>
        </w:rPr>
        <w:t xml:space="preserve">and in planning </w:t>
      </w:r>
      <w:r w:rsidRPr="00F7263B">
        <w:rPr>
          <w:rFonts w:cs="Times New Roman"/>
          <w:bCs/>
          <w:sz w:val="20"/>
          <w:szCs w:val="20"/>
        </w:rPr>
        <w:t>capital investment</w:t>
      </w:r>
      <w:r w:rsidR="003D0123" w:rsidRPr="00F7263B">
        <w:rPr>
          <w:rFonts w:cs="Times New Roman"/>
          <w:bCs/>
          <w:sz w:val="20"/>
          <w:szCs w:val="20"/>
        </w:rPr>
        <w:t>s</w:t>
      </w:r>
      <w:r w:rsidRPr="00F7263B">
        <w:rPr>
          <w:rFonts w:cs="Times New Roman"/>
          <w:bCs/>
          <w:sz w:val="20"/>
          <w:szCs w:val="20"/>
        </w:rPr>
        <w:t xml:space="preserve">, </w:t>
      </w:r>
      <w:r w:rsidR="003D0123" w:rsidRPr="00F7263B">
        <w:rPr>
          <w:rFonts w:cs="Times New Roman"/>
          <w:bCs/>
          <w:sz w:val="20"/>
          <w:szCs w:val="20"/>
        </w:rPr>
        <w:t>operations</w:t>
      </w:r>
      <w:r w:rsidR="00126FE8" w:rsidRPr="00F7263B">
        <w:rPr>
          <w:rFonts w:cs="Times New Roman"/>
          <w:bCs/>
          <w:sz w:val="20"/>
          <w:szCs w:val="20"/>
        </w:rPr>
        <w:t xml:space="preserve"> </w:t>
      </w:r>
      <w:r w:rsidRPr="00F7263B">
        <w:rPr>
          <w:rFonts w:cs="Times New Roman"/>
          <w:bCs/>
          <w:sz w:val="20"/>
          <w:szCs w:val="20"/>
        </w:rPr>
        <w:t>and maintenance</w:t>
      </w:r>
      <w:r w:rsidR="003D0123" w:rsidRPr="00F7263B">
        <w:rPr>
          <w:rFonts w:cs="Times New Roman"/>
          <w:bCs/>
          <w:sz w:val="20"/>
          <w:szCs w:val="20"/>
        </w:rPr>
        <w:t>,</w:t>
      </w:r>
      <w:r w:rsidRPr="00F7263B">
        <w:rPr>
          <w:rFonts w:cs="Times New Roman"/>
          <w:bCs/>
          <w:sz w:val="20"/>
          <w:szCs w:val="20"/>
        </w:rPr>
        <w:t xml:space="preserve"> and revenue </w:t>
      </w:r>
      <w:r w:rsidR="003D0123" w:rsidRPr="00F7263B">
        <w:rPr>
          <w:rFonts w:cs="Times New Roman"/>
          <w:bCs/>
          <w:sz w:val="20"/>
          <w:szCs w:val="20"/>
        </w:rPr>
        <w:t>mobilization</w:t>
      </w:r>
      <w:r w:rsidR="00276BC8" w:rsidRPr="00F7263B">
        <w:rPr>
          <w:rFonts w:cs="Times New Roman"/>
          <w:bCs/>
          <w:sz w:val="20"/>
          <w:szCs w:val="20"/>
        </w:rPr>
        <w:t xml:space="preserve">.  </w:t>
      </w:r>
      <w:r w:rsidRPr="00F7263B">
        <w:rPr>
          <w:rFonts w:cs="Times New Roman"/>
          <w:bCs/>
          <w:sz w:val="20"/>
          <w:szCs w:val="20"/>
        </w:rPr>
        <w:t xml:space="preserve">The support to </w:t>
      </w:r>
      <w:r w:rsidR="003D0123" w:rsidRPr="00F7263B">
        <w:rPr>
          <w:rFonts w:cs="Times New Roman"/>
          <w:bCs/>
          <w:sz w:val="20"/>
          <w:szCs w:val="20"/>
        </w:rPr>
        <w:t>help ULGs enhance</w:t>
      </w:r>
      <w:r w:rsidRPr="00F7263B">
        <w:rPr>
          <w:rFonts w:cs="Times New Roman"/>
          <w:bCs/>
          <w:sz w:val="20"/>
          <w:szCs w:val="20"/>
        </w:rPr>
        <w:t xml:space="preserve"> own source revenue</w:t>
      </w:r>
      <w:r w:rsidR="003D0123" w:rsidRPr="00F7263B">
        <w:rPr>
          <w:rFonts w:cs="Times New Roman"/>
          <w:bCs/>
          <w:sz w:val="20"/>
          <w:szCs w:val="20"/>
        </w:rPr>
        <w:t>s</w:t>
      </w:r>
      <w:r w:rsidRPr="00F7263B">
        <w:rPr>
          <w:rFonts w:cs="Times New Roman"/>
          <w:bCs/>
          <w:sz w:val="20"/>
          <w:szCs w:val="20"/>
        </w:rPr>
        <w:t xml:space="preserve"> will include </w:t>
      </w:r>
      <w:r w:rsidR="00CB58E2" w:rsidRPr="00F7263B">
        <w:rPr>
          <w:rFonts w:cs="Times New Roman"/>
          <w:bCs/>
          <w:sz w:val="20"/>
          <w:szCs w:val="20"/>
        </w:rPr>
        <w:t xml:space="preserve">issues such as </w:t>
      </w:r>
      <w:r w:rsidRPr="00F7263B">
        <w:rPr>
          <w:rFonts w:cs="Times New Roman"/>
          <w:bCs/>
          <w:sz w:val="20"/>
          <w:szCs w:val="20"/>
        </w:rPr>
        <w:t xml:space="preserve">expanding </w:t>
      </w:r>
      <w:r w:rsidR="003D0123" w:rsidRPr="00F7263B">
        <w:rPr>
          <w:rFonts w:cs="Times New Roman"/>
          <w:bCs/>
          <w:sz w:val="20"/>
          <w:szCs w:val="20"/>
        </w:rPr>
        <w:t xml:space="preserve">the </w:t>
      </w:r>
      <w:r w:rsidRPr="00F7263B">
        <w:rPr>
          <w:rFonts w:cs="Times New Roman"/>
          <w:bCs/>
          <w:sz w:val="20"/>
          <w:szCs w:val="20"/>
        </w:rPr>
        <w:t>revenue base by source and revenue targets, billing, collection, enforcement, complain</w:t>
      </w:r>
      <w:r w:rsidR="00CB58E2" w:rsidRPr="00F7263B">
        <w:rPr>
          <w:rFonts w:cs="Times New Roman"/>
          <w:bCs/>
          <w:sz w:val="20"/>
          <w:szCs w:val="20"/>
        </w:rPr>
        <w:t>t</w:t>
      </w:r>
      <w:r w:rsidRPr="00F7263B">
        <w:rPr>
          <w:rFonts w:cs="Times New Roman"/>
          <w:bCs/>
          <w:sz w:val="20"/>
          <w:szCs w:val="20"/>
        </w:rPr>
        <w:t xml:space="preserve"> resolution, and information, communication</w:t>
      </w:r>
      <w:r w:rsidR="00CB58E2" w:rsidRPr="00F7263B">
        <w:rPr>
          <w:rFonts w:cs="Times New Roman"/>
          <w:bCs/>
          <w:sz w:val="20"/>
          <w:szCs w:val="20"/>
        </w:rPr>
        <w:t>s,</w:t>
      </w:r>
      <w:r w:rsidRPr="00F7263B">
        <w:rPr>
          <w:rFonts w:cs="Times New Roman"/>
          <w:bCs/>
          <w:sz w:val="20"/>
          <w:szCs w:val="20"/>
        </w:rPr>
        <w:t xml:space="preserve"> and </w:t>
      </w:r>
      <w:r w:rsidR="0065739F" w:rsidRPr="00F7263B">
        <w:rPr>
          <w:rFonts w:cs="Times New Roman"/>
          <w:bCs/>
          <w:sz w:val="20"/>
          <w:szCs w:val="20"/>
        </w:rPr>
        <w:t>capacity building</w:t>
      </w:r>
      <w:r w:rsidR="00126FE8" w:rsidRPr="00F7263B">
        <w:rPr>
          <w:rFonts w:cs="Times New Roman"/>
          <w:bCs/>
          <w:sz w:val="20"/>
          <w:szCs w:val="20"/>
        </w:rPr>
        <w:t xml:space="preserve"> </w:t>
      </w:r>
      <w:r w:rsidR="00B1718C" w:rsidRPr="00F7263B">
        <w:rPr>
          <w:rFonts w:cs="Times New Roman"/>
          <w:bCs/>
          <w:sz w:val="20"/>
          <w:szCs w:val="20"/>
        </w:rPr>
        <w:t>activities</w:t>
      </w:r>
      <w:r w:rsidR="00276BC8" w:rsidRPr="00F7263B">
        <w:rPr>
          <w:rFonts w:cs="Times New Roman"/>
          <w:bCs/>
          <w:sz w:val="20"/>
          <w:szCs w:val="20"/>
        </w:rPr>
        <w:t>.</w:t>
      </w:r>
      <w:r w:rsidR="00126FE8" w:rsidRPr="00F7263B">
        <w:rPr>
          <w:rFonts w:cs="Times New Roman"/>
          <w:bCs/>
          <w:sz w:val="20"/>
          <w:szCs w:val="20"/>
        </w:rPr>
        <w:t xml:space="preserve"> </w:t>
      </w:r>
      <w:r w:rsidRPr="00F7263B">
        <w:rPr>
          <w:rFonts w:cs="Times New Roman"/>
          <w:bCs/>
          <w:sz w:val="20"/>
          <w:szCs w:val="20"/>
        </w:rPr>
        <w:t xml:space="preserve">To this end, </w:t>
      </w:r>
      <w:r w:rsidRPr="00F7263B">
        <w:rPr>
          <w:rFonts w:cs="Times New Roman"/>
          <w:sz w:val="20"/>
          <w:szCs w:val="20"/>
        </w:rPr>
        <w:t>the basic ten</w:t>
      </w:r>
      <w:r w:rsidR="00AD3F18" w:rsidRPr="00F7263B">
        <w:rPr>
          <w:rFonts w:cs="Times New Roman"/>
          <w:sz w:val="20"/>
          <w:szCs w:val="20"/>
        </w:rPr>
        <w:t>e</w:t>
      </w:r>
      <w:r w:rsidRPr="00F7263B">
        <w:rPr>
          <w:rFonts w:cs="Times New Roman"/>
          <w:sz w:val="20"/>
          <w:szCs w:val="20"/>
        </w:rPr>
        <w:t>ts of the current assessment system have been refined to enhance ULG</w:t>
      </w:r>
      <w:r w:rsidR="00CB58E2" w:rsidRPr="00F7263B">
        <w:rPr>
          <w:rFonts w:cs="Times New Roman"/>
          <w:sz w:val="20"/>
          <w:szCs w:val="20"/>
        </w:rPr>
        <w:t>s’</w:t>
      </w:r>
      <w:r w:rsidRPr="00F7263B">
        <w:rPr>
          <w:rFonts w:cs="Times New Roman"/>
          <w:sz w:val="20"/>
          <w:szCs w:val="20"/>
        </w:rPr>
        <w:t xml:space="preserve"> capacity </w:t>
      </w:r>
      <w:r w:rsidR="00CB58E2" w:rsidRPr="00F7263B">
        <w:rPr>
          <w:rFonts w:cs="Times New Roman"/>
          <w:sz w:val="20"/>
          <w:szCs w:val="20"/>
        </w:rPr>
        <w:t xml:space="preserve">for generating </w:t>
      </w:r>
      <w:r w:rsidRPr="00F7263B">
        <w:rPr>
          <w:rFonts w:cs="Times New Roman"/>
          <w:sz w:val="20"/>
          <w:szCs w:val="20"/>
        </w:rPr>
        <w:t>own source revenue</w:t>
      </w:r>
      <w:r w:rsidR="00CB58E2" w:rsidRPr="00F7263B">
        <w:rPr>
          <w:rFonts w:cs="Times New Roman"/>
          <w:sz w:val="20"/>
          <w:szCs w:val="20"/>
        </w:rPr>
        <w:t>s;</w:t>
      </w:r>
      <w:r w:rsidRPr="00F7263B">
        <w:rPr>
          <w:rFonts w:cs="Times New Roman"/>
          <w:sz w:val="20"/>
          <w:szCs w:val="20"/>
        </w:rPr>
        <w:t xml:space="preserve"> manag</w:t>
      </w:r>
      <w:r w:rsidR="00CB58E2" w:rsidRPr="00F7263B">
        <w:rPr>
          <w:rFonts w:cs="Times New Roman"/>
          <w:sz w:val="20"/>
          <w:szCs w:val="20"/>
        </w:rPr>
        <w:t xml:space="preserve">ing </w:t>
      </w:r>
      <w:r w:rsidRPr="00F7263B">
        <w:rPr>
          <w:rFonts w:cs="Times New Roman"/>
          <w:sz w:val="20"/>
          <w:szCs w:val="20"/>
        </w:rPr>
        <w:t>fiduciary, social</w:t>
      </w:r>
      <w:r w:rsidR="00CB58E2" w:rsidRPr="00F7263B">
        <w:rPr>
          <w:rFonts w:cs="Times New Roman"/>
          <w:sz w:val="20"/>
          <w:szCs w:val="20"/>
        </w:rPr>
        <w:t>,</w:t>
      </w:r>
      <w:r w:rsidRPr="00F7263B">
        <w:rPr>
          <w:rFonts w:cs="Times New Roman"/>
          <w:sz w:val="20"/>
          <w:szCs w:val="20"/>
        </w:rPr>
        <w:t xml:space="preserve"> and environmental systems</w:t>
      </w:r>
      <w:r w:rsidR="00CB58E2" w:rsidRPr="00F7263B">
        <w:rPr>
          <w:rFonts w:cs="Times New Roman"/>
          <w:sz w:val="20"/>
          <w:szCs w:val="20"/>
        </w:rPr>
        <w:t>; implementing</w:t>
      </w:r>
      <w:r w:rsidRPr="00F7263B">
        <w:rPr>
          <w:rFonts w:cs="Times New Roman"/>
          <w:sz w:val="20"/>
          <w:szCs w:val="20"/>
        </w:rPr>
        <w:t xml:space="preserve"> project</w:t>
      </w:r>
      <w:r w:rsidR="00CB58E2" w:rsidRPr="00F7263B">
        <w:rPr>
          <w:rFonts w:cs="Times New Roman"/>
          <w:sz w:val="20"/>
          <w:szCs w:val="20"/>
        </w:rPr>
        <w:t>s;</w:t>
      </w:r>
      <w:r w:rsidR="00126FE8" w:rsidRPr="00F7263B">
        <w:rPr>
          <w:rFonts w:cs="Times New Roman"/>
          <w:sz w:val="20"/>
          <w:szCs w:val="20"/>
        </w:rPr>
        <w:t xml:space="preserve"> </w:t>
      </w:r>
      <w:r w:rsidR="00CB58E2" w:rsidRPr="00F7263B">
        <w:rPr>
          <w:rFonts w:cs="Times New Roman"/>
          <w:sz w:val="20"/>
          <w:szCs w:val="20"/>
        </w:rPr>
        <w:t xml:space="preserve">and maintaining and operating urban infrastructure and services.  </w:t>
      </w:r>
      <w:r w:rsidR="0001126F" w:rsidRPr="00F7263B">
        <w:rPr>
          <w:rFonts w:cs="Times New Roman"/>
          <w:sz w:val="20"/>
          <w:szCs w:val="20"/>
        </w:rPr>
        <w:t xml:space="preserve">Challenges experienced in the current ULGDP on ULG </w:t>
      </w:r>
      <w:r w:rsidR="00D5646A" w:rsidRPr="00F7263B">
        <w:rPr>
          <w:rFonts w:cs="Times New Roman"/>
          <w:sz w:val="20"/>
          <w:szCs w:val="20"/>
        </w:rPr>
        <w:t>own source revenue</w:t>
      </w:r>
      <w:r w:rsidR="0001126F" w:rsidRPr="00F7263B">
        <w:rPr>
          <w:rFonts w:cs="Times New Roman"/>
          <w:sz w:val="20"/>
          <w:szCs w:val="20"/>
        </w:rPr>
        <w:t xml:space="preserve"> mobilization </w:t>
      </w:r>
      <w:r w:rsidR="0037090C" w:rsidRPr="00F7263B">
        <w:rPr>
          <w:rFonts w:cs="Times New Roman"/>
          <w:sz w:val="20"/>
          <w:szCs w:val="20"/>
        </w:rPr>
        <w:t xml:space="preserve">have </w:t>
      </w:r>
      <w:r w:rsidR="0001126F" w:rsidRPr="00F7263B">
        <w:rPr>
          <w:rFonts w:cs="Times New Roman"/>
          <w:sz w:val="20"/>
          <w:szCs w:val="20"/>
        </w:rPr>
        <w:t>been addressed through strengthening of the minimum conditions</w:t>
      </w:r>
      <w:r w:rsidR="004B4292" w:rsidRPr="00F7263B">
        <w:rPr>
          <w:rFonts w:cs="Times New Roman"/>
          <w:sz w:val="20"/>
          <w:szCs w:val="20"/>
        </w:rPr>
        <w:t xml:space="preserve"> and perfo</w:t>
      </w:r>
      <w:r w:rsidR="00C9483C" w:rsidRPr="00F7263B">
        <w:rPr>
          <w:rFonts w:cs="Times New Roman"/>
          <w:sz w:val="20"/>
          <w:szCs w:val="20"/>
        </w:rPr>
        <w:t xml:space="preserve">rmance measures related to </w:t>
      </w:r>
      <w:r w:rsidR="00D5646A" w:rsidRPr="00F7263B">
        <w:rPr>
          <w:rFonts w:cs="Times New Roman"/>
          <w:sz w:val="20"/>
          <w:szCs w:val="20"/>
        </w:rPr>
        <w:t>own source revenue</w:t>
      </w:r>
      <w:r w:rsidR="00C9483C" w:rsidRPr="00F7263B">
        <w:rPr>
          <w:rFonts w:cs="Times New Roman"/>
          <w:sz w:val="20"/>
          <w:szCs w:val="20"/>
        </w:rPr>
        <w:t xml:space="preserve">. </w:t>
      </w:r>
      <w:r w:rsidRPr="00F7263B">
        <w:rPr>
          <w:rFonts w:cs="Times New Roman"/>
          <w:sz w:val="20"/>
          <w:szCs w:val="20"/>
        </w:rPr>
        <w:t xml:space="preserve">Minimum conditions, comprising requirements in planning, </w:t>
      </w:r>
      <w:r w:rsidR="005F045B" w:rsidRPr="00F7263B">
        <w:rPr>
          <w:rFonts w:cs="Times New Roman"/>
          <w:sz w:val="20"/>
          <w:szCs w:val="20"/>
        </w:rPr>
        <w:t>public financial management</w:t>
      </w:r>
      <w:r w:rsidRPr="00F7263B">
        <w:rPr>
          <w:rFonts w:cs="Times New Roman"/>
          <w:sz w:val="20"/>
          <w:szCs w:val="20"/>
        </w:rPr>
        <w:t>, social and environmental systems management</w:t>
      </w:r>
      <w:r w:rsidR="00CB58E2" w:rsidRPr="00F7263B">
        <w:rPr>
          <w:rFonts w:cs="Times New Roman"/>
          <w:sz w:val="20"/>
          <w:szCs w:val="20"/>
        </w:rPr>
        <w:t>,</w:t>
      </w:r>
      <w:r w:rsidRPr="00F7263B">
        <w:rPr>
          <w:rFonts w:cs="Times New Roman"/>
          <w:sz w:val="20"/>
          <w:szCs w:val="20"/>
        </w:rPr>
        <w:t xml:space="preserve"> and procurement must be achieved and maintained by participating ULGs throughout the Program</w:t>
      </w:r>
      <w:r w:rsidR="0037090C" w:rsidRPr="00F7263B">
        <w:rPr>
          <w:rFonts w:cs="Times New Roman"/>
          <w:sz w:val="20"/>
          <w:szCs w:val="20"/>
        </w:rPr>
        <w:t xml:space="preserve">.  </w:t>
      </w:r>
      <w:r w:rsidRPr="00F7263B">
        <w:rPr>
          <w:rFonts w:cs="Times New Roman"/>
          <w:sz w:val="20"/>
          <w:szCs w:val="20"/>
        </w:rPr>
        <w:t xml:space="preserve">If ULGs do not </w:t>
      </w:r>
      <w:r w:rsidR="0037090C" w:rsidRPr="00F7263B">
        <w:rPr>
          <w:rFonts w:cs="Times New Roman"/>
          <w:sz w:val="20"/>
          <w:szCs w:val="20"/>
        </w:rPr>
        <w:t xml:space="preserve">achieve </w:t>
      </w:r>
      <w:r w:rsidRPr="00F7263B">
        <w:rPr>
          <w:rFonts w:cs="Times New Roman"/>
          <w:sz w:val="20"/>
          <w:szCs w:val="20"/>
        </w:rPr>
        <w:t>the minimum conditions, they will not get access to the funds from DLIs 1, 2 and 3, but will be supported through the capacity building activities</w:t>
      </w:r>
      <w:r w:rsidR="00276BC8" w:rsidRPr="00F7263B">
        <w:rPr>
          <w:rFonts w:cs="Times New Roman"/>
          <w:sz w:val="20"/>
          <w:szCs w:val="20"/>
        </w:rPr>
        <w:t xml:space="preserve">.  </w:t>
      </w:r>
      <w:r w:rsidRPr="00F7263B">
        <w:rPr>
          <w:rFonts w:cs="Times New Roman"/>
          <w:sz w:val="20"/>
          <w:szCs w:val="20"/>
        </w:rPr>
        <w:t xml:space="preserve">In addition to the minimum conditions, a set of performance measures target urban institutional performance in core areas such as planning, budgeting, </w:t>
      </w:r>
      <w:r w:rsidR="00CE66E6" w:rsidRPr="00F7263B">
        <w:rPr>
          <w:rFonts w:cs="Times New Roman"/>
          <w:sz w:val="20"/>
          <w:szCs w:val="20"/>
        </w:rPr>
        <w:t>p</w:t>
      </w:r>
      <w:r w:rsidR="005F045B" w:rsidRPr="00F7263B">
        <w:rPr>
          <w:rFonts w:cs="Times New Roman"/>
          <w:sz w:val="20"/>
          <w:szCs w:val="20"/>
        </w:rPr>
        <w:t xml:space="preserve">ublic financial </w:t>
      </w:r>
      <w:r w:rsidR="00CB58E2" w:rsidRPr="00F7263B">
        <w:rPr>
          <w:rFonts w:cs="Times New Roman"/>
          <w:sz w:val="20"/>
          <w:szCs w:val="20"/>
        </w:rPr>
        <w:t>management</w:t>
      </w:r>
      <w:r w:rsidRPr="00F7263B">
        <w:rPr>
          <w:rFonts w:cs="Times New Roman"/>
          <w:sz w:val="20"/>
          <w:szCs w:val="20"/>
        </w:rPr>
        <w:t>, own source revenue</w:t>
      </w:r>
      <w:r w:rsidR="00CB58E2" w:rsidRPr="00F7263B">
        <w:rPr>
          <w:rFonts w:cs="Times New Roman"/>
          <w:sz w:val="20"/>
          <w:szCs w:val="20"/>
        </w:rPr>
        <w:t xml:space="preserve"> mobilization</w:t>
      </w:r>
      <w:r w:rsidRPr="00F7263B">
        <w:rPr>
          <w:rFonts w:cs="Times New Roman"/>
          <w:sz w:val="20"/>
          <w:szCs w:val="20"/>
        </w:rPr>
        <w:t>, procurement, assets management</w:t>
      </w:r>
      <w:r w:rsidR="00CB58E2" w:rsidRPr="00F7263B">
        <w:rPr>
          <w:rFonts w:cs="Times New Roman"/>
          <w:sz w:val="20"/>
          <w:szCs w:val="20"/>
        </w:rPr>
        <w:t>,</w:t>
      </w:r>
      <w:r w:rsidRPr="00F7263B">
        <w:rPr>
          <w:rFonts w:cs="Times New Roman"/>
          <w:sz w:val="20"/>
          <w:szCs w:val="20"/>
        </w:rPr>
        <w:t xml:space="preserve"> and governance as well as infrastructure delivery</w:t>
      </w:r>
      <w:r w:rsidR="00276BC8" w:rsidRPr="00F7263B">
        <w:rPr>
          <w:rFonts w:cs="Times New Roman"/>
          <w:sz w:val="20"/>
          <w:szCs w:val="20"/>
        </w:rPr>
        <w:t>.</w:t>
      </w:r>
      <w:r w:rsidR="00A2314D">
        <w:rPr>
          <w:rFonts w:cs="Times New Roman"/>
          <w:sz w:val="20"/>
          <w:szCs w:val="20"/>
        </w:rPr>
        <w:t xml:space="preserve"> </w:t>
      </w:r>
      <w:r w:rsidRPr="00F7263B">
        <w:rPr>
          <w:rFonts w:cs="Times New Roman"/>
          <w:sz w:val="20"/>
          <w:szCs w:val="20"/>
        </w:rPr>
        <w:t>These measures are detailed in a transparent performance assessment manual, prepared by the government for the Program</w:t>
      </w:r>
      <w:r w:rsidR="00276BC8" w:rsidRPr="00F7263B">
        <w:rPr>
          <w:rFonts w:cs="Times New Roman"/>
          <w:sz w:val="20"/>
          <w:szCs w:val="20"/>
        </w:rPr>
        <w:t xml:space="preserve">.  </w:t>
      </w:r>
      <w:r w:rsidRPr="00F7263B">
        <w:rPr>
          <w:rFonts w:cs="Times New Roman"/>
          <w:sz w:val="20"/>
          <w:szCs w:val="20"/>
        </w:rPr>
        <w:t>The performance results approval and verification protocol process will be formalized through systems and procedures for approval, complaint handling</w:t>
      </w:r>
      <w:r w:rsidR="003F2B54" w:rsidRPr="00F7263B">
        <w:rPr>
          <w:rFonts w:cs="Times New Roman"/>
          <w:sz w:val="20"/>
          <w:szCs w:val="20"/>
        </w:rPr>
        <w:t>,</w:t>
      </w:r>
      <w:r w:rsidRPr="00F7263B">
        <w:rPr>
          <w:rFonts w:cs="Times New Roman"/>
          <w:sz w:val="20"/>
          <w:szCs w:val="20"/>
        </w:rPr>
        <w:t xml:space="preserve"> and publication and the assessments will be conducted in due time to fit with the ULGs budgeting and planning cycle, which will be supported through federal incentives for timely completion</w:t>
      </w:r>
      <w:r w:rsidR="00276BC8" w:rsidRPr="00F7263B">
        <w:rPr>
          <w:rFonts w:cs="Times New Roman"/>
          <w:sz w:val="20"/>
          <w:szCs w:val="20"/>
        </w:rPr>
        <w:t xml:space="preserve">.  </w:t>
      </w:r>
      <w:r w:rsidRPr="00F7263B">
        <w:rPr>
          <w:rFonts w:cs="Times New Roman"/>
          <w:sz w:val="20"/>
          <w:szCs w:val="20"/>
        </w:rPr>
        <w:t>The performance assessments will continue to be outsourced to a private, neutral</w:t>
      </w:r>
      <w:r w:rsidR="003F2B54" w:rsidRPr="00F7263B">
        <w:rPr>
          <w:rFonts w:cs="Times New Roman"/>
          <w:sz w:val="20"/>
          <w:szCs w:val="20"/>
        </w:rPr>
        <w:t>,</w:t>
      </w:r>
      <w:r w:rsidRPr="00F7263B">
        <w:rPr>
          <w:rFonts w:cs="Times New Roman"/>
          <w:sz w:val="20"/>
          <w:szCs w:val="20"/>
        </w:rPr>
        <w:t xml:space="preserve"> company to ensure that results are objectively measured, credible</w:t>
      </w:r>
      <w:r w:rsidR="003F2B54" w:rsidRPr="00F7263B">
        <w:rPr>
          <w:rFonts w:cs="Times New Roman"/>
          <w:sz w:val="20"/>
          <w:szCs w:val="20"/>
        </w:rPr>
        <w:t>,</w:t>
      </w:r>
      <w:r w:rsidRPr="00F7263B">
        <w:rPr>
          <w:rFonts w:cs="Times New Roman"/>
          <w:sz w:val="20"/>
          <w:szCs w:val="20"/>
        </w:rPr>
        <w:t xml:space="preserve"> and that the general credibility of the entire system is maintained</w:t>
      </w:r>
      <w:r w:rsidR="00276BC8" w:rsidRPr="00F7263B">
        <w:rPr>
          <w:rFonts w:cs="Times New Roman"/>
          <w:sz w:val="20"/>
          <w:szCs w:val="20"/>
        </w:rPr>
        <w:t xml:space="preserve">.  </w:t>
      </w:r>
      <w:r w:rsidRPr="00F7263B">
        <w:rPr>
          <w:rFonts w:cs="Times New Roman"/>
          <w:sz w:val="20"/>
          <w:szCs w:val="20"/>
        </w:rPr>
        <w:t xml:space="preserve">The Program will maintain the systems and procedures developed under ULGDP with </w:t>
      </w:r>
      <w:r w:rsidR="00B57714" w:rsidRPr="00F7263B">
        <w:rPr>
          <w:rFonts w:cs="Times New Roman"/>
          <w:sz w:val="20"/>
          <w:szCs w:val="20"/>
        </w:rPr>
        <w:t xml:space="preserve">a </w:t>
      </w:r>
      <w:r w:rsidR="00C338D3" w:rsidRPr="00F7263B">
        <w:rPr>
          <w:rFonts w:cs="Times New Roman"/>
          <w:sz w:val="20"/>
          <w:szCs w:val="20"/>
        </w:rPr>
        <w:t>number of</w:t>
      </w:r>
      <w:r w:rsidR="00B57714" w:rsidRPr="00F7263B">
        <w:rPr>
          <w:rFonts w:cs="Times New Roman"/>
          <w:sz w:val="20"/>
          <w:szCs w:val="20"/>
        </w:rPr>
        <w:t xml:space="preserve"> core refinements such as the timeliness of the assessments, sharpening and strengthening of minimum conditions and performance measures and of the incentive system through direct adjustment of grants against the performance of the ULGs</w:t>
      </w:r>
      <w:r w:rsidR="00276BC8" w:rsidRPr="00F7263B">
        <w:rPr>
          <w:rFonts w:cs="Times New Roman"/>
          <w:sz w:val="20"/>
          <w:szCs w:val="20"/>
        </w:rPr>
        <w:t xml:space="preserve">.  </w:t>
      </w:r>
      <w:r w:rsidRPr="00F7263B">
        <w:rPr>
          <w:rFonts w:cs="Times New Roman"/>
          <w:sz w:val="20"/>
          <w:szCs w:val="20"/>
        </w:rPr>
        <w:t>Based on the above, the technical design of the Program will contribute to the overall goal of efficiently producing results and reaching the Program’s objectives</w:t>
      </w:r>
      <w:r w:rsidR="00276BC8" w:rsidRPr="00F7263B">
        <w:rPr>
          <w:rFonts w:cs="Times New Roman"/>
          <w:sz w:val="20"/>
          <w:szCs w:val="20"/>
        </w:rPr>
        <w:t xml:space="preserve">.  </w:t>
      </w:r>
      <w:r w:rsidRPr="00F7263B">
        <w:rPr>
          <w:rFonts w:cs="Times New Roman"/>
          <w:sz w:val="20"/>
          <w:szCs w:val="20"/>
        </w:rPr>
        <w:t>The Program technical design reflects international good practice in the overall urban sector and specifically in technical standards and typology of Program activities</w:t>
      </w:r>
      <w:r w:rsidR="00276BC8" w:rsidRPr="00F7263B">
        <w:rPr>
          <w:rFonts w:cs="Times New Roman"/>
          <w:sz w:val="20"/>
          <w:szCs w:val="20"/>
        </w:rPr>
        <w:t xml:space="preserve">.  </w:t>
      </w:r>
      <w:r w:rsidR="00FA168C" w:rsidRPr="00F7263B">
        <w:rPr>
          <w:rFonts w:cs="Times New Roman"/>
          <w:sz w:val="20"/>
          <w:szCs w:val="20"/>
        </w:rPr>
        <w:t>In addition</w:t>
      </w:r>
      <w:r w:rsidRPr="00F7263B">
        <w:rPr>
          <w:rFonts w:cs="Times New Roman"/>
          <w:sz w:val="20"/>
          <w:szCs w:val="20"/>
        </w:rPr>
        <w:t xml:space="preserve">, </w:t>
      </w:r>
      <w:r w:rsidR="00FA168C" w:rsidRPr="00F7263B">
        <w:rPr>
          <w:rFonts w:cs="Times New Roman"/>
          <w:sz w:val="20"/>
          <w:szCs w:val="20"/>
        </w:rPr>
        <w:t xml:space="preserve">the </w:t>
      </w:r>
      <w:r w:rsidRPr="00F7263B">
        <w:rPr>
          <w:rFonts w:cs="Times New Roman"/>
          <w:sz w:val="20"/>
          <w:szCs w:val="20"/>
        </w:rPr>
        <w:t>design ensures, to the extent possible, that the incentives are in place for Program stakeholders to effectively contribute to the Program’s success</w:t>
      </w:r>
      <w:r w:rsidR="00276BC8" w:rsidRPr="00F7263B">
        <w:rPr>
          <w:rFonts w:cs="Times New Roman"/>
          <w:sz w:val="20"/>
          <w:szCs w:val="20"/>
        </w:rPr>
        <w:t xml:space="preserve">.  </w:t>
      </w:r>
      <w:r w:rsidRPr="00F7263B">
        <w:rPr>
          <w:rFonts w:cs="Times New Roman"/>
          <w:b/>
          <w:i/>
          <w:sz w:val="20"/>
          <w:szCs w:val="20"/>
        </w:rPr>
        <w:t>Therefore, the Program is</w:t>
      </w:r>
      <w:r w:rsidR="00A2314D">
        <w:rPr>
          <w:rFonts w:cs="Times New Roman"/>
          <w:b/>
          <w:i/>
          <w:sz w:val="20"/>
          <w:szCs w:val="20"/>
        </w:rPr>
        <w:t xml:space="preserve"> </w:t>
      </w:r>
      <w:r w:rsidRPr="00F7263B">
        <w:rPr>
          <w:rFonts w:cs="Times New Roman"/>
          <w:b/>
          <w:i/>
          <w:sz w:val="20"/>
          <w:szCs w:val="20"/>
        </w:rPr>
        <w:t>technically sound</w:t>
      </w:r>
      <w:r w:rsidRPr="00F7263B">
        <w:rPr>
          <w:rFonts w:cs="Times New Roman"/>
          <w:sz w:val="20"/>
          <w:szCs w:val="20"/>
        </w:rPr>
        <w:t>.</w:t>
      </w:r>
    </w:p>
    <w:p w:rsidR="00DA5FCC" w:rsidRPr="00F7263B" w:rsidRDefault="00DA5FCC" w:rsidP="00B74452">
      <w:pPr>
        <w:pStyle w:val="ListParagraph"/>
        <w:autoSpaceDE w:val="0"/>
        <w:autoSpaceDN w:val="0"/>
        <w:adjustRightInd w:val="0"/>
        <w:ind w:left="0"/>
        <w:jc w:val="both"/>
        <w:rPr>
          <w:rFonts w:cs="Times New Roman"/>
          <w:sz w:val="20"/>
          <w:szCs w:val="20"/>
        </w:rPr>
      </w:pPr>
    </w:p>
    <w:p w:rsidR="00DA5FCC" w:rsidRPr="00F7263B" w:rsidRDefault="00276BC8"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Expenditure framework</w:t>
      </w:r>
      <w:r w:rsidRPr="00F7263B">
        <w:rPr>
          <w:rFonts w:cs="Times New Roman"/>
          <w:sz w:val="20"/>
          <w:szCs w:val="20"/>
        </w:rPr>
        <w:t xml:space="preserve">.  </w:t>
      </w:r>
      <w:r w:rsidR="00DA5FCC" w:rsidRPr="00F7263B">
        <w:rPr>
          <w:rFonts w:cs="Times New Roman"/>
          <w:sz w:val="20"/>
          <w:szCs w:val="20"/>
        </w:rPr>
        <w:t>The Program’s expenditure framework (as per table be</w:t>
      </w:r>
      <w:r w:rsidRPr="00F7263B">
        <w:rPr>
          <w:rFonts w:cs="Times New Roman"/>
          <w:sz w:val="20"/>
          <w:szCs w:val="20"/>
        </w:rPr>
        <w:t>low) consists of a total of US$</w:t>
      </w:r>
      <w:r w:rsidR="00DA5FCC" w:rsidRPr="00F7263B">
        <w:rPr>
          <w:rFonts w:cs="Times New Roman"/>
          <w:sz w:val="20"/>
          <w:szCs w:val="20"/>
        </w:rPr>
        <w:t>5</w:t>
      </w:r>
      <w:r w:rsidR="00842576" w:rsidRPr="00F7263B">
        <w:rPr>
          <w:rFonts w:cs="Times New Roman"/>
          <w:sz w:val="20"/>
          <w:szCs w:val="20"/>
        </w:rPr>
        <w:t>56.5</w:t>
      </w:r>
      <w:r w:rsidR="00B44D00" w:rsidRPr="00F7263B">
        <w:rPr>
          <w:rFonts w:cs="Times New Roman"/>
          <w:sz w:val="20"/>
          <w:szCs w:val="20"/>
        </w:rPr>
        <w:t>3</w:t>
      </w:r>
      <w:r w:rsidR="00DA5FCC" w:rsidRPr="00F7263B">
        <w:rPr>
          <w:rFonts w:cs="Times New Roman"/>
          <w:sz w:val="20"/>
          <w:szCs w:val="20"/>
        </w:rPr>
        <w:t xml:space="preserve"> million, of which US$4</w:t>
      </w:r>
      <w:r w:rsidR="00842576" w:rsidRPr="00F7263B">
        <w:rPr>
          <w:rFonts w:cs="Times New Roman"/>
          <w:sz w:val="20"/>
          <w:szCs w:val="20"/>
        </w:rPr>
        <w:t>99.5</w:t>
      </w:r>
      <w:r w:rsidR="00B44D00" w:rsidRPr="00F7263B">
        <w:rPr>
          <w:rFonts w:cs="Times New Roman"/>
          <w:sz w:val="20"/>
          <w:szCs w:val="20"/>
        </w:rPr>
        <w:t>3</w:t>
      </w:r>
      <w:r w:rsidR="00DA5FCC" w:rsidRPr="00F7263B">
        <w:rPr>
          <w:rFonts w:cs="Times New Roman"/>
          <w:sz w:val="20"/>
          <w:szCs w:val="20"/>
        </w:rPr>
        <w:t xml:space="preserve"> million (of which US$1</w:t>
      </w:r>
      <w:r w:rsidR="00842576" w:rsidRPr="00F7263B">
        <w:rPr>
          <w:rFonts w:cs="Times New Roman"/>
          <w:sz w:val="20"/>
          <w:szCs w:val="20"/>
        </w:rPr>
        <w:t>76.5</w:t>
      </w:r>
      <w:r w:rsidR="00B44D00" w:rsidRPr="00F7263B">
        <w:rPr>
          <w:rFonts w:cs="Times New Roman"/>
          <w:sz w:val="20"/>
          <w:szCs w:val="20"/>
        </w:rPr>
        <w:t>3</w:t>
      </w:r>
      <w:r w:rsidR="00DA5FCC" w:rsidRPr="00F7263B">
        <w:rPr>
          <w:rFonts w:cs="Times New Roman"/>
          <w:sz w:val="20"/>
          <w:szCs w:val="20"/>
        </w:rPr>
        <w:t xml:space="preserve"> is from </w:t>
      </w:r>
      <w:r w:rsidRPr="00F7263B">
        <w:rPr>
          <w:rFonts w:cs="Times New Roman"/>
          <w:sz w:val="20"/>
          <w:szCs w:val="20"/>
        </w:rPr>
        <w:t>the government</w:t>
      </w:r>
      <w:r w:rsidR="00DA5FCC" w:rsidRPr="00F7263B">
        <w:rPr>
          <w:rFonts w:cs="Times New Roman"/>
          <w:sz w:val="20"/>
          <w:szCs w:val="20"/>
        </w:rPr>
        <w:t xml:space="preserve"> and US$</w:t>
      </w:r>
      <w:r w:rsidRPr="00F7263B">
        <w:rPr>
          <w:rFonts w:cs="Times New Roman"/>
          <w:sz w:val="20"/>
          <w:szCs w:val="20"/>
        </w:rPr>
        <w:t>3</w:t>
      </w:r>
      <w:r w:rsidR="00842576" w:rsidRPr="00F7263B">
        <w:rPr>
          <w:rFonts w:cs="Times New Roman"/>
          <w:sz w:val="20"/>
          <w:szCs w:val="20"/>
        </w:rPr>
        <w:t>23</w:t>
      </w:r>
      <w:r w:rsidRPr="00F7263B">
        <w:rPr>
          <w:rFonts w:cs="Times New Roman"/>
          <w:sz w:val="20"/>
          <w:szCs w:val="20"/>
        </w:rPr>
        <w:t>.0</w:t>
      </w:r>
      <w:r w:rsidR="00B44D00" w:rsidRPr="00F7263B">
        <w:rPr>
          <w:rFonts w:cs="Times New Roman"/>
          <w:sz w:val="20"/>
          <w:szCs w:val="20"/>
        </w:rPr>
        <w:t>0</w:t>
      </w:r>
      <w:r w:rsidRPr="00F7263B">
        <w:rPr>
          <w:rFonts w:cs="Times New Roman"/>
          <w:sz w:val="20"/>
          <w:szCs w:val="20"/>
        </w:rPr>
        <w:t xml:space="preserve"> is from the IDA</w:t>
      </w:r>
      <w:r w:rsidR="00DA5FCC" w:rsidRPr="00F7263B">
        <w:rPr>
          <w:rFonts w:cs="Times New Roman"/>
          <w:sz w:val="20"/>
          <w:szCs w:val="20"/>
        </w:rPr>
        <w:t xml:space="preserve">) will constitute the </w:t>
      </w:r>
      <w:r w:rsidR="00D0377C" w:rsidRPr="00F7263B">
        <w:rPr>
          <w:rFonts w:cs="Times New Roman"/>
          <w:sz w:val="20"/>
          <w:szCs w:val="20"/>
        </w:rPr>
        <w:t>performance-based</w:t>
      </w:r>
      <w:r w:rsidR="00DA5FCC" w:rsidRPr="00F7263B">
        <w:rPr>
          <w:rFonts w:cs="Times New Roman"/>
          <w:sz w:val="20"/>
          <w:szCs w:val="20"/>
        </w:rPr>
        <w:t xml:space="preserve"> grants and go directly to Program ULGs for investments specif</w:t>
      </w:r>
      <w:r w:rsidRPr="00F7263B">
        <w:rPr>
          <w:rFonts w:cs="Times New Roman"/>
          <w:sz w:val="20"/>
          <w:szCs w:val="20"/>
        </w:rPr>
        <w:t>ied under the investment menu (a</w:t>
      </w:r>
      <w:r w:rsidR="00DA5FCC" w:rsidRPr="00F7263B">
        <w:rPr>
          <w:rFonts w:cs="Times New Roman"/>
          <w:sz w:val="20"/>
          <w:szCs w:val="20"/>
        </w:rPr>
        <w:t>nnex 1)</w:t>
      </w:r>
      <w:r w:rsidRPr="00F7263B">
        <w:rPr>
          <w:rFonts w:cs="Times New Roman"/>
          <w:sz w:val="20"/>
          <w:szCs w:val="20"/>
        </w:rPr>
        <w:t>.  US$</w:t>
      </w:r>
      <w:r w:rsidR="00842576" w:rsidRPr="00F7263B">
        <w:rPr>
          <w:rFonts w:cs="Times New Roman"/>
          <w:sz w:val="20"/>
          <w:szCs w:val="20"/>
        </w:rPr>
        <w:t>52.0</w:t>
      </w:r>
      <w:r w:rsidR="00B44D00" w:rsidRPr="00F7263B">
        <w:rPr>
          <w:rFonts w:cs="Times New Roman"/>
          <w:sz w:val="20"/>
          <w:szCs w:val="20"/>
        </w:rPr>
        <w:t>0</w:t>
      </w:r>
      <w:r w:rsidR="00DA5FCC" w:rsidRPr="00F7263B">
        <w:rPr>
          <w:rFonts w:cs="Times New Roman"/>
          <w:sz w:val="20"/>
          <w:szCs w:val="20"/>
        </w:rPr>
        <w:t xml:space="preserve"> million will support capacity building efforts by and for the regional and federal government level activities and results directly linked to the execution of the </w:t>
      </w:r>
      <w:r w:rsidR="00D0377C" w:rsidRPr="00F7263B">
        <w:rPr>
          <w:rFonts w:cs="Times New Roman"/>
          <w:sz w:val="20"/>
          <w:szCs w:val="20"/>
        </w:rPr>
        <w:t>performance-based</w:t>
      </w:r>
      <w:r w:rsidR="00DA5FCC" w:rsidRPr="00F7263B">
        <w:rPr>
          <w:rFonts w:cs="Times New Roman"/>
          <w:sz w:val="20"/>
          <w:szCs w:val="20"/>
        </w:rPr>
        <w:t xml:space="preserve"> grant system</w:t>
      </w:r>
      <w:r w:rsidRPr="00F7263B">
        <w:rPr>
          <w:rFonts w:cs="Times New Roman"/>
          <w:sz w:val="20"/>
          <w:szCs w:val="20"/>
        </w:rPr>
        <w:t>,</w:t>
      </w:r>
      <w:r w:rsidR="00DA5FCC" w:rsidRPr="00F7263B">
        <w:rPr>
          <w:rFonts w:cs="Times New Roman"/>
          <w:sz w:val="20"/>
          <w:szCs w:val="20"/>
        </w:rPr>
        <w:t xml:space="preserve"> and US$5</w:t>
      </w:r>
      <w:r w:rsidR="00B44D00" w:rsidRPr="00F7263B">
        <w:rPr>
          <w:rFonts w:cs="Times New Roman"/>
          <w:sz w:val="20"/>
          <w:szCs w:val="20"/>
        </w:rPr>
        <w:t>.00</w:t>
      </w:r>
      <w:r w:rsidR="00DA5FCC" w:rsidRPr="00F7263B">
        <w:rPr>
          <w:rFonts w:cs="Times New Roman"/>
          <w:sz w:val="20"/>
          <w:szCs w:val="20"/>
        </w:rPr>
        <w:t xml:space="preserve"> million will support the federal government’s efforts to administer the Program</w:t>
      </w:r>
      <w:r w:rsidR="00B56D25" w:rsidRPr="00F7263B">
        <w:rPr>
          <w:rFonts w:cs="Times New Roman"/>
          <w:sz w:val="20"/>
          <w:szCs w:val="20"/>
        </w:rPr>
        <w:t xml:space="preserve"> (focusing on APAs and </w:t>
      </w:r>
      <w:r w:rsidR="00373BD4" w:rsidRPr="00F7263B">
        <w:rPr>
          <w:rFonts w:cs="Times New Roman"/>
          <w:sz w:val="20"/>
          <w:szCs w:val="20"/>
        </w:rPr>
        <w:t>value for money</w:t>
      </w:r>
      <w:r w:rsidR="00B56D25" w:rsidRPr="00F7263B">
        <w:rPr>
          <w:rFonts w:cs="Times New Roman"/>
          <w:sz w:val="20"/>
          <w:szCs w:val="20"/>
        </w:rPr>
        <w:t xml:space="preserve"> audits)</w:t>
      </w:r>
      <w:r w:rsidRPr="00F7263B">
        <w:rPr>
          <w:rFonts w:cs="Times New Roman"/>
          <w:sz w:val="20"/>
          <w:szCs w:val="20"/>
        </w:rPr>
        <w:t xml:space="preserve">.  </w:t>
      </w:r>
      <w:r w:rsidR="00DA5FCC" w:rsidRPr="00F7263B">
        <w:rPr>
          <w:rFonts w:cs="Times New Roman"/>
          <w:sz w:val="20"/>
          <w:szCs w:val="20"/>
        </w:rPr>
        <w:t>Program funds at the ULG level will finance goods, services and training</w:t>
      </w:r>
      <w:r w:rsidRPr="00F7263B">
        <w:rPr>
          <w:rFonts w:cs="Times New Roman"/>
          <w:sz w:val="20"/>
          <w:szCs w:val="20"/>
        </w:rPr>
        <w:t xml:space="preserve">.  </w:t>
      </w:r>
      <w:r w:rsidR="00DA5FCC" w:rsidRPr="00F7263B">
        <w:rPr>
          <w:rFonts w:cs="Times New Roman"/>
          <w:sz w:val="20"/>
          <w:szCs w:val="20"/>
        </w:rPr>
        <w:t xml:space="preserve">These funds will flow from the federal government to </w:t>
      </w:r>
      <w:r w:rsidR="007C4DB2" w:rsidRPr="00F7263B">
        <w:rPr>
          <w:rFonts w:cs="Times New Roman"/>
          <w:sz w:val="20"/>
          <w:szCs w:val="20"/>
        </w:rPr>
        <w:t xml:space="preserve">the urban </w:t>
      </w:r>
      <w:r w:rsidR="00DA5FCC" w:rsidRPr="00F7263B">
        <w:rPr>
          <w:rFonts w:cs="Times New Roman"/>
          <w:sz w:val="20"/>
          <w:szCs w:val="20"/>
        </w:rPr>
        <w:t>local governments, through regional governments, and will be disbursed on a bi-annual basis</w:t>
      </w:r>
      <w:r w:rsidRPr="00F7263B">
        <w:rPr>
          <w:rFonts w:cs="Times New Roman"/>
          <w:sz w:val="20"/>
          <w:szCs w:val="20"/>
        </w:rPr>
        <w:t xml:space="preserve">.  </w:t>
      </w:r>
      <w:r w:rsidR="00DA5FCC" w:rsidRPr="00F7263B">
        <w:rPr>
          <w:rFonts w:cs="Times New Roman"/>
          <w:sz w:val="20"/>
          <w:szCs w:val="20"/>
        </w:rPr>
        <w:t>The</w:t>
      </w:r>
      <w:r w:rsidR="007C4DB2" w:rsidRPr="00F7263B">
        <w:rPr>
          <w:rFonts w:cs="Times New Roman"/>
          <w:sz w:val="20"/>
          <w:szCs w:val="20"/>
        </w:rPr>
        <w:t xml:space="preserve"> current</w:t>
      </w:r>
      <w:r w:rsidR="00DA5FCC" w:rsidRPr="00F7263B">
        <w:rPr>
          <w:rFonts w:cs="Times New Roman"/>
          <w:sz w:val="20"/>
          <w:szCs w:val="20"/>
        </w:rPr>
        <w:t xml:space="preserve"> ULGDP</w:t>
      </w:r>
      <w:r w:rsidR="007C4DB2" w:rsidRPr="00F7263B">
        <w:rPr>
          <w:rFonts w:cs="Times New Roman"/>
          <w:sz w:val="20"/>
          <w:szCs w:val="20"/>
        </w:rPr>
        <w:t xml:space="preserve"> funding flow system will be </w:t>
      </w:r>
      <w:r w:rsidR="007C4DB2" w:rsidRPr="00F7263B">
        <w:rPr>
          <w:rFonts w:cs="Times New Roman"/>
          <w:sz w:val="20"/>
          <w:szCs w:val="20"/>
        </w:rPr>
        <w:lastRenderedPageBreak/>
        <w:t>maintained with a few improvement</w:t>
      </w:r>
      <w:r w:rsidR="006C5EC3" w:rsidRPr="00F7263B">
        <w:rPr>
          <w:rFonts w:cs="Times New Roman"/>
          <w:sz w:val="20"/>
          <w:szCs w:val="20"/>
        </w:rPr>
        <w:t>s</w:t>
      </w:r>
      <w:r w:rsidR="007C4DB2" w:rsidRPr="00F7263B">
        <w:rPr>
          <w:rFonts w:cs="Times New Roman"/>
          <w:sz w:val="20"/>
          <w:szCs w:val="20"/>
        </w:rPr>
        <w:t xml:space="preserve"> such as bi-annual, timely and predictable disbursements</w:t>
      </w:r>
      <w:r w:rsidRPr="00F7263B">
        <w:rPr>
          <w:rFonts w:cs="Times New Roman"/>
          <w:sz w:val="20"/>
          <w:szCs w:val="20"/>
        </w:rPr>
        <w:t xml:space="preserve">.  </w:t>
      </w:r>
      <w:r w:rsidR="00DA5FCC" w:rsidRPr="00F7263B">
        <w:rPr>
          <w:rFonts w:cs="Times New Roman"/>
          <w:sz w:val="20"/>
          <w:szCs w:val="20"/>
        </w:rPr>
        <w:t>The Program will use these well-established channels which form part of the current Ethiopian budget system</w:t>
      </w:r>
      <w:r w:rsidRPr="00F7263B">
        <w:rPr>
          <w:rFonts w:cs="Times New Roman"/>
          <w:sz w:val="20"/>
          <w:szCs w:val="20"/>
        </w:rPr>
        <w:t xml:space="preserve">.  </w:t>
      </w:r>
    </w:p>
    <w:p w:rsidR="00DA5FCC" w:rsidRPr="00F7263B" w:rsidRDefault="00DA5FCC" w:rsidP="00B74452">
      <w:pPr>
        <w:pStyle w:val="ListParagraph"/>
        <w:autoSpaceDE w:val="0"/>
        <w:autoSpaceDN w:val="0"/>
        <w:adjustRightInd w:val="0"/>
        <w:ind w:left="0"/>
        <w:jc w:val="both"/>
        <w:rPr>
          <w:rFonts w:cs="Times New Roman"/>
          <w:sz w:val="20"/>
          <w:szCs w:val="20"/>
        </w:rPr>
      </w:pPr>
    </w:p>
    <w:p w:rsidR="00DA5FCC" w:rsidRPr="00F7263B" w:rsidRDefault="001428ED" w:rsidP="001428ED">
      <w:pPr>
        <w:pStyle w:val="Caption"/>
        <w:spacing w:after="60"/>
      </w:pPr>
      <w:bookmarkStart w:id="26" w:name="_Toc380087107"/>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6</w:t>
      </w:r>
      <w:r w:rsidR="00B845BE" w:rsidRPr="00F7263B">
        <w:fldChar w:fldCharType="end"/>
      </w:r>
      <w:r w:rsidRPr="00F7263B">
        <w:t xml:space="preserve">: </w:t>
      </w:r>
      <w:r w:rsidR="00DA5FCC" w:rsidRPr="00F7263B">
        <w:t>Program expenditure framework (US$</w:t>
      </w:r>
      <w:r w:rsidRPr="00F7263B">
        <w:t>, m</w:t>
      </w:r>
      <w:r w:rsidR="00DA5FCC" w:rsidRPr="00F7263B">
        <w:t>illion)</w:t>
      </w:r>
      <w:bookmarkEnd w:id="26"/>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991"/>
        <w:gridCol w:w="990"/>
        <w:gridCol w:w="990"/>
        <w:gridCol w:w="990"/>
        <w:gridCol w:w="990"/>
        <w:gridCol w:w="988"/>
      </w:tblGrid>
      <w:tr w:rsidR="00251334" w:rsidRPr="00F7263B">
        <w:trPr>
          <w:trHeight w:val="300"/>
        </w:trPr>
        <w:tc>
          <w:tcPr>
            <w:tcW w:w="2085" w:type="pct"/>
            <w:shd w:val="clear" w:color="auto" w:fill="auto"/>
            <w:noWrap/>
          </w:tcPr>
          <w:p w:rsidR="004B2F1F" w:rsidRPr="00F7263B" w:rsidRDefault="004B2F1F" w:rsidP="004B2F1F">
            <w:pPr>
              <w:contextualSpacing/>
              <w:jc w:val="both"/>
              <w:rPr>
                <w:rFonts w:eastAsia="Times New Roman" w:cs="Times New Roman"/>
                <w:b/>
                <w:bCs/>
                <w:color w:val="000000"/>
                <w:sz w:val="20"/>
                <w:szCs w:val="20"/>
              </w:rPr>
            </w:pPr>
            <w:r w:rsidRPr="00F7263B">
              <w:rPr>
                <w:rFonts w:eastAsia="Times New Roman" w:cs="Times New Roman"/>
                <w:b/>
                <w:bCs/>
                <w:color w:val="000000"/>
                <w:sz w:val="20"/>
                <w:szCs w:val="20"/>
              </w:rPr>
              <w:t>Classification</w:t>
            </w:r>
          </w:p>
        </w:tc>
        <w:tc>
          <w:tcPr>
            <w:tcW w:w="486" w:type="pct"/>
            <w:shd w:val="clear" w:color="auto" w:fill="auto"/>
            <w:noWrap/>
          </w:tcPr>
          <w:p w:rsidR="004B2F1F" w:rsidRPr="00F7263B" w:rsidRDefault="00251334" w:rsidP="004B2F1F">
            <w:pPr>
              <w:contextualSpacing/>
              <w:rPr>
                <w:rFonts w:eastAsia="Times New Roman" w:cs="Times New Roman"/>
                <w:b/>
                <w:bCs/>
                <w:color w:val="000000"/>
                <w:sz w:val="20"/>
                <w:szCs w:val="20"/>
              </w:rPr>
            </w:pPr>
            <w:r w:rsidRPr="00F7263B">
              <w:rPr>
                <w:rFonts w:eastAsia="Times New Roman" w:cs="Times New Roman"/>
                <w:b/>
                <w:bCs/>
                <w:color w:val="000000"/>
                <w:sz w:val="20"/>
                <w:szCs w:val="20"/>
              </w:rPr>
              <w:t>FY20</w:t>
            </w:r>
            <w:r w:rsidR="004B2F1F" w:rsidRPr="00F7263B">
              <w:rPr>
                <w:rFonts w:eastAsia="Times New Roman" w:cs="Times New Roman"/>
                <w:b/>
                <w:bCs/>
                <w:color w:val="000000"/>
                <w:sz w:val="20"/>
                <w:szCs w:val="20"/>
              </w:rPr>
              <w:t>15</w:t>
            </w:r>
          </w:p>
        </w:tc>
        <w:tc>
          <w:tcPr>
            <w:tcW w:w="486" w:type="pct"/>
            <w:shd w:val="clear" w:color="auto" w:fill="auto"/>
            <w:noWrap/>
          </w:tcPr>
          <w:p w:rsidR="004B2F1F" w:rsidRPr="00F7263B" w:rsidRDefault="00251334" w:rsidP="00251334">
            <w:pPr>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w:t>
            </w:r>
            <w:r w:rsidR="004B2F1F" w:rsidRPr="00F7263B">
              <w:rPr>
                <w:rFonts w:eastAsia="Times New Roman" w:cs="Times New Roman"/>
                <w:b/>
                <w:bCs/>
                <w:color w:val="000000"/>
                <w:sz w:val="20"/>
                <w:szCs w:val="20"/>
              </w:rPr>
              <w:t>16</w:t>
            </w:r>
          </w:p>
        </w:tc>
        <w:tc>
          <w:tcPr>
            <w:tcW w:w="486" w:type="pct"/>
            <w:shd w:val="clear" w:color="auto" w:fill="auto"/>
            <w:noWrap/>
          </w:tcPr>
          <w:p w:rsidR="004B2F1F" w:rsidRPr="00F7263B" w:rsidRDefault="004B2F1F" w:rsidP="00251334">
            <w:pPr>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FY201</w:t>
            </w:r>
            <w:r w:rsidR="00251334" w:rsidRPr="00F7263B">
              <w:rPr>
                <w:rFonts w:eastAsia="Times New Roman" w:cs="Times New Roman"/>
                <w:b/>
                <w:bCs/>
                <w:color w:val="000000"/>
                <w:sz w:val="20"/>
                <w:szCs w:val="20"/>
              </w:rPr>
              <w:t>7</w:t>
            </w:r>
          </w:p>
        </w:tc>
        <w:tc>
          <w:tcPr>
            <w:tcW w:w="486" w:type="pct"/>
            <w:shd w:val="clear" w:color="auto" w:fill="auto"/>
            <w:noWrap/>
          </w:tcPr>
          <w:p w:rsidR="004B2F1F" w:rsidRPr="00F7263B" w:rsidRDefault="004B2F1F" w:rsidP="00251334">
            <w:pPr>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FY2018</w:t>
            </w:r>
          </w:p>
        </w:tc>
        <w:tc>
          <w:tcPr>
            <w:tcW w:w="486" w:type="pct"/>
            <w:shd w:val="clear" w:color="auto" w:fill="auto"/>
            <w:noWrap/>
          </w:tcPr>
          <w:p w:rsidR="004B2F1F" w:rsidRPr="00F7263B" w:rsidRDefault="004B2F1F" w:rsidP="00251334">
            <w:pPr>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FY2019</w:t>
            </w:r>
          </w:p>
        </w:tc>
        <w:tc>
          <w:tcPr>
            <w:tcW w:w="486" w:type="pct"/>
            <w:shd w:val="clear" w:color="auto" w:fill="auto"/>
            <w:noWrap/>
          </w:tcPr>
          <w:p w:rsidR="004B2F1F" w:rsidRPr="00F7263B" w:rsidRDefault="004B2F1F" w:rsidP="004B2F1F">
            <w:pPr>
              <w:contextualSpacing/>
              <w:jc w:val="center"/>
              <w:rPr>
                <w:rFonts w:eastAsia="Times New Roman" w:cs="Times New Roman"/>
                <w:b/>
                <w:bCs/>
                <w:color w:val="000000"/>
                <w:sz w:val="20"/>
                <w:szCs w:val="20"/>
              </w:rPr>
            </w:pPr>
            <w:r w:rsidRPr="00F7263B">
              <w:rPr>
                <w:rFonts w:eastAsia="Times New Roman" w:cs="Times New Roman"/>
                <w:b/>
                <w:bCs/>
                <w:color w:val="000000"/>
                <w:sz w:val="20"/>
                <w:szCs w:val="20"/>
              </w:rPr>
              <w:t xml:space="preserve">Total </w:t>
            </w:r>
          </w:p>
        </w:tc>
      </w:tr>
      <w:tr w:rsidR="00251334" w:rsidRPr="00F7263B">
        <w:trPr>
          <w:trHeight w:val="144"/>
        </w:trPr>
        <w:tc>
          <w:tcPr>
            <w:tcW w:w="2085" w:type="pct"/>
            <w:shd w:val="clear" w:color="auto" w:fill="auto"/>
            <w:noWrap/>
            <w:vAlign w:val="bottom"/>
          </w:tcPr>
          <w:p w:rsidR="004B2F1F" w:rsidRPr="00F7263B" w:rsidRDefault="004B2F1F" w:rsidP="004B2F1F">
            <w:pPr>
              <w:contextualSpacing/>
              <w:rPr>
                <w:rFonts w:eastAsia="Times New Roman" w:cs="Times New Roman"/>
                <w:color w:val="000000"/>
                <w:sz w:val="20"/>
                <w:szCs w:val="20"/>
              </w:rPr>
            </w:pPr>
            <w:r w:rsidRPr="00F7263B">
              <w:rPr>
                <w:rFonts w:eastAsia="Times New Roman" w:cs="Times New Roman"/>
                <w:color w:val="000000"/>
                <w:sz w:val="20"/>
                <w:szCs w:val="20"/>
              </w:rPr>
              <w:t>Performance based  fiscal transfers to 44 ULGs (DLIs 1, 2 and 3 which measure Program minimum conditions and performance measures)</w:t>
            </w:r>
          </w:p>
          <w:p w:rsidR="004B2F1F" w:rsidRPr="00F7263B" w:rsidRDefault="004B2F1F" w:rsidP="004B2F1F">
            <w:pPr>
              <w:contextualSpacing/>
              <w:rPr>
                <w:rFonts w:eastAsia="Times New Roman" w:cs="Times New Roman"/>
                <w:i/>
                <w:color w:val="000000"/>
                <w:sz w:val="20"/>
                <w:szCs w:val="20"/>
              </w:rPr>
            </w:pPr>
            <w:r w:rsidRPr="00F7263B">
              <w:rPr>
                <w:rFonts w:eastAsia="Times New Roman" w:cs="Times New Roman"/>
                <w:i/>
                <w:color w:val="000000"/>
                <w:sz w:val="20"/>
                <w:szCs w:val="20"/>
              </w:rPr>
              <w:t xml:space="preserve">      Of which from regions and cities*</w:t>
            </w:r>
          </w:p>
          <w:p w:rsidR="004B2F1F" w:rsidRPr="00F7263B" w:rsidRDefault="004B2F1F" w:rsidP="004B2F1F">
            <w:pPr>
              <w:contextualSpacing/>
              <w:rPr>
                <w:rFonts w:eastAsia="Times New Roman" w:cs="Times New Roman"/>
                <w:i/>
                <w:color w:val="000000"/>
                <w:sz w:val="20"/>
                <w:szCs w:val="20"/>
              </w:rPr>
            </w:pPr>
            <w:r w:rsidRPr="00F7263B">
              <w:rPr>
                <w:rFonts w:eastAsia="Times New Roman" w:cs="Times New Roman"/>
                <w:i/>
                <w:color w:val="000000"/>
                <w:sz w:val="20"/>
                <w:szCs w:val="20"/>
              </w:rPr>
              <w:t xml:space="preserve">               Of which from regions only </w:t>
            </w:r>
          </w:p>
          <w:p w:rsidR="004B2F1F" w:rsidRPr="00F7263B" w:rsidRDefault="004B2F1F" w:rsidP="004B2F1F">
            <w:pPr>
              <w:contextualSpacing/>
              <w:rPr>
                <w:rFonts w:eastAsia="Times New Roman" w:cs="Times New Roman"/>
                <w:color w:val="000000"/>
                <w:sz w:val="20"/>
                <w:szCs w:val="20"/>
              </w:rPr>
            </w:pPr>
            <w:r w:rsidRPr="00F7263B">
              <w:rPr>
                <w:rFonts w:eastAsia="Times New Roman" w:cs="Times New Roman"/>
                <w:i/>
                <w:color w:val="000000"/>
                <w:sz w:val="20"/>
                <w:szCs w:val="20"/>
              </w:rPr>
              <w:t xml:space="preserve">               Of which from cities only </w:t>
            </w:r>
          </w:p>
        </w:tc>
        <w:tc>
          <w:tcPr>
            <w:tcW w:w="486" w:type="pct"/>
            <w:shd w:val="clear" w:color="auto" w:fill="auto"/>
            <w:noWrap/>
          </w:tcPr>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7</w:t>
            </w:r>
            <w:r w:rsidR="006900DF" w:rsidRPr="00F7263B">
              <w:rPr>
                <w:rFonts w:eastAsia="Times New Roman" w:cs="Times New Roman"/>
                <w:color w:val="000000"/>
                <w:sz w:val="20"/>
                <w:szCs w:val="20"/>
              </w:rPr>
              <w:t>8</w:t>
            </w:r>
            <w:r w:rsidRPr="00F7263B">
              <w:rPr>
                <w:rFonts w:eastAsia="Times New Roman" w:cs="Times New Roman"/>
                <w:color w:val="000000"/>
                <w:sz w:val="20"/>
                <w:szCs w:val="20"/>
              </w:rPr>
              <w:t>.</w:t>
            </w:r>
            <w:r w:rsidR="006900DF" w:rsidRPr="00F7263B">
              <w:rPr>
                <w:rFonts w:eastAsia="Times New Roman" w:cs="Times New Roman"/>
                <w:color w:val="000000"/>
                <w:sz w:val="20"/>
                <w:szCs w:val="20"/>
              </w:rPr>
              <w:t>7</w:t>
            </w:r>
            <w:r w:rsidR="005A6A33" w:rsidRPr="00F7263B">
              <w:rPr>
                <w:rFonts w:eastAsia="Times New Roman" w:cs="Times New Roman"/>
                <w:color w:val="000000"/>
                <w:sz w:val="20"/>
                <w:szCs w:val="20"/>
              </w:rPr>
              <w:t>3</w:t>
            </w:r>
            <w:r w:rsidRPr="00F7263B">
              <w:rPr>
                <w:rFonts w:eastAsia="Times New Roman" w:cs="Times New Roman"/>
                <w:color w:val="000000"/>
                <w:sz w:val="20"/>
                <w:szCs w:val="20"/>
                <w:vertAlign w:val="superscript"/>
              </w:rPr>
              <w:footnoteReference w:id="17"/>
            </w: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2</w:t>
            </w:r>
            <w:r w:rsidR="00AD26DA" w:rsidRPr="00F7263B">
              <w:rPr>
                <w:rFonts w:eastAsia="Times New Roman" w:cs="Times New Roman"/>
                <w:i/>
                <w:color w:val="000000"/>
                <w:sz w:val="20"/>
                <w:szCs w:val="20"/>
              </w:rPr>
              <w:t>8.60</w:t>
            </w:r>
          </w:p>
          <w:p w:rsidR="004B2F1F" w:rsidRPr="00F7263B" w:rsidRDefault="002810F2"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13.13</w:t>
            </w:r>
          </w:p>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5.47</w:t>
            </w:r>
          </w:p>
        </w:tc>
        <w:tc>
          <w:tcPr>
            <w:tcW w:w="486" w:type="pct"/>
            <w:shd w:val="clear" w:color="auto" w:fill="auto"/>
            <w:noWrap/>
          </w:tcPr>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10</w:t>
            </w:r>
            <w:r w:rsidR="006900DF" w:rsidRPr="00F7263B">
              <w:rPr>
                <w:rFonts w:eastAsia="Times New Roman" w:cs="Times New Roman"/>
                <w:color w:val="000000"/>
                <w:sz w:val="20"/>
                <w:szCs w:val="20"/>
              </w:rPr>
              <w:t>5</w:t>
            </w:r>
            <w:r w:rsidRPr="00F7263B">
              <w:rPr>
                <w:rFonts w:eastAsia="Times New Roman" w:cs="Times New Roman"/>
                <w:color w:val="000000"/>
                <w:sz w:val="20"/>
                <w:szCs w:val="20"/>
              </w:rPr>
              <w:t>.2</w:t>
            </w:r>
            <w:r w:rsidR="005A6A33" w:rsidRPr="00F7263B">
              <w:rPr>
                <w:rFonts w:eastAsia="Times New Roman" w:cs="Times New Roman"/>
                <w:color w:val="000000"/>
                <w:sz w:val="20"/>
                <w:szCs w:val="20"/>
              </w:rPr>
              <w:t>0</w:t>
            </w:r>
            <w:r w:rsidRPr="00F7263B">
              <w:rPr>
                <w:rFonts w:eastAsia="Times New Roman" w:cs="Times New Roman"/>
                <w:color w:val="000000"/>
                <w:sz w:val="20"/>
                <w:szCs w:val="20"/>
                <w:vertAlign w:val="superscript"/>
              </w:rPr>
              <w:footnoteReference w:id="18"/>
            </w:r>
          </w:p>
          <w:p w:rsidR="004B2F1F" w:rsidRPr="00F7263B" w:rsidRDefault="004B2F1F" w:rsidP="004B2F1F">
            <w:pPr>
              <w:contextualSpacing/>
              <w:jc w:val="center"/>
              <w:rPr>
                <w:rFonts w:eastAsia="Times New Roman" w:cs="Times New Roman"/>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3</w:t>
            </w:r>
            <w:r w:rsidR="008A66A6" w:rsidRPr="00F7263B">
              <w:rPr>
                <w:rFonts w:eastAsia="Times New Roman" w:cs="Times New Roman"/>
                <w:i/>
                <w:color w:val="000000"/>
                <w:sz w:val="20"/>
                <w:szCs w:val="20"/>
              </w:rPr>
              <w:t>6.98</w:t>
            </w: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8.22</w:t>
            </w:r>
          </w:p>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8.76</w:t>
            </w:r>
          </w:p>
        </w:tc>
        <w:tc>
          <w:tcPr>
            <w:tcW w:w="486" w:type="pct"/>
            <w:shd w:val="clear" w:color="auto" w:fill="auto"/>
            <w:noWrap/>
          </w:tcPr>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10</w:t>
            </w:r>
            <w:r w:rsidR="006900DF" w:rsidRPr="00F7263B">
              <w:rPr>
                <w:rFonts w:eastAsia="Times New Roman" w:cs="Times New Roman"/>
                <w:color w:val="000000"/>
                <w:sz w:val="20"/>
                <w:szCs w:val="20"/>
              </w:rPr>
              <w:t>5</w:t>
            </w:r>
            <w:r w:rsidRPr="00F7263B">
              <w:rPr>
                <w:rFonts w:eastAsia="Times New Roman" w:cs="Times New Roman"/>
                <w:color w:val="000000"/>
                <w:sz w:val="20"/>
                <w:szCs w:val="20"/>
              </w:rPr>
              <w:t>.2</w:t>
            </w:r>
            <w:r w:rsidR="005A6A33" w:rsidRPr="00F7263B">
              <w:rPr>
                <w:rFonts w:eastAsia="Times New Roman" w:cs="Times New Roman"/>
                <w:color w:val="000000"/>
                <w:sz w:val="20"/>
                <w:szCs w:val="20"/>
              </w:rPr>
              <w:t>0</w:t>
            </w: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3</w:t>
            </w:r>
            <w:r w:rsidR="008A66A6" w:rsidRPr="00F7263B">
              <w:rPr>
                <w:rFonts w:eastAsia="Times New Roman" w:cs="Times New Roman"/>
                <w:i/>
                <w:color w:val="000000"/>
                <w:sz w:val="20"/>
                <w:szCs w:val="20"/>
              </w:rPr>
              <w:t>6.98</w:t>
            </w: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8.22</w:t>
            </w:r>
          </w:p>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8.76</w:t>
            </w:r>
          </w:p>
        </w:tc>
        <w:tc>
          <w:tcPr>
            <w:tcW w:w="486" w:type="pct"/>
            <w:shd w:val="clear" w:color="auto" w:fill="auto"/>
            <w:noWrap/>
          </w:tcPr>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10</w:t>
            </w:r>
            <w:r w:rsidR="006900DF" w:rsidRPr="00F7263B">
              <w:rPr>
                <w:rFonts w:eastAsia="Times New Roman" w:cs="Times New Roman"/>
                <w:color w:val="000000"/>
                <w:sz w:val="20"/>
                <w:szCs w:val="20"/>
              </w:rPr>
              <w:t>5</w:t>
            </w:r>
            <w:r w:rsidRPr="00F7263B">
              <w:rPr>
                <w:rFonts w:eastAsia="Times New Roman" w:cs="Times New Roman"/>
                <w:color w:val="000000"/>
                <w:sz w:val="20"/>
                <w:szCs w:val="20"/>
              </w:rPr>
              <w:t>.2</w:t>
            </w:r>
            <w:r w:rsidR="005A6A33" w:rsidRPr="00F7263B">
              <w:rPr>
                <w:rFonts w:eastAsia="Times New Roman" w:cs="Times New Roman"/>
                <w:color w:val="000000"/>
                <w:sz w:val="20"/>
                <w:szCs w:val="20"/>
              </w:rPr>
              <w:t>0</w:t>
            </w:r>
          </w:p>
          <w:p w:rsidR="004B2F1F" w:rsidRPr="00F7263B" w:rsidRDefault="004B2F1F" w:rsidP="004B2F1F">
            <w:pPr>
              <w:contextualSpacing/>
              <w:jc w:val="center"/>
              <w:rPr>
                <w:rFonts w:eastAsia="Times New Roman" w:cs="Times New Roman"/>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3</w:t>
            </w:r>
            <w:r w:rsidR="008A66A6" w:rsidRPr="00F7263B">
              <w:rPr>
                <w:rFonts w:eastAsia="Times New Roman" w:cs="Times New Roman"/>
                <w:i/>
                <w:color w:val="000000"/>
                <w:sz w:val="20"/>
                <w:szCs w:val="20"/>
              </w:rPr>
              <w:t>6.98</w:t>
            </w: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8.22</w:t>
            </w:r>
          </w:p>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8.76</w:t>
            </w:r>
          </w:p>
        </w:tc>
        <w:tc>
          <w:tcPr>
            <w:tcW w:w="486" w:type="pct"/>
            <w:shd w:val="clear" w:color="auto" w:fill="auto"/>
            <w:noWrap/>
          </w:tcPr>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10</w:t>
            </w:r>
            <w:r w:rsidR="006900DF" w:rsidRPr="00F7263B">
              <w:rPr>
                <w:rFonts w:eastAsia="Times New Roman" w:cs="Times New Roman"/>
                <w:color w:val="000000"/>
                <w:sz w:val="20"/>
                <w:szCs w:val="20"/>
              </w:rPr>
              <w:t>5</w:t>
            </w:r>
            <w:r w:rsidRPr="00F7263B">
              <w:rPr>
                <w:rFonts w:eastAsia="Times New Roman" w:cs="Times New Roman"/>
                <w:color w:val="000000"/>
                <w:sz w:val="20"/>
                <w:szCs w:val="20"/>
              </w:rPr>
              <w:t>.2</w:t>
            </w:r>
            <w:r w:rsidR="005A6A33" w:rsidRPr="00F7263B">
              <w:rPr>
                <w:rFonts w:eastAsia="Times New Roman" w:cs="Times New Roman"/>
                <w:color w:val="000000"/>
                <w:sz w:val="20"/>
                <w:szCs w:val="20"/>
              </w:rPr>
              <w:t>0</w:t>
            </w: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3</w:t>
            </w:r>
            <w:r w:rsidR="008A66A6" w:rsidRPr="00F7263B">
              <w:rPr>
                <w:rFonts w:eastAsia="Times New Roman" w:cs="Times New Roman"/>
                <w:i/>
                <w:color w:val="000000"/>
                <w:sz w:val="20"/>
                <w:szCs w:val="20"/>
              </w:rPr>
              <w:t>6.98</w:t>
            </w: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8.22</w:t>
            </w:r>
          </w:p>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i/>
                <w:color w:val="000000"/>
                <w:sz w:val="20"/>
                <w:szCs w:val="20"/>
              </w:rPr>
              <w:t>1</w:t>
            </w:r>
            <w:r w:rsidR="002810F2" w:rsidRPr="00F7263B">
              <w:rPr>
                <w:rFonts w:eastAsia="Times New Roman" w:cs="Times New Roman"/>
                <w:i/>
                <w:color w:val="000000"/>
                <w:sz w:val="20"/>
                <w:szCs w:val="20"/>
              </w:rPr>
              <w:t>8.76</w:t>
            </w:r>
          </w:p>
        </w:tc>
        <w:tc>
          <w:tcPr>
            <w:tcW w:w="486" w:type="pct"/>
            <w:shd w:val="clear" w:color="auto" w:fill="auto"/>
            <w:noWrap/>
          </w:tcPr>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4</w:t>
            </w:r>
            <w:r w:rsidR="006900DF" w:rsidRPr="00F7263B">
              <w:rPr>
                <w:rFonts w:eastAsia="Times New Roman" w:cs="Times New Roman"/>
                <w:color w:val="000000"/>
                <w:sz w:val="20"/>
                <w:szCs w:val="20"/>
              </w:rPr>
              <w:t>99.5</w:t>
            </w:r>
            <w:r w:rsidR="005A6A33" w:rsidRPr="00F7263B">
              <w:rPr>
                <w:rFonts w:eastAsia="Times New Roman" w:cs="Times New Roman"/>
                <w:color w:val="000000"/>
                <w:sz w:val="20"/>
                <w:szCs w:val="20"/>
              </w:rPr>
              <w:t>3</w:t>
            </w:r>
          </w:p>
          <w:p w:rsidR="004B2F1F" w:rsidRPr="00F7263B" w:rsidRDefault="004B2F1F" w:rsidP="004B2F1F">
            <w:pPr>
              <w:contextualSpacing/>
              <w:jc w:val="center"/>
              <w:rPr>
                <w:rFonts w:eastAsia="Times New Roman" w:cs="Times New Roman"/>
                <w:color w:val="000000"/>
                <w:sz w:val="20"/>
                <w:szCs w:val="20"/>
              </w:rPr>
            </w:pPr>
          </w:p>
          <w:p w:rsidR="004B2F1F" w:rsidRPr="00F7263B" w:rsidRDefault="004B2F1F" w:rsidP="004B2F1F">
            <w:pPr>
              <w:contextualSpacing/>
              <w:jc w:val="center"/>
              <w:rPr>
                <w:rFonts w:eastAsia="Times New Roman" w:cs="Times New Roman"/>
                <w:color w:val="000000"/>
                <w:sz w:val="20"/>
                <w:szCs w:val="20"/>
              </w:rPr>
            </w:pPr>
          </w:p>
          <w:p w:rsidR="004B2F1F" w:rsidRPr="00F7263B" w:rsidRDefault="004B2F1F"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1</w:t>
            </w:r>
            <w:r w:rsidR="005A6A33" w:rsidRPr="00F7263B">
              <w:rPr>
                <w:rFonts w:eastAsia="Times New Roman" w:cs="Times New Roman"/>
                <w:i/>
                <w:color w:val="000000"/>
                <w:sz w:val="20"/>
                <w:szCs w:val="20"/>
              </w:rPr>
              <w:t>76.53</w:t>
            </w:r>
          </w:p>
          <w:p w:rsidR="004B2F1F" w:rsidRPr="00F7263B" w:rsidRDefault="002810F2" w:rsidP="004B2F1F">
            <w:pPr>
              <w:contextualSpacing/>
              <w:jc w:val="center"/>
              <w:rPr>
                <w:rFonts w:eastAsia="Times New Roman" w:cs="Times New Roman"/>
                <w:i/>
                <w:color w:val="000000"/>
                <w:sz w:val="20"/>
                <w:szCs w:val="20"/>
              </w:rPr>
            </w:pPr>
            <w:r w:rsidRPr="00F7263B">
              <w:rPr>
                <w:rFonts w:eastAsia="Times New Roman" w:cs="Times New Roman"/>
                <w:i/>
                <w:color w:val="000000"/>
                <w:sz w:val="20"/>
                <w:szCs w:val="20"/>
              </w:rPr>
              <w:t>86.01</w:t>
            </w:r>
          </w:p>
          <w:p w:rsidR="004B2F1F" w:rsidRPr="00F7263B" w:rsidRDefault="00A73514" w:rsidP="004B2F1F">
            <w:pPr>
              <w:contextualSpacing/>
              <w:jc w:val="center"/>
              <w:rPr>
                <w:rFonts w:eastAsia="Times New Roman" w:cs="Times New Roman"/>
                <w:color w:val="000000"/>
                <w:sz w:val="20"/>
                <w:szCs w:val="20"/>
              </w:rPr>
            </w:pPr>
            <w:r w:rsidRPr="00F7263B">
              <w:rPr>
                <w:rFonts w:eastAsia="Times New Roman" w:cs="Times New Roman"/>
                <w:i/>
                <w:color w:val="000000"/>
                <w:sz w:val="20"/>
                <w:szCs w:val="20"/>
              </w:rPr>
              <w:t>90.</w:t>
            </w:r>
            <w:r w:rsidR="002810F2" w:rsidRPr="00F7263B">
              <w:rPr>
                <w:rFonts w:eastAsia="Times New Roman" w:cs="Times New Roman"/>
                <w:i/>
                <w:color w:val="000000"/>
                <w:sz w:val="20"/>
                <w:szCs w:val="20"/>
              </w:rPr>
              <w:t>52</w:t>
            </w:r>
          </w:p>
        </w:tc>
      </w:tr>
      <w:tr w:rsidR="00251334" w:rsidRPr="00F7263B">
        <w:trPr>
          <w:trHeight w:val="144"/>
        </w:trPr>
        <w:tc>
          <w:tcPr>
            <w:tcW w:w="2085" w:type="pct"/>
            <w:shd w:val="clear" w:color="auto" w:fill="auto"/>
            <w:noWrap/>
            <w:vAlign w:val="bottom"/>
          </w:tcPr>
          <w:p w:rsidR="004B2F1F" w:rsidRPr="00F7263B" w:rsidRDefault="004B2F1F" w:rsidP="004B2F1F">
            <w:pPr>
              <w:contextualSpacing/>
              <w:rPr>
                <w:rFonts w:eastAsia="Times New Roman" w:cs="Times New Roman"/>
                <w:color w:val="000000"/>
                <w:sz w:val="20"/>
                <w:szCs w:val="20"/>
              </w:rPr>
            </w:pPr>
            <w:r w:rsidRPr="00F7263B">
              <w:rPr>
                <w:rFonts w:eastAsia="Times New Roman" w:cs="Times New Roman"/>
                <w:color w:val="000000"/>
                <w:sz w:val="20"/>
                <w:szCs w:val="20"/>
              </w:rPr>
              <w:t>Capacity building and ULG support by regional governments (linked to DLIs 4, 5, 6 and 7)</w:t>
            </w:r>
          </w:p>
        </w:tc>
        <w:tc>
          <w:tcPr>
            <w:tcW w:w="486" w:type="pct"/>
            <w:shd w:val="clear" w:color="auto" w:fill="auto"/>
            <w:noWrap/>
          </w:tcPr>
          <w:p w:rsidR="004B2F1F" w:rsidRPr="00F7263B" w:rsidRDefault="00DC00CB"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5.2</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DC00CB"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5.2</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DC00CB"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7.2</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DC00CB"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5.2</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DC00CB"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7.2</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DC00CB"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30.0</w:t>
            </w:r>
          </w:p>
        </w:tc>
      </w:tr>
      <w:tr w:rsidR="00251334" w:rsidRPr="00F7263B">
        <w:trPr>
          <w:trHeight w:val="144"/>
        </w:trPr>
        <w:tc>
          <w:tcPr>
            <w:tcW w:w="2085" w:type="pct"/>
            <w:shd w:val="clear" w:color="auto" w:fill="auto"/>
            <w:noWrap/>
            <w:vAlign w:val="bottom"/>
          </w:tcPr>
          <w:p w:rsidR="004B2F1F" w:rsidRPr="00F7263B" w:rsidRDefault="004B2F1F" w:rsidP="004B2F1F">
            <w:pPr>
              <w:contextualSpacing/>
              <w:rPr>
                <w:rFonts w:eastAsia="Times New Roman" w:cs="Times New Roman"/>
                <w:color w:val="000000"/>
                <w:sz w:val="20"/>
                <w:szCs w:val="20"/>
              </w:rPr>
            </w:pPr>
            <w:r w:rsidRPr="00F7263B">
              <w:rPr>
                <w:rFonts w:eastAsia="Times New Roman" w:cs="Times New Roman"/>
                <w:color w:val="000000"/>
                <w:sz w:val="20"/>
                <w:szCs w:val="20"/>
              </w:rPr>
              <w:t>Federal support and capacity building Program administration (DLIs 8 and 9)</w:t>
            </w:r>
          </w:p>
        </w:tc>
        <w:tc>
          <w:tcPr>
            <w:tcW w:w="486" w:type="pct"/>
            <w:shd w:val="clear" w:color="auto" w:fill="auto"/>
            <w:noWrap/>
          </w:tcPr>
          <w:p w:rsidR="004B2F1F" w:rsidRPr="00F7263B" w:rsidRDefault="00061363"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w:t>
            </w:r>
            <w:r w:rsidR="004B2F1F" w:rsidRPr="00F7263B">
              <w:rPr>
                <w:rFonts w:eastAsia="Times New Roman" w:cs="Times New Roman"/>
                <w:color w:val="000000"/>
                <w:sz w:val="20"/>
                <w:szCs w:val="20"/>
              </w:rPr>
              <w:t>.4</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061363"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w:t>
            </w:r>
            <w:r w:rsidR="004B2F1F" w:rsidRPr="00F7263B">
              <w:rPr>
                <w:rFonts w:eastAsia="Times New Roman" w:cs="Times New Roman"/>
                <w:color w:val="000000"/>
                <w:sz w:val="20"/>
                <w:szCs w:val="20"/>
              </w:rPr>
              <w:t>.4</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061363"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w:t>
            </w:r>
            <w:r w:rsidR="004B2F1F" w:rsidRPr="00F7263B">
              <w:rPr>
                <w:rFonts w:eastAsia="Times New Roman" w:cs="Times New Roman"/>
                <w:color w:val="000000"/>
                <w:sz w:val="20"/>
                <w:szCs w:val="20"/>
              </w:rPr>
              <w:t>.4</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061363"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w:t>
            </w:r>
            <w:r w:rsidR="004B2F1F" w:rsidRPr="00F7263B">
              <w:rPr>
                <w:rFonts w:eastAsia="Times New Roman" w:cs="Times New Roman"/>
                <w:color w:val="000000"/>
                <w:sz w:val="20"/>
                <w:szCs w:val="20"/>
              </w:rPr>
              <w:t>.4</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061363"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5</w:t>
            </w:r>
            <w:r w:rsidR="004B2F1F" w:rsidRPr="00F7263B">
              <w:rPr>
                <w:rFonts w:eastAsia="Times New Roman" w:cs="Times New Roman"/>
                <w:color w:val="000000"/>
                <w:sz w:val="20"/>
                <w:szCs w:val="20"/>
              </w:rPr>
              <w:t>.4</w:t>
            </w:r>
            <w:r w:rsidR="00DB2F54" w:rsidRPr="00F7263B">
              <w:rPr>
                <w:rFonts w:eastAsia="Times New Roman" w:cs="Times New Roman"/>
                <w:color w:val="000000"/>
                <w:sz w:val="20"/>
                <w:szCs w:val="20"/>
              </w:rPr>
              <w:t>0</w:t>
            </w:r>
          </w:p>
        </w:tc>
        <w:tc>
          <w:tcPr>
            <w:tcW w:w="486" w:type="pct"/>
            <w:shd w:val="clear" w:color="auto" w:fill="auto"/>
            <w:noWrap/>
          </w:tcPr>
          <w:p w:rsidR="004B2F1F" w:rsidRPr="00F7263B" w:rsidRDefault="004B2F1F" w:rsidP="004B2F1F">
            <w:pPr>
              <w:contextualSpacing/>
              <w:jc w:val="center"/>
              <w:rPr>
                <w:rFonts w:eastAsia="Times New Roman" w:cs="Times New Roman"/>
                <w:color w:val="000000"/>
                <w:sz w:val="20"/>
                <w:szCs w:val="20"/>
              </w:rPr>
            </w:pPr>
            <w:r w:rsidRPr="00F7263B">
              <w:rPr>
                <w:rFonts w:eastAsia="Times New Roman" w:cs="Times New Roman"/>
                <w:color w:val="000000"/>
                <w:sz w:val="20"/>
                <w:szCs w:val="20"/>
              </w:rPr>
              <w:t>2</w:t>
            </w:r>
            <w:r w:rsidR="00061363" w:rsidRPr="00F7263B">
              <w:rPr>
                <w:rFonts w:eastAsia="Times New Roman" w:cs="Times New Roman"/>
                <w:color w:val="000000"/>
                <w:sz w:val="20"/>
                <w:szCs w:val="20"/>
              </w:rPr>
              <w:t>7</w:t>
            </w:r>
            <w:r w:rsidRPr="00F7263B">
              <w:rPr>
                <w:rFonts w:eastAsia="Times New Roman" w:cs="Times New Roman"/>
                <w:color w:val="000000"/>
                <w:sz w:val="20"/>
                <w:szCs w:val="20"/>
              </w:rPr>
              <w:t>.00</w:t>
            </w:r>
          </w:p>
        </w:tc>
      </w:tr>
      <w:tr w:rsidR="00251334" w:rsidRPr="00F7263B">
        <w:trPr>
          <w:trHeight w:val="144"/>
        </w:trPr>
        <w:tc>
          <w:tcPr>
            <w:tcW w:w="2085" w:type="pct"/>
            <w:shd w:val="clear" w:color="auto" w:fill="auto"/>
            <w:noWrap/>
          </w:tcPr>
          <w:p w:rsidR="004B2F1F" w:rsidRPr="00F7263B" w:rsidRDefault="004B2F1F" w:rsidP="004B2F1F">
            <w:pPr>
              <w:contextualSpacing/>
              <w:jc w:val="both"/>
              <w:rPr>
                <w:rFonts w:eastAsia="Times New Roman" w:cs="Times New Roman"/>
                <w:b/>
                <w:color w:val="000000"/>
                <w:sz w:val="20"/>
                <w:szCs w:val="20"/>
              </w:rPr>
            </w:pPr>
            <w:r w:rsidRPr="00F7263B">
              <w:rPr>
                <w:rFonts w:eastAsia="Times New Roman" w:cs="Times New Roman"/>
                <w:b/>
                <w:color w:val="000000"/>
                <w:sz w:val="20"/>
                <w:szCs w:val="20"/>
              </w:rPr>
              <w:t>Total</w:t>
            </w:r>
          </w:p>
        </w:tc>
        <w:tc>
          <w:tcPr>
            <w:tcW w:w="486" w:type="pct"/>
            <w:shd w:val="clear" w:color="auto" w:fill="auto"/>
            <w:noWrap/>
          </w:tcPr>
          <w:p w:rsidR="004B2F1F" w:rsidRPr="00F7263B" w:rsidRDefault="004B2F1F" w:rsidP="004B2F1F">
            <w:pPr>
              <w:autoSpaceDE w:val="0"/>
              <w:autoSpaceDN w:val="0"/>
              <w:adjustRightInd w:val="0"/>
              <w:jc w:val="center"/>
              <w:rPr>
                <w:rFonts w:cs="Times New Roman"/>
                <w:b/>
                <w:bCs/>
                <w:color w:val="000000"/>
                <w:sz w:val="20"/>
                <w:szCs w:val="20"/>
              </w:rPr>
            </w:pPr>
            <w:r w:rsidRPr="00F7263B">
              <w:rPr>
                <w:rFonts w:cs="Times New Roman"/>
                <w:b/>
                <w:bCs/>
                <w:color w:val="000000"/>
                <w:sz w:val="20"/>
                <w:szCs w:val="20"/>
              </w:rPr>
              <w:t>8</w:t>
            </w:r>
            <w:r w:rsidR="00DC00CB" w:rsidRPr="00F7263B">
              <w:rPr>
                <w:rFonts w:cs="Times New Roman"/>
                <w:b/>
                <w:bCs/>
                <w:color w:val="000000"/>
                <w:sz w:val="20"/>
                <w:szCs w:val="20"/>
              </w:rPr>
              <w:t>9.33</w:t>
            </w:r>
          </w:p>
        </w:tc>
        <w:tc>
          <w:tcPr>
            <w:tcW w:w="486" w:type="pct"/>
            <w:shd w:val="clear" w:color="auto" w:fill="auto"/>
            <w:noWrap/>
          </w:tcPr>
          <w:p w:rsidR="004B2F1F" w:rsidRPr="00F7263B" w:rsidRDefault="004B2F1F" w:rsidP="004B2F1F">
            <w:pPr>
              <w:autoSpaceDE w:val="0"/>
              <w:autoSpaceDN w:val="0"/>
              <w:adjustRightInd w:val="0"/>
              <w:jc w:val="center"/>
              <w:rPr>
                <w:rFonts w:cs="Times New Roman"/>
                <w:b/>
                <w:bCs/>
                <w:color w:val="000000"/>
                <w:sz w:val="20"/>
                <w:szCs w:val="20"/>
              </w:rPr>
            </w:pPr>
            <w:r w:rsidRPr="00F7263B">
              <w:rPr>
                <w:rFonts w:cs="Times New Roman"/>
                <w:b/>
                <w:bCs/>
                <w:color w:val="000000"/>
                <w:sz w:val="20"/>
                <w:szCs w:val="20"/>
              </w:rPr>
              <w:t>1</w:t>
            </w:r>
            <w:r w:rsidR="00DC00CB" w:rsidRPr="00F7263B">
              <w:rPr>
                <w:rFonts w:cs="Times New Roman"/>
                <w:b/>
                <w:bCs/>
                <w:color w:val="000000"/>
                <w:sz w:val="20"/>
                <w:szCs w:val="20"/>
              </w:rPr>
              <w:t>15.80</w:t>
            </w:r>
          </w:p>
        </w:tc>
        <w:tc>
          <w:tcPr>
            <w:tcW w:w="486" w:type="pct"/>
            <w:shd w:val="clear" w:color="auto" w:fill="auto"/>
            <w:noWrap/>
          </w:tcPr>
          <w:p w:rsidR="004B2F1F" w:rsidRPr="00F7263B" w:rsidRDefault="004B2F1F" w:rsidP="004B2F1F">
            <w:pPr>
              <w:autoSpaceDE w:val="0"/>
              <w:autoSpaceDN w:val="0"/>
              <w:adjustRightInd w:val="0"/>
              <w:jc w:val="center"/>
              <w:rPr>
                <w:rFonts w:cs="Times New Roman"/>
                <w:b/>
                <w:bCs/>
                <w:color w:val="000000"/>
                <w:sz w:val="20"/>
                <w:szCs w:val="20"/>
              </w:rPr>
            </w:pPr>
            <w:r w:rsidRPr="00F7263B">
              <w:rPr>
                <w:rFonts w:cs="Times New Roman"/>
                <w:b/>
                <w:bCs/>
                <w:color w:val="000000"/>
                <w:sz w:val="20"/>
                <w:szCs w:val="20"/>
              </w:rPr>
              <w:t>1</w:t>
            </w:r>
            <w:r w:rsidR="00DC00CB" w:rsidRPr="00F7263B">
              <w:rPr>
                <w:rFonts w:cs="Times New Roman"/>
                <w:b/>
                <w:bCs/>
                <w:color w:val="000000"/>
                <w:sz w:val="20"/>
                <w:szCs w:val="20"/>
              </w:rPr>
              <w:t>17.80</w:t>
            </w:r>
          </w:p>
        </w:tc>
        <w:tc>
          <w:tcPr>
            <w:tcW w:w="486" w:type="pct"/>
            <w:shd w:val="clear" w:color="auto" w:fill="auto"/>
            <w:noWrap/>
          </w:tcPr>
          <w:p w:rsidR="004B2F1F" w:rsidRPr="00F7263B" w:rsidRDefault="004B2F1F" w:rsidP="004B2F1F">
            <w:pPr>
              <w:autoSpaceDE w:val="0"/>
              <w:autoSpaceDN w:val="0"/>
              <w:adjustRightInd w:val="0"/>
              <w:jc w:val="center"/>
              <w:rPr>
                <w:rFonts w:cs="Times New Roman"/>
                <w:b/>
                <w:bCs/>
                <w:color w:val="000000"/>
                <w:sz w:val="20"/>
                <w:szCs w:val="20"/>
              </w:rPr>
            </w:pPr>
            <w:r w:rsidRPr="00F7263B">
              <w:rPr>
                <w:rFonts w:cs="Times New Roman"/>
                <w:b/>
                <w:bCs/>
                <w:color w:val="000000"/>
                <w:sz w:val="20"/>
                <w:szCs w:val="20"/>
              </w:rPr>
              <w:t>1</w:t>
            </w:r>
            <w:r w:rsidR="00DC00CB" w:rsidRPr="00F7263B">
              <w:rPr>
                <w:rFonts w:cs="Times New Roman"/>
                <w:b/>
                <w:bCs/>
                <w:color w:val="000000"/>
                <w:sz w:val="20"/>
                <w:szCs w:val="20"/>
              </w:rPr>
              <w:t>15.80</w:t>
            </w:r>
          </w:p>
        </w:tc>
        <w:tc>
          <w:tcPr>
            <w:tcW w:w="486" w:type="pct"/>
            <w:shd w:val="clear" w:color="auto" w:fill="auto"/>
            <w:noWrap/>
          </w:tcPr>
          <w:p w:rsidR="004B2F1F" w:rsidRPr="00F7263B" w:rsidRDefault="004B2F1F" w:rsidP="004B2F1F">
            <w:pPr>
              <w:autoSpaceDE w:val="0"/>
              <w:autoSpaceDN w:val="0"/>
              <w:adjustRightInd w:val="0"/>
              <w:jc w:val="center"/>
              <w:rPr>
                <w:rFonts w:cs="Times New Roman"/>
                <w:b/>
                <w:bCs/>
                <w:color w:val="000000"/>
                <w:sz w:val="20"/>
                <w:szCs w:val="20"/>
              </w:rPr>
            </w:pPr>
            <w:r w:rsidRPr="00F7263B">
              <w:rPr>
                <w:rFonts w:cs="Times New Roman"/>
                <w:b/>
                <w:bCs/>
                <w:color w:val="000000"/>
                <w:sz w:val="20"/>
                <w:szCs w:val="20"/>
              </w:rPr>
              <w:t>1</w:t>
            </w:r>
            <w:r w:rsidR="00DC00CB" w:rsidRPr="00F7263B">
              <w:rPr>
                <w:rFonts w:cs="Times New Roman"/>
                <w:b/>
                <w:bCs/>
                <w:color w:val="000000"/>
                <w:sz w:val="20"/>
                <w:szCs w:val="20"/>
              </w:rPr>
              <w:t>17,80</w:t>
            </w:r>
          </w:p>
        </w:tc>
        <w:tc>
          <w:tcPr>
            <w:tcW w:w="486" w:type="pct"/>
            <w:shd w:val="clear" w:color="auto" w:fill="auto"/>
            <w:noWrap/>
          </w:tcPr>
          <w:p w:rsidR="004B2F1F" w:rsidRPr="00F7263B" w:rsidRDefault="004B2F1F" w:rsidP="004B2F1F">
            <w:pPr>
              <w:autoSpaceDE w:val="0"/>
              <w:autoSpaceDN w:val="0"/>
              <w:adjustRightInd w:val="0"/>
              <w:jc w:val="center"/>
              <w:rPr>
                <w:rFonts w:cs="Times New Roman"/>
                <w:b/>
                <w:bCs/>
                <w:color w:val="000000"/>
                <w:sz w:val="20"/>
                <w:szCs w:val="20"/>
              </w:rPr>
            </w:pPr>
            <w:r w:rsidRPr="00F7263B">
              <w:rPr>
                <w:rFonts w:cs="Times New Roman"/>
                <w:b/>
                <w:bCs/>
                <w:color w:val="000000"/>
                <w:sz w:val="20"/>
                <w:szCs w:val="20"/>
              </w:rPr>
              <w:t>5</w:t>
            </w:r>
            <w:r w:rsidR="00DC00CB" w:rsidRPr="00F7263B">
              <w:rPr>
                <w:rFonts w:cs="Times New Roman"/>
                <w:b/>
                <w:bCs/>
                <w:color w:val="000000"/>
                <w:sz w:val="20"/>
                <w:szCs w:val="20"/>
              </w:rPr>
              <w:t>56.53</w:t>
            </w:r>
          </w:p>
        </w:tc>
      </w:tr>
    </w:tbl>
    <w:p w:rsidR="00DA5FCC" w:rsidRPr="00F7263B" w:rsidRDefault="00E74664" w:rsidP="00254260">
      <w:pPr>
        <w:pStyle w:val="ListParagraph"/>
        <w:tabs>
          <w:tab w:val="left" w:pos="360"/>
        </w:tabs>
        <w:autoSpaceDE w:val="0"/>
        <w:autoSpaceDN w:val="0"/>
        <w:adjustRightInd w:val="0"/>
        <w:spacing w:before="60"/>
        <w:ind w:left="0"/>
        <w:jc w:val="both"/>
        <w:rPr>
          <w:rFonts w:cs="Times New Roman"/>
          <w:sz w:val="20"/>
          <w:szCs w:val="20"/>
        </w:rPr>
      </w:pPr>
      <w:r w:rsidRPr="00F7263B">
        <w:rPr>
          <w:rFonts w:cs="Times New Roman"/>
          <w:i/>
          <w:sz w:val="20"/>
          <w:szCs w:val="20"/>
        </w:rPr>
        <w:t>Note:</w:t>
      </w:r>
      <w:r w:rsidR="00F84279" w:rsidRPr="00F7263B">
        <w:rPr>
          <w:rFonts w:cs="Times New Roman"/>
          <w:sz w:val="20"/>
          <w:szCs w:val="20"/>
        </w:rPr>
        <w:tab/>
      </w:r>
      <w:r w:rsidR="00DA5FCC" w:rsidRPr="00F7263B">
        <w:rPr>
          <w:rFonts w:cs="Times New Roman"/>
          <w:sz w:val="20"/>
          <w:szCs w:val="20"/>
        </w:rPr>
        <w:t xml:space="preserve">Regions and cities contribute to the </w:t>
      </w:r>
      <w:r w:rsidR="00D0377C" w:rsidRPr="00F7263B">
        <w:rPr>
          <w:rFonts w:cs="Times New Roman"/>
          <w:sz w:val="20"/>
          <w:szCs w:val="20"/>
        </w:rPr>
        <w:t>performance-based</w:t>
      </w:r>
      <w:r w:rsidR="00DA5FCC" w:rsidRPr="00F7263B">
        <w:rPr>
          <w:rFonts w:cs="Times New Roman"/>
          <w:sz w:val="20"/>
          <w:szCs w:val="20"/>
        </w:rPr>
        <w:t xml:space="preserve"> alloca</w:t>
      </w:r>
      <w:r w:rsidR="00462276" w:rsidRPr="00F7263B">
        <w:rPr>
          <w:rFonts w:cs="Times New Roman"/>
          <w:sz w:val="20"/>
          <w:szCs w:val="20"/>
        </w:rPr>
        <w:t>tions as follows: established r</w:t>
      </w:r>
      <w:r w:rsidR="00DA5FCC" w:rsidRPr="00F7263B">
        <w:rPr>
          <w:rFonts w:cs="Times New Roman"/>
          <w:sz w:val="20"/>
          <w:szCs w:val="20"/>
        </w:rPr>
        <w:t xml:space="preserve">egions: (Amhara, </w:t>
      </w:r>
      <w:r w:rsidR="0054500B" w:rsidRPr="00F7263B">
        <w:rPr>
          <w:rFonts w:cs="Times New Roman"/>
          <w:sz w:val="20"/>
          <w:szCs w:val="20"/>
        </w:rPr>
        <w:t>Oromia</w:t>
      </w:r>
      <w:r w:rsidR="00DA5FCC" w:rsidRPr="00F7263B">
        <w:rPr>
          <w:rFonts w:cs="Times New Roman"/>
          <w:sz w:val="20"/>
          <w:szCs w:val="20"/>
        </w:rPr>
        <w:t xml:space="preserve">, SNNPR, and Tigray) </w:t>
      </w:r>
      <w:r w:rsidR="00462276" w:rsidRPr="00F7263B">
        <w:rPr>
          <w:rFonts w:cs="Times New Roman"/>
          <w:sz w:val="20"/>
          <w:szCs w:val="20"/>
        </w:rPr>
        <w:t xml:space="preserve">will contribute </w:t>
      </w:r>
      <w:r w:rsidR="00DA5FCC" w:rsidRPr="00F7263B">
        <w:rPr>
          <w:rFonts w:cs="Times New Roman"/>
          <w:sz w:val="20"/>
          <w:szCs w:val="20"/>
        </w:rPr>
        <w:t>30</w:t>
      </w:r>
      <w:r w:rsidR="00462276" w:rsidRPr="00F7263B">
        <w:rPr>
          <w:rFonts w:cs="Times New Roman"/>
          <w:sz w:val="20"/>
          <w:szCs w:val="20"/>
        </w:rPr>
        <w:t xml:space="preserve"> funding</w:t>
      </w:r>
      <w:r w:rsidR="00DA5FCC" w:rsidRPr="00F7263B">
        <w:rPr>
          <w:rFonts w:cs="Times New Roman"/>
          <w:sz w:val="20"/>
          <w:szCs w:val="20"/>
        </w:rPr>
        <w:t xml:space="preserve"> in addition to </w:t>
      </w:r>
      <w:r w:rsidR="00FA168C" w:rsidRPr="00F7263B">
        <w:rPr>
          <w:rFonts w:cs="Times New Roman"/>
          <w:sz w:val="20"/>
          <w:szCs w:val="20"/>
        </w:rPr>
        <w:t xml:space="preserve">the </w:t>
      </w:r>
      <w:r w:rsidR="00DA5FCC" w:rsidRPr="00F7263B">
        <w:rPr>
          <w:rFonts w:cs="Times New Roman"/>
          <w:sz w:val="20"/>
          <w:szCs w:val="20"/>
        </w:rPr>
        <w:t>IDA grants,</w:t>
      </w:r>
      <w:r w:rsidR="00A2314D">
        <w:rPr>
          <w:rFonts w:cs="Times New Roman"/>
          <w:sz w:val="20"/>
          <w:szCs w:val="20"/>
        </w:rPr>
        <w:t xml:space="preserve"> </w:t>
      </w:r>
      <w:r w:rsidR="00462276" w:rsidRPr="00F7263B">
        <w:rPr>
          <w:rFonts w:cs="Times New Roman"/>
          <w:sz w:val="20"/>
          <w:szCs w:val="20"/>
        </w:rPr>
        <w:t>developing regional states will contribute</w:t>
      </w:r>
      <w:r w:rsidR="00DA5FCC" w:rsidRPr="00F7263B">
        <w:rPr>
          <w:rFonts w:cs="Times New Roman"/>
          <w:sz w:val="20"/>
          <w:szCs w:val="20"/>
        </w:rPr>
        <w:t xml:space="preserve"> 20</w:t>
      </w:r>
      <w:r w:rsidR="00462276" w:rsidRPr="00F7263B">
        <w:rPr>
          <w:rFonts w:cs="Times New Roman"/>
          <w:sz w:val="20"/>
          <w:szCs w:val="20"/>
        </w:rPr>
        <w:t xml:space="preserve"> percent</w:t>
      </w:r>
      <w:r w:rsidR="00DA5FCC" w:rsidRPr="00F7263B">
        <w:rPr>
          <w:rFonts w:cs="Times New Roman"/>
          <w:sz w:val="20"/>
          <w:szCs w:val="20"/>
        </w:rPr>
        <w:t xml:space="preserve">. </w:t>
      </w:r>
      <w:r w:rsidR="00B56D25" w:rsidRPr="00F7263B">
        <w:rPr>
          <w:rFonts w:cs="Times New Roman"/>
          <w:sz w:val="20"/>
          <w:szCs w:val="20"/>
        </w:rPr>
        <w:t xml:space="preserve">New cities in the </w:t>
      </w:r>
      <w:r w:rsidR="00FA168C" w:rsidRPr="00F7263B">
        <w:rPr>
          <w:rFonts w:cs="Times New Roman"/>
          <w:sz w:val="20"/>
          <w:szCs w:val="20"/>
        </w:rPr>
        <w:t>developing regional states</w:t>
      </w:r>
      <w:r w:rsidR="00B56D25" w:rsidRPr="00F7263B">
        <w:rPr>
          <w:rFonts w:cs="Times New Roman"/>
          <w:sz w:val="20"/>
          <w:szCs w:val="20"/>
        </w:rPr>
        <w:t xml:space="preserve"> will contribute 10 </w:t>
      </w:r>
      <w:r w:rsidR="00FA168C" w:rsidRPr="00F7263B">
        <w:rPr>
          <w:rFonts w:cs="Times New Roman"/>
          <w:sz w:val="20"/>
          <w:szCs w:val="20"/>
        </w:rPr>
        <w:t>percent</w:t>
      </w:r>
      <w:r w:rsidR="00B56D25" w:rsidRPr="00F7263B">
        <w:rPr>
          <w:rFonts w:cs="Times New Roman"/>
          <w:sz w:val="20"/>
          <w:szCs w:val="20"/>
        </w:rPr>
        <w:t xml:space="preserve">, new cities in the </w:t>
      </w:r>
      <w:r w:rsidR="00FA168C" w:rsidRPr="00F7263B">
        <w:rPr>
          <w:rFonts w:cs="Times New Roman"/>
          <w:sz w:val="20"/>
          <w:szCs w:val="20"/>
        </w:rPr>
        <w:t>other</w:t>
      </w:r>
      <w:r w:rsidR="00B56D25" w:rsidRPr="00F7263B">
        <w:rPr>
          <w:rFonts w:cs="Times New Roman"/>
          <w:sz w:val="20"/>
          <w:szCs w:val="20"/>
        </w:rPr>
        <w:t xml:space="preserve"> regions</w:t>
      </w:r>
      <w:r w:rsidR="00FA168C" w:rsidRPr="00F7263B">
        <w:rPr>
          <w:rFonts w:cs="Times New Roman"/>
          <w:sz w:val="20"/>
          <w:szCs w:val="20"/>
        </w:rPr>
        <w:t xml:space="preserve"> will contribute</w:t>
      </w:r>
      <w:r w:rsidR="00B56D25" w:rsidRPr="00F7263B">
        <w:rPr>
          <w:rFonts w:cs="Times New Roman"/>
          <w:sz w:val="20"/>
          <w:szCs w:val="20"/>
        </w:rPr>
        <w:t xml:space="preserve"> 20 </w:t>
      </w:r>
      <w:r w:rsidR="00FA168C" w:rsidRPr="00F7263B">
        <w:rPr>
          <w:rFonts w:cs="Times New Roman"/>
          <w:sz w:val="20"/>
          <w:szCs w:val="20"/>
        </w:rPr>
        <w:t>percent</w:t>
      </w:r>
      <w:r w:rsidR="00B56D25" w:rsidRPr="00F7263B">
        <w:rPr>
          <w:rFonts w:cs="Times New Roman"/>
          <w:sz w:val="20"/>
          <w:szCs w:val="20"/>
        </w:rPr>
        <w:t xml:space="preserve">, and </w:t>
      </w:r>
      <w:r w:rsidR="00FA168C" w:rsidRPr="00F7263B">
        <w:rPr>
          <w:rFonts w:cs="Times New Roman"/>
          <w:sz w:val="20"/>
          <w:szCs w:val="20"/>
        </w:rPr>
        <w:t xml:space="preserve">the cities benefiting from the ongoing </w:t>
      </w:r>
      <w:r w:rsidR="00B56D25" w:rsidRPr="00F7263B">
        <w:rPr>
          <w:rFonts w:cs="Times New Roman"/>
          <w:sz w:val="20"/>
          <w:szCs w:val="20"/>
        </w:rPr>
        <w:t xml:space="preserve">ULGDP </w:t>
      </w:r>
      <w:r w:rsidR="007776B5" w:rsidRPr="00F7263B">
        <w:rPr>
          <w:rFonts w:cs="Times New Roman"/>
          <w:sz w:val="20"/>
          <w:szCs w:val="20"/>
        </w:rPr>
        <w:t>will contribute</w:t>
      </w:r>
      <w:r w:rsidR="00B56D25" w:rsidRPr="00F7263B">
        <w:rPr>
          <w:rFonts w:cs="Times New Roman"/>
          <w:sz w:val="20"/>
          <w:szCs w:val="20"/>
        </w:rPr>
        <w:t xml:space="preserve"> with 30 </w:t>
      </w:r>
      <w:r w:rsidR="00FA168C" w:rsidRPr="00F7263B">
        <w:rPr>
          <w:rFonts w:cs="Times New Roman"/>
          <w:sz w:val="20"/>
          <w:szCs w:val="20"/>
        </w:rPr>
        <w:t xml:space="preserve">percent.  </w:t>
      </w:r>
      <w:r w:rsidR="00B56D25" w:rsidRPr="00F7263B">
        <w:rPr>
          <w:rFonts w:cs="Times New Roman"/>
          <w:sz w:val="20"/>
          <w:szCs w:val="20"/>
        </w:rPr>
        <w:t>Dire Dawa and Harar will contribute 50</w:t>
      </w:r>
      <w:r w:rsidR="00FA168C" w:rsidRPr="00F7263B">
        <w:rPr>
          <w:rFonts w:cs="Times New Roman"/>
          <w:sz w:val="20"/>
          <w:szCs w:val="20"/>
        </w:rPr>
        <w:t xml:space="preserve"> percent of the IDA grant</w:t>
      </w:r>
      <w:r w:rsidR="00B56D25" w:rsidRPr="00F7263B">
        <w:rPr>
          <w:rFonts w:cs="Times New Roman"/>
          <w:sz w:val="20"/>
          <w:szCs w:val="20"/>
        </w:rPr>
        <w:t xml:space="preserve">. </w:t>
      </w:r>
    </w:p>
    <w:p w:rsidR="00DA5FCC" w:rsidRPr="00F7263B" w:rsidRDefault="00DA5FCC" w:rsidP="00B74452">
      <w:pPr>
        <w:pStyle w:val="ListParagraph"/>
        <w:autoSpaceDE w:val="0"/>
        <w:autoSpaceDN w:val="0"/>
        <w:adjustRightInd w:val="0"/>
        <w:ind w:left="0"/>
        <w:jc w:val="both"/>
        <w:rPr>
          <w:rFonts w:cs="Times New Roman"/>
          <w:sz w:val="20"/>
          <w:szCs w:val="20"/>
        </w:rPr>
      </w:pPr>
    </w:p>
    <w:p w:rsidR="00462276" w:rsidRPr="00F7263B" w:rsidRDefault="00462276"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E</w:t>
      </w:r>
      <w:r w:rsidR="00DA5FCC" w:rsidRPr="00F7263B">
        <w:rPr>
          <w:rFonts w:cs="Times New Roman"/>
          <w:b/>
          <w:sz w:val="20"/>
          <w:szCs w:val="20"/>
        </w:rPr>
        <w:t>conomic evaluation</w:t>
      </w:r>
      <w:r w:rsidRPr="00F7263B">
        <w:rPr>
          <w:rFonts w:cs="Times New Roman"/>
          <w:i/>
          <w:sz w:val="20"/>
          <w:szCs w:val="20"/>
        </w:rPr>
        <w:t xml:space="preserve">.  </w:t>
      </w:r>
      <w:r w:rsidRPr="00F7263B">
        <w:rPr>
          <w:rFonts w:cs="Times New Roman"/>
          <w:sz w:val="20"/>
          <w:szCs w:val="20"/>
        </w:rPr>
        <w:t xml:space="preserve">The economic analysis </w:t>
      </w:r>
      <w:r w:rsidR="00DA5FCC" w:rsidRPr="00F7263B">
        <w:rPr>
          <w:rFonts w:cs="Times New Roman"/>
          <w:sz w:val="20"/>
          <w:szCs w:val="20"/>
        </w:rPr>
        <w:t>of the Program assessed: (</w:t>
      </w:r>
      <w:r w:rsidRPr="00F7263B">
        <w:rPr>
          <w:rFonts w:cs="Times New Roman"/>
          <w:sz w:val="20"/>
          <w:szCs w:val="20"/>
        </w:rPr>
        <w:t>a</w:t>
      </w:r>
      <w:r w:rsidR="00DA5FCC" w:rsidRPr="00F7263B">
        <w:rPr>
          <w:rFonts w:cs="Times New Roman"/>
          <w:sz w:val="20"/>
          <w:szCs w:val="20"/>
        </w:rPr>
        <w:t>) the</w:t>
      </w:r>
      <w:r w:rsidRPr="00F7263B">
        <w:rPr>
          <w:rFonts w:cs="Times New Roman"/>
          <w:sz w:val="20"/>
          <w:szCs w:val="20"/>
        </w:rPr>
        <w:t xml:space="preserve"> rationale for public provision of infrastructure and services,</w:t>
      </w:r>
      <w:r w:rsidR="00DA5FCC" w:rsidRPr="00F7263B">
        <w:rPr>
          <w:rFonts w:cs="Times New Roman"/>
          <w:sz w:val="20"/>
          <w:szCs w:val="20"/>
        </w:rPr>
        <w:t xml:space="preserve"> (</w:t>
      </w:r>
      <w:r w:rsidRPr="00F7263B">
        <w:rPr>
          <w:rFonts w:cs="Times New Roman"/>
          <w:sz w:val="20"/>
          <w:szCs w:val="20"/>
        </w:rPr>
        <w:t>b) their economic impact,</w:t>
      </w:r>
      <w:r w:rsidR="00DA5FCC" w:rsidRPr="00F7263B">
        <w:rPr>
          <w:rFonts w:cs="Times New Roman"/>
          <w:sz w:val="20"/>
          <w:szCs w:val="20"/>
        </w:rPr>
        <w:t xml:space="preserve"> and (</w:t>
      </w:r>
      <w:r w:rsidRPr="00F7263B">
        <w:rPr>
          <w:rFonts w:cs="Times New Roman"/>
          <w:sz w:val="20"/>
          <w:szCs w:val="20"/>
        </w:rPr>
        <w:t>c</w:t>
      </w:r>
      <w:r w:rsidR="00DA5FCC" w:rsidRPr="00F7263B">
        <w:rPr>
          <w:rFonts w:cs="Times New Roman"/>
          <w:sz w:val="20"/>
          <w:szCs w:val="20"/>
        </w:rPr>
        <w:t>) a counterfactual scenario where the Program is not introduced</w:t>
      </w:r>
      <w:r w:rsidRPr="00F7263B">
        <w:rPr>
          <w:rFonts w:cs="Times New Roman"/>
          <w:sz w:val="20"/>
          <w:szCs w:val="20"/>
        </w:rPr>
        <w:t xml:space="preserve">.  </w:t>
      </w:r>
      <w:r w:rsidR="00DA5FCC" w:rsidRPr="00F7263B">
        <w:rPr>
          <w:rFonts w:cs="Times New Roman"/>
          <w:sz w:val="20"/>
          <w:szCs w:val="20"/>
        </w:rPr>
        <w:t>The assessment shows a strong rationale for public provision and financing to increase the institutional capacity and performance of ULGs to deliver urban services</w:t>
      </w:r>
      <w:r w:rsidRPr="00F7263B">
        <w:rPr>
          <w:rFonts w:cs="Times New Roman"/>
          <w:sz w:val="20"/>
          <w:szCs w:val="20"/>
        </w:rPr>
        <w:t>.  G</w:t>
      </w:r>
      <w:r w:rsidR="00DA5FCC" w:rsidRPr="00F7263B">
        <w:rPr>
          <w:rFonts w:cs="Times New Roman"/>
          <w:sz w:val="20"/>
          <w:szCs w:val="20"/>
        </w:rPr>
        <w:t xml:space="preserve">ood local governance is a combination of creating </w:t>
      </w:r>
      <w:r w:rsidR="009E0CDE" w:rsidRPr="00F7263B">
        <w:rPr>
          <w:rFonts w:cs="Times New Roman"/>
          <w:sz w:val="20"/>
          <w:szCs w:val="20"/>
        </w:rPr>
        <w:t xml:space="preserve">the </w:t>
      </w:r>
      <w:r w:rsidR="00DA5FCC" w:rsidRPr="00F7263B">
        <w:rPr>
          <w:rFonts w:cs="Times New Roman"/>
          <w:sz w:val="20"/>
          <w:szCs w:val="20"/>
        </w:rPr>
        <w:t>proper legal, political</w:t>
      </w:r>
      <w:r w:rsidR="009E0CDE" w:rsidRPr="00F7263B">
        <w:rPr>
          <w:rFonts w:cs="Times New Roman"/>
          <w:sz w:val="20"/>
          <w:szCs w:val="20"/>
        </w:rPr>
        <w:t>,</w:t>
      </w:r>
      <w:r w:rsidR="00DA5FCC" w:rsidRPr="00F7263B">
        <w:rPr>
          <w:rFonts w:cs="Times New Roman"/>
          <w:sz w:val="20"/>
          <w:szCs w:val="20"/>
        </w:rPr>
        <w:t xml:space="preserve"> and institutional framework as well as of actively building </w:t>
      </w:r>
      <w:r w:rsidRPr="00F7263B">
        <w:rPr>
          <w:rFonts w:cs="Times New Roman"/>
          <w:sz w:val="20"/>
          <w:szCs w:val="20"/>
        </w:rPr>
        <w:t xml:space="preserve">capacity of </w:t>
      </w:r>
      <w:r w:rsidR="00DA5FCC" w:rsidRPr="00F7263B">
        <w:rPr>
          <w:rFonts w:cs="Times New Roman"/>
          <w:sz w:val="20"/>
          <w:szCs w:val="20"/>
        </w:rPr>
        <w:t xml:space="preserve">local </w:t>
      </w:r>
      <w:r w:rsidRPr="00F7263B">
        <w:rPr>
          <w:rFonts w:cs="Times New Roman"/>
          <w:sz w:val="20"/>
          <w:szCs w:val="20"/>
        </w:rPr>
        <w:t xml:space="preserve">governments.  </w:t>
      </w:r>
      <w:r w:rsidR="00DA5FCC" w:rsidRPr="00F7263B">
        <w:rPr>
          <w:rFonts w:cs="Times New Roman"/>
          <w:sz w:val="20"/>
          <w:szCs w:val="20"/>
        </w:rPr>
        <w:t>At the ULG level, the Program will finance investments in core urban public goods</w:t>
      </w:r>
      <w:r w:rsidRPr="00F7263B">
        <w:rPr>
          <w:rFonts w:cs="Times New Roman"/>
          <w:sz w:val="20"/>
          <w:szCs w:val="20"/>
        </w:rPr>
        <w:t xml:space="preserve"> and </w:t>
      </w:r>
      <w:r w:rsidR="00DA5FCC" w:rsidRPr="00F7263B">
        <w:rPr>
          <w:rFonts w:cs="Times New Roman"/>
          <w:sz w:val="20"/>
          <w:szCs w:val="20"/>
        </w:rPr>
        <w:t>services</w:t>
      </w:r>
      <w:r w:rsidRPr="00F7263B">
        <w:rPr>
          <w:rFonts w:cs="Times New Roman"/>
          <w:sz w:val="20"/>
          <w:szCs w:val="20"/>
        </w:rPr>
        <w:t xml:space="preserve">—such as </w:t>
      </w:r>
      <w:r w:rsidR="00DA5FCC" w:rsidRPr="00F7263B">
        <w:rPr>
          <w:rFonts w:cs="Times New Roman"/>
          <w:sz w:val="20"/>
          <w:szCs w:val="20"/>
        </w:rPr>
        <w:t>roads, drainage, sanitation</w:t>
      </w:r>
      <w:r w:rsidRPr="00F7263B">
        <w:rPr>
          <w:rFonts w:cs="Times New Roman"/>
          <w:sz w:val="20"/>
          <w:szCs w:val="20"/>
        </w:rPr>
        <w:t>,</w:t>
      </w:r>
      <w:r w:rsidR="00DA5FCC" w:rsidRPr="00F7263B">
        <w:rPr>
          <w:rFonts w:cs="Times New Roman"/>
          <w:sz w:val="20"/>
          <w:szCs w:val="20"/>
        </w:rPr>
        <w:t xml:space="preserve"> and solid waste management</w:t>
      </w:r>
      <w:r w:rsidRPr="00F7263B">
        <w:rPr>
          <w:rFonts w:cs="Times New Roman"/>
          <w:sz w:val="20"/>
          <w:szCs w:val="20"/>
        </w:rPr>
        <w:t>—</w:t>
      </w:r>
      <w:r w:rsidR="00DA5FCC" w:rsidRPr="00F7263B">
        <w:rPr>
          <w:rFonts w:cs="Times New Roman"/>
          <w:sz w:val="20"/>
          <w:szCs w:val="20"/>
        </w:rPr>
        <w:t>which would not be provided without significant public interventions</w:t>
      </w:r>
      <w:r w:rsidRPr="00F7263B">
        <w:rPr>
          <w:rFonts w:cs="Times New Roman"/>
          <w:sz w:val="20"/>
          <w:szCs w:val="20"/>
        </w:rPr>
        <w:t xml:space="preserve">. </w:t>
      </w:r>
    </w:p>
    <w:p w:rsidR="00DA5FCC" w:rsidRPr="00F7263B" w:rsidRDefault="00DA5FCC" w:rsidP="00B74452">
      <w:pPr>
        <w:pStyle w:val="ListParagraph"/>
        <w:autoSpaceDE w:val="0"/>
        <w:autoSpaceDN w:val="0"/>
        <w:adjustRightInd w:val="0"/>
        <w:ind w:left="0"/>
        <w:jc w:val="both"/>
        <w:rPr>
          <w:rFonts w:cs="Times New Roman"/>
          <w:sz w:val="20"/>
          <w:szCs w:val="20"/>
        </w:rPr>
      </w:pPr>
    </w:p>
    <w:p w:rsidR="00DA5FCC" w:rsidRPr="00F7263B" w:rsidRDefault="00462276"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The e</w:t>
      </w:r>
      <w:r w:rsidR="00DA5FCC" w:rsidRPr="00F7263B">
        <w:rPr>
          <w:rFonts w:cs="Times New Roman"/>
          <w:sz w:val="20"/>
          <w:szCs w:val="20"/>
        </w:rPr>
        <w:t>conomic rate of return reviewed by international institutions show the benefits of investing in these areas</w:t>
      </w:r>
      <w:r w:rsidRPr="00F7263B">
        <w:rPr>
          <w:rFonts w:cs="Times New Roman"/>
          <w:sz w:val="20"/>
          <w:szCs w:val="20"/>
        </w:rPr>
        <w:t xml:space="preserve">.  </w:t>
      </w:r>
      <w:r w:rsidR="00DA5FCC" w:rsidRPr="00F7263B">
        <w:rPr>
          <w:rFonts w:cs="Times New Roman"/>
          <w:sz w:val="20"/>
          <w:szCs w:val="20"/>
        </w:rPr>
        <w:t xml:space="preserve">First, a study undertaking by “Sanitation and Water for All” indicates that the </w:t>
      </w:r>
      <w:r w:rsidRPr="00F7263B">
        <w:rPr>
          <w:rFonts w:cs="Times New Roman"/>
          <w:sz w:val="20"/>
          <w:szCs w:val="20"/>
        </w:rPr>
        <w:t>economic rate of return</w:t>
      </w:r>
      <w:r w:rsidR="00DA5FCC" w:rsidRPr="00F7263B">
        <w:rPr>
          <w:rFonts w:cs="Times New Roman"/>
          <w:sz w:val="20"/>
          <w:szCs w:val="20"/>
        </w:rPr>
        <w:t xml:space="preserve"> is high, and in the range of 15-20 </w:t>
      </w:r>
      <w:r w:rsidRPr="00F7263B">
        <w:rPr>
          <w:rFonts w:cs="Times New Roman"/>
          <w:sz w:val="20"/>
          <w:szCs w:val="20"/>
        </w:rPr>
        <w:t>percent</w:t>
      </w:r>
      <w:r w:rsidR="00DA5FCC" w:rsidRPr="00F7263B">
        <w:rPr>
          <w:rFonts w:cs="Times New Roman"/>
          <w:sz w:val="20"/>
          <w:szCs w:val="20"/>
        </w:rPr>
        <w:t xml:space="preserve"> for urban investment projects in Ethiopia</w:t>
      </w:r>
      <w:r w:rsidRPr="00F7263B">
        <w:rPr>
          <w:rFonts w:cs="Times New Roman"/>
          <w:sz w:val="20"/>
          <w:szCs w:val="20"/>
        </w:rPr>
        <w:t xml:space="preserve">.  </w:t>
      </w:r>
      <w:r w:rsidR="00DA5FCC" w:rsidRPr="00F7263B">
        <w:rPr>
          <w:rFonts w:cs="Times New Roman"/>
          <w:sz w:val="20"/>
          <w:szCs w:val="20"/>
        </w:rPr>
        <w:t>Within the most important sector for ULGDP</w:t>
      </w:r>
      <w:r w:rsidRPr="00F7263B">
        <w:rPr>
          <w:rFonts w:cs="Times New Roman"/>
          <w:sz w:val="20"/>
          <w:szCs w:val="20"/>
        </w:rPr>
        <w:t>—</w:t>
      </w:r>
      <w:r w:rsidR="00DA5FCC" w:rsidRPr="00F7263B">
        <w:rPr>
          <w:rFonts w:cs="Times New Roman"/>
          <w:sz w:val="20"/>
          <w:szCs w:val="20"/>
        </w:rPr>
        <w:t>the road sector</w:t>
      </w:r>
      <w:r w:rsidRPr="00F7263B">
        <w:rPr>
          <w:rFonts w:cs="Times New Roman"/>
          <w:sz w:val="20"/>
          <w:szCs w:val="20"/>
        </w:rPr>
        <w:t>—</w:t>
      </w:r>
      <w:r w:rsidR="00DA5FCC" w:rsidRPr="00F7263B">
        <w:rPr>
          <w:rFonts w:cs="Times New Roman"/>
          <w:sz w:val="20"/>
          <w:szCs w:val="20"/>
        </w:rPr>
        <w:t xml:space="preserve">gravel roads have an </w:t>
      </w:r>
      <w:r w:rsidRPr="00F7263B">
        <w:rPr>
          <w:rFonts w:cs="Times New Roman"/>
          <w:sz w:val="20"/>
          <w:szCs w:val="20"/>
        </w:rPr>
        <w:t>economic rate of return</w:t>
      </w:r>
      <w:r w:rsidR="00DA5FCC" w:rsidRPr="00F7263B">
        <w:rPr>
          <w:rFonts w:cs="Times New Roman"/>
          <w:sz w:val="20"/>
          <w:szCs w:val="20"/>
        </w:rPr>
        <w:t xml:space="preserve"> ranging from 7</w:t>
      </w:r>
      <w:r w:rsidRPr="00F7263B">
        <w:rPr>
          <w:rFonts w:cs="Times New Roman"/>
          <w:sz w:val="20"/>
          <w:szCs w:val="20"/>
        </w:rPr>
        <w:t>–</w:t>
      </w:r>
      <w:r w:rsidR="00DA5FCC" w:rsidRPr="00F7263B">
        <w:rPr>
          <w:rFonts w:cs="Times New Roman"/>
          <w:sz w:val="20"/>
          <w:szCs w:val="20"/>
        </w:rPr>
        <w:t>60</w:t>
      </w:r>
      <w:r w:rsidRPr="00F7263B">
        <w:rPr>
          <w:rFonts w:cs="Times New Roman"/>
          <w:sz w:val="20"/>
          <w:szCs w:val="20"/>
        </w:rPr>
        <w:t xml:space="preserve"> percent</w:t>
      </w:r>
      <w:r w:rsidR="00DA5FCC" w:rsidRPr="00F7263B">
        <w:rPr>
          <w:rFonts w:cs="Times New Roman"/>
          <w:sz w:val="20"/>
          <w:szCs w:val="20"/>
        </w:rPr>
        <w:t>, depending on the length of the road</w:t>
      </w:r>
      <w:r w:rsidRPr="00F7263B">
        <w:rPr>
          <w:rFonts w:cs="Times New Roman"/>
          <w:sz w:val="20"/>
          <w:szCs w:val="20"/>
        </w:rPr>
        <w:t xml:space="preserve">. The highest rates of return are </w:t>
      </w:r>
      <w:r w:rsidR="00DA5FCC" w:rsidRPr="00F7263B">
        <w:rPr>
          <w:rFonts w:cs="Times New Roman"/>
          <w:sz w:val="20"/>
          <w:szCs w:val="20"/>
        </w:rPr>
        <w:t>on the shortest length of the roads, exactly the types of roads to be supported by the Program</w:t>
      </w:r>
      <w:r w:rsidRPr="00F7263B">
        <w:rPr>
          <w:rFonts w:cs="Times New Roman"/>
          <w:sz w:val="20"/>
          <w:szCs w:val="20"/>
        </w:rPr>
        <w:t xml:space="preserve">.  </w:t>
      </w:r>
      <w:r w:rsidR="00DA5FCC" w:rsidRPr="00F7263B">
        <w:rPr>
          <w:rFonts w:cs="Times New Roman"/>
          <w:sz w:val="20"/>
          <w:szCs w:val="20"/>
        </w:rPr>
        <w:t xml:space="preserve">Furthermore, cost-effectiveness analysis for the roads sector on the basis of data collected under the current ULGDP shows that unit costs for ULGDP projects are generally lower than </w:t>
      </w:r>
      <w:r w:rsidRPr="00F7263B">
        <w:rPr>
          <w:rFonts w:cs="Times New Roman"/>
          <w:sz w:val="20"/>
          <w:szCs w:val="20"/>
        </w:rPr>
        <w:t xml:space="preserve">for </w:t>
      </w:r>
      <w:r w:rsidR="00DA5FCC" w:rsidRPr="00F7263B">
        <w:rPr>
          <w:rFonts w:cs="Times New Roman"/>
          <w:sz w:val="20"/>
          <w:szCs w:val="20"/>
        </w:rPr>
        <w:t>non-ULGDP projects</w:t>
      </w:r>
      <w:r w:rsidRPr="00F7263B">
        <w:rPr>
          <w:rFonts w:cs="Times New Roman"/>
          <w:sz w:val="20"/>
          <w:szCs w:val="20"/>
        </w:rPr>
        <w:t>.  Moreover</w:t>
      </w:r>
      <w:r w:rsidR="00DA5FCC" w:rsidRPr="00F7263B">
        <w:rPr>
          <w:rFonts w:cs="Times New Roman"/>
          <w:sz w:val="20"/>
          <w:szCs w:val="20"/>
        </w:rPr>
        <w:t>, the costs of cobblestone project</w:t>
      </w:r>
      <w:r w:rsidR="00B92F52" w:rsidRPr="00F7263B">
        <w:rPr>
          <w:rFonts w:cs="Times New Roman"/>
          <w:sz w:val="20"/>
          <w:szCs w:val="20"/>
        </w:rPr>
        <w:t xml:space="preserve">s—which have absorbed the majority of ULGDP funds </w:t>
      </w:r>
      <w:r w:rsidR="00DA5FCC" w:rsidRPr="00F7263B">
        <w:rPr>
          <w:rFonts w:cs="Times New Roman"/>
          <w:sz w:val="20"/>
          <w:szCs w:val="20"/>
        </w:rPr>
        <w:t xml:space="preserve">are much lower than similar sized asphalt roads, </w:t>
      </w:r>
      <w:r w:rsidR="00B92F52" w:rsidRPr="00F7263B">
        <w:rPr>
          <w:rFonts w:cs="Times New Roman"/>
          <w:sz w:val="20"/>
          <w:szCs w:val="20"/>
        </w:rPr>
        <w:t>but are</w:t>
      </w:r>
      <w:r w:rsidR="00DA5FCC" w:rsidRPr="00F7263B">
        <w:rPr>
          <w:rFonts w:cs="Times New Roman"/>
          <w:sz w:val="20"/>
          <w:szCs w:val="20"/>
        </w:rPr>
        <w:t xml:space="preserve"> creating similar benefits will l</w:t>
      </w:r>
      <w:r w:rsidR="00B92F52" w:rsidRPr="00F7263B">
        <w:rPr>
          <w:rFonts w:cs="Times New Roman"/>
          <w:sz w:val="20"/>
          <w:szCs w:val="20"/>
        </w:rPr>
        <w:t>ower</w:t>
      </w:r>
      <w:r w:rsidR="00DA5FCC" w:rsidRPr="00F7263B">
        <w:rPr>
          <w:rFonts w:cs="Times New Roman"/>
          <w:sz w:val="20"/>
          <w:szCs w:val="20"/>
        </w:rPr>
        <w:t xml:space="preserve"> maintenance costs</w:t>
      </w:r>
      <w:r w:rsidR="00B92F52" w:rsidRPr="00F7263B">
        <w:rPr>
          <w:rFonts w:cs="Times New Roman"/>
          <w:sz w:val="20"/>
          <w:szCs w:val="20"/>
        </w:rPr>
        <w:t xml:space="preserve">.  </w:t>
      </w:r>
    </w:p>
    <w:p w:rsidR="00DA5FCC" w:rsidRPr="00F7263B" w:rsidRDefault="00DA5FCC" w:rsidP="00B92F52">
      <w:pPr>
        <w:pStyle w:val="ListParagraph"/>
        <w:autoSpaceDE w:val="0"/>
        <w:autoSpaceDN w:val="0"/>
        <w:adjustRightInd w:val="0"/>
        <w:ind w:left="0"/>
        <w:jc w:val="both"/>
        <w:rPr>
          <w:rFonts w:cs="Times New Roman"/>
          <w:sz w:val="20"/>
          <w:szCs w:val="20"/>
        </w:rPr>
      </w:pPr>
    </w:p>
    <w:p w:rsidR="00DA5FCC" w:rsidRPr="00F7263B" w:rsidRDefault="00B92F52" w:rsidP="00B92F52">
      <w:pPr>
        <w:pStyle w:val="Caption"/>
        <w:spacing w:after="60"/>
      </w:pPr>
      <w:bookmarkStart w:id="27" w:name="_Toc380087108"/>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7</w:t>
      </w:r>
      <w:r w:rsidR="00B845BE" w:rsidRPr="00F7263B">
        <w:fldChar w:fldCharType="end"/>
      </w:r>
      <w:r w:rsidRPr="00F7263B">
        <w:t xml:space="preserve">: </w:t>
      </w:r>
      <w:r w:rsidR="00DA5FCC" w:rsidRPr="00F7263B">
        <w:t xml:space="preserve">Cost of </w:t>
      </w:r>
      <w:r w:rsidRPr="00F7263B">
        <w:t>c</w:t>
      </w:r>
      <w:r w:rsidR="00DA5FCC" w:rsidRPr="00F7263B">
        <w:t>ob</w:t>
      </w:r>
      <w:r w:rsidRPr="00F7263B">
        <w:t>b</w:t>
      </w:r>
      <w:r w:rsidR="00DA5FCC" w:rsidRPr="00F7263B">
        <w:t xml:space="preserve">lestone roads </w:t>
      </w:r>
      <w:r w:rsidRPr="00F7263B">
        <w:t xml:space="preserve">compared </w:t>
      </w:r>
      <w:r w:rsidR="00DA5FCC" w:rsidRPr="00F7263B">
        <w:t xml:space="preserve">with </w:t>
      </w:r>
      <w:r w:rsidRPr="00F7263B">
        <w:t>a</w:t>
      </w:r>
      <w:r w:rsidR="00DA5FCC" w:rsidRPr="00F7263B">
        <w:t>sphalt roads</w:t>
      </w:r>
      <w:r w:rsidRPr="00F7263B">
        <w:t>, selected cities</w:t>
      </w:r>
      <w:bookmarkEnd w:id="27"/>
    </w:p>
    <w:tbl>
      <w:tblPr>
        <w:tblW w:w="9450" w:type="dxa"/>
        <w:tblInd w:w="16" w:type="dxa"/>
        <w:tblLayout w:type="fixed"/>
        <w:tblCellMar>
          <w:left w:w="0" w:type="dxa"/>
          <w:right w:w="0" w:type="dxa"/>
        </w:tblCellMar>
        <w:tblLook w:val="04A0" w:firstRow="1" w:lastRow="0" w:firstColumn="1" w:lastColumn="0" w:noHBand="0" w:noVBand="1"/>
      </w:tblPr>
      <w:tblGrid>
        <w:gridCol w:w="2562"/>
        <w:gridCol w:w="3428"/>
        <w:gridCol w:w="3460"/>
      </w:tblGrid>
      <w:tr w:rsidR="00DA5FCC" w:rsidRPr="00F7263B" w:rsidTr="0068255C">
        <w:trPr>
          <w:trHeight w:val="316"/>
          <w:tblHeader/>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B92F52">
            <w:pPr>
              <w:ind w:left="293"/>
              <w:contextualSpacing/>
              <w:rPr>
                <w:rFonts w:cs="Times New Roman"/>
                <w:sz w:val="20"/>
                <w:szCs w:val="20"/>
              </w:rPr>
            </w:pPr>
            <w:r w:rsidRPr="00F7263B">
              <w:rPr>
                <w:rFonts w:cs="Times New Roman"/>
                <w:b/>
                <w:bCs/>
                <w:sz w:val="20"/>
                <w:szCs w:val="20"/>
              </w:rPr>
              <w:t>City</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9E0CDE" w:rsidRPr="00F7263B" w:rsidRDefault="00DA5FCC" w:rsidP="00B92F52">
            <w:pPr>
              <w:contextualSpacing/>
              <w:jc w:val="center"/>
              <w:rPr>
                <w:rFonts w:cs="Times New Roman"/>
                <w:b/>
                <w:bCs/>
                <w:sz w:val="20"/>
                <w:szCs w:val="20"/>
              </w:rPr>
            </w:pPr>
            <w:r w:rsidRPr="00F7263B">
              <w:rPr>
                <w:rFonts w:cs="Times New Roman"/>
                <w:b/>
                <w:bCs/>
                <w:sz w:val="20"/>
                <w:szCs w:val="20"/>
              </w:rPr>
              <w:t>C</w:t>
            </w:r>
            <w:r w:rsidR="00B92F52" w:rsidRPr="00F7263B">
              <w:rPr>
                <w:rFonts w:cs="Times New Roman"/>
                <w:b/>
                <w:bCs/>
                <w:sz w:val="20"/>
                <w:szCs w:val="20"/>
              </w:rPr>
              <w:t xml:space="preserve">obblestone Road Cost </w:t>
            </w:r>
          </w:p>
          <w:p w:rsidR="00DA5FCC" w:rsidRPr="00F7263B" w:rsidRDefault="00B92F52" w:rsidP="00B92F52">
            <w:pPr>
              <w:contextualSpacing/>
              <w:jc w:val="center"/>
              <w:rPr>
                <w:rFonts w:cs="Times New Roman"/>
                <w:sz w:val="20"/>
                <w:szCs w:val="20"/>
              </w:rPr>
            </w:pPr>
            <w:r w:rsidRPr="00F7263B">
              <w:rPr>
                <w:rFonts w:cs="Times New Roman"/>
                <w:b/>
                <w:bCs/>
                <w:sz w:val="20"/>
                <w:szCs w:val="20"/>
              </w:rPr>
              <w:t xml:space="preserve">(ETB per square meter)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9E0CDE" w:rsidRPr="00F7263B" w:rsidRDefault="00DA5FCC" w:rsidP="00B92F52">
            <w:pPr>
              <w:contextualSpacing/>
              <w:jc w:val="center"/>
              <w:rPr>
                <w:rFonts w:cs="Times New Roman"/>
                <w:b/>
                <w:bCs/>
                <w:sz w:val="20"/>
                <w:szCs w:val="20"/>
              </w:rPr>
            </w:pPr>
            <w:r w:rsidRPr="00F7263B">
              <w:rPr>
                <w:rFonts w:cs="Times New Roman"/>
                <w:b/>
                <w:bCs/>
                <w:sz w:val="20"/>
                <w:szCs w:val="20"/>
              </w:rPr>
              <w:t xml:space="preserve">Asphalt Cost </w:t>
            </w:r>
          </w:p>
          <w:p w:rsidR="00DA5FCC" w:rsidRPr="00F7263B" w:rsidRDefault="00DA5FCC" w:rsidP="00B92F52">
            <w:pPr>
              <w:contextualSpacing/>
              <w:jc w:val="center"/>
              <w:rPr>
                <w:rFonts w:cs="Times New Roman"/>
                <w:sz w:val="20"/>
                <w:szCs w:val="20"/>
              </w:rPr>
            </w:pPr>
            <w:r w:rsidRPr="00F7263B">
              <w:rPr>
                <w:rFonts w:cs="Times New Roman"/>
                <w:b/>
                <w:bCs/>
                <w:sz w:val="20"/>
                <w:szCs w:val="20"/>
              </w:rPr>
              <w:t>(ETB</w:t>
            </w:r>
            <w:r w:rsidR="00B92F52" w:rsidRPr="00F7263B">
              <w:rPr>
                <w:rFonts w:cs="Times New Roman"/>
                <w:b/>
                <w:bCs/>
                <w:sz w:val="20"/>
                <w:szCs w:val="20"/>
              </w:rPr>
              <w:t xml:space="preserve"> per square meter</w:t>
            </w:r>
            <w:r w:rsidRPr="00F7263B">
              <w:rPr>
                <w:rFonts w:cs="Times New Roman"/>
                <w:b/>
                <w:bCs/>
                <w:sz w:val="20"/>
                <w:szCs w:val="20"/>
              </w:rPr>
              <w:t>)</w:t>
            </w:r>
          </w:p>
        </w:tc>
      </w:tr>
      <w:tr w:rsidR="00DA5FCC" w:rsidRPr="00F7263B">
        <w:trPr>
          <w:trHeight w:val="27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B92F52">
            <w:pPr>
              <w:ind w:left="293"/>
              <w:contextualSpacing/>
              <w:rPr>
                <w:rFonts w:cs="Times New Roman"/>
                <w:sz w:val="20"/>
                <w:szCs w:val="20"/>
              </w:rPr>
            </w:pPr>
            <w:r w:rsidRPr="00F7263B">
              <w:rPr>
                <w:rFonts w:cs="Times New Roman"/>
                <w:sz w:val="20"/>
                <w:szCs w:val="20"/>
              </w:rPr>
              <w:t>Adama</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AB72CB">
            <w:pPr>
              <w:contextualSpacing/>
              <w:jc w:val="center"/>
              <w:rPr>
                <w:rFonts w:cs="Times New Roman"/>
                <w:sz w:val="20"/>
                <w:szCs w:val="20"/>
              </w:rPr>
            </w:pPr>
            <w:r w:rsidRPr="00F7263B">
              <w:rPr>
                <w:rFonts w:cs="Times New Roman"/>
                <w:sz w:val="20"/>
                <w:szCs w:val="20"/>
              </w:rPr>
              <w:t>400</w:t>
            </w:r>
            <w:r w:rsidR="00B92F52" w:rsidRPr="00F7263B">
              <w:rPr>
                <w:rFonts w:cs="Times New Roman"/>
                <w:sz w:val="20"/>
                <w:szCs w:val="20"/>
              </w:rPr>
              <w:t>–</w:t>
            </w:r>
            <w:r w:rsidRPr="00F7263B">
              <w:rPr>
                <w:rFonts w:cs="Times New Roman"/>
                <w:sz w:val="20"/>
                <w:szCs w:val="20"/>
              </w:rPr>
              <w:t xml:space="preserve">500 </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B92F52" w:rsidP="00B92F52">
            <w:pPr>
              <w:contextualSpacing/>
              <w:jc w:val="center"/>
              <w:rPr>
                <w:rFonts w:cs="Times New Roman"/>
                <w:sz w:val="20"/>
                <w:szCs w:val="20"/>
              </w:rPr>
            </w:pPr>
            <w:r w:rsidRPr="00F7263B">
              <w:rPr>
                <w:rFonts w:cs="Times New Roman"/>
                <w:sz w:val="20"/>
                <w:szCs w:val="20"/>
              </w:rPr>
              <w:t>1,430</w:t>
            </w:r>
          </w:p>
        </w:tc>
      </w:tr>
      <w:tr w:rsidR="00DA5FCC" w:rsidRPr="00F7263B">
        <w:trPr>
          <w:trHeight w:val="295"/>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B92F52">
            <w:pPr>
              <w:ind w:left="293"/>
              <w:contextualSpacing/>
              <w:rPr>
                <w:rFonts w:cs="Times New Roman"/>
                <w:sz w:val="20"/>
                <w:szCs w:val="20"/>
              </w:rPr>
            </w:pPr>
            <w:r w:rsidRPr="00F7263B">
              <w:rPr>
                <w:rFonts w:cs="Times New Roman"/>
                <w:sz w:val="20"/>
                <w:szCs w:val="20"/>
              </w:rPr>
              <w:t>Hawassa</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AB72CB">
            <w:pPr>
              <w:contextualSpacing/>
              <w:jc w:val="center"/>
              <w:rPr>
                <w:rFonts w:cs="Times New Roman"/>
                <w:sz w:val="20"/>
                <w:szCs w:val="20"/>
              </w:rPr>
            </w:pPr>
            <w:r w:rsidRPr="00F7263B">
              <w:rPr>
                <w:rFonts w:cs="Times New Roman"/>
                <w:sz w:val="20"/>
                <w:szCs w:val="20"/>
              </w:rPr>
              <w:t>320</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B92F52" w:rsidP="00AB72CB">
            <w:pPr>
              <w:contextualSpacing/>
              <w:jc w:val="center"/>
              <w:rPr>
                <w:rFonts w:cs="Times New Roman"/>
                <w:sz w:val="20"/>
                <w:szCs w:val="20"/>
              </w:rPr>
            </w:pPr>
            <w:r w:rsidRPr="00F7263B">
              <w:rPr>
                <w:rFonts w:cs="Times New Roman"/>
                <w:sz w:val="20"/>
                <w:szCs w:val="20"/>
              </w:rPr>
              <w:t>1,090</w:t>
            </w:r>
          </w:p>
        </w:tc>
      </w:tr>
      <w:tr w:rsidR="00DA5FCC" w:rsidRPr="00F7263B">
        <w:trPr>
          <w:trHeight w:val="293"/>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B92F52">
            <w:pPr>
              <w:ind w:left="293"/>
              <w:contextualSpacing/>
              <w:rPr>
                <w:rFonts w:cs="Times New Roman"/>
                <w:sz w:val="20"/>
                <w:szCs w:val="20"/>
              </w:rPr>
            </w:pPr>
            <w:r w:rsidRPr="00F7263B">
              <w:rPr>
                <w:rFonts w:cs="Times New Roman"/>
                <w:sz w:val="20"/>
                <w:szCs w:val="20"/>
              </w:rPr>
              <w:t>Mekelle</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AB72CB">
            <w:pPr>
              <w:contextualSpacing/>
              <w:jc w:val="center"/>
              <w:rPr>
                <w:rFonts w:cs="Times New Roman"/>
                <w:sz w:val="20"/>
                <w:szCs w:val="20"/>
              </w:rPr>
            </w:pPr>
            <w:r w:rsidRPr="00F7263B">
              <w:rPr>
                <w:rFonts w:cs="Times New Roman"/>
                <w:sz w:val="20"/>
                <w:szCs w:val="20"/>
              </w:rPr>
              <w:t>300</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B92F52" w:rsidP="00AB72CB">
            <w:pPr>
              <w:contextualSpacing/>
              <w:jc w:val="center"/>
              <w:rPr>
                <w:rFonts w:cs="Times New Roman"/>
                <w:sz w:val="20"/>
                <w:szCs w:val="20"/>
              </w:rPr>
            </w:pPr>
            <w:r w:rsidRPr="00F7263B">
              <w:rPr>
                <w:rFonts w:cs="Times New Roman"/>
                <w:sz w:val="20"/>
                <w:szCs w:val="20"/>
              </w:rPr>
              <w:t>1,000</w:t>
            </w:r>
          </w:p>
        </w:tc>
      </w:tr>
      <w:tr w:rsidR="00DA5FCC" w:rsidRPr="00F7263B">
        <w:trPr>
          <w:trHeight w:val="295"/>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B92F52">
            <w:pPr>
              <w:ind w:left="293"/>
              <w:contextualSpacing/>
              <w:rPr>
                <w:rFonts w:cs="Times New Roman"/>
                <w:sz w:val="20"/>
                <w:szCs w:val="20"/>
              </w:rPr>
            </w:pPr>
            <w:r w:rsidRPr="00F7263B">
              <w:rPr>
                <w:rFonts w:cs="Times New Roman"/>
                <w:sz w:val="20"/>
                <w:szCs w:val="20"/>
              </w:rPr>
              <w:t>Axum</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AB72CB">
            <w:pPr>
              <w:contextualSpacing/>
              <w:jc w:val="center"/>
              <w:rPr>
                <w:rFonts w:cs="Times New Roman"/>
                <w:sz w:val="20"/>
                <w:szCs w:val="20"/>
              </w:rPr>
            </w:pPr>
            <w:r w:rsidRPr="00F7263B">
              <w:rPr>
                <w:rFonts w:cs="Times New Roman"/>
                <w:sz w:val="20"/>
                <w:szCs w:val="20"/>
              </w:rPr>
              <w:t>320</w:t>
            </w:r>
          </w:p>
        </w:tc>
        <w:tc>
          <w:tcPr>
            <w:tcW w:w="346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DA5FCC" w:rsidRPr="00F7263B" w:rsidRDefault="00DA5FCC" w:rsidP="00B92F52">
            <w:pPr>
              <w:contextualSpacing/>
              <w:jc w:val="center"/>
              <w:rPr>
                <w:rFonts w:cs="Times New Roman"/>
                <w:sz w:val="20"/>
                <w:szCs w:val="20"/>
              </w:rPr>
            </w:pPr>
            <w:r w:rsidRPr="00F7263B">
              <w:rPr>
                <w:rFonts w:cs="Times New Roman"/>
                <w:sz w:val="20"/>
                <w:szCs w:val="20"/>
              </w:rPr>
              <w:t>1,</w:t>
            </w:r>
            <w:r w:rsidR="00B92F52" w:rsidRPr="00F7263B">
              <w:rPr>
                <w:rFonts w:cs="Times New Roman"/>
                <w:sz w:val="20"/>
                <w:szCs w:val="20"/>
              </w:rPr>
              <w:t>300</w:t>
            </w:r>
          </w:p>
        </w:tc>
      </w:tr>
    </w:tbl>
    <w:p w:rsidR="00AB72CB" w:rsidRPr="00F7263B" w:rsidRDefault="00DA5FCC" w:rsidP="00895DC3">
      <w:pPr>
        <w:pStyle w:val="ListParagraph"/>
        <w:autoSpaceDE w:val="0"/>
        <w:autoSpaceDN w:val="0"/>
        <w:adjustRightInd w:val="0"/>
        <w:spacing w:before="60"/>
        <w:ind w:left="0"/>
        <w:jc w:val="both"/>
        <w:rPr>
          <w:rFonts w:cs="Times New Roman"/>
          <w:sz w:val="20"/>
          <w:szCs w:val="20"/>
        </w:rPr>
      </w:pPr>
      <w:r w:rsidRPr="00F7263B">
        <w:rPr>
          <w:rFonts w:cs="Times New Roman"/>
          <w:i/>
          <w:sz w:val="20"/>
          <w:szCs w:val="20"/>
        </w:rPr>
        <w:t>Source:</w:t>
      </w:r>
      <w:r w:rsidR="009E0CDE" w:rsidRPr="00F7263B">
        <w:rPr>
          <w:rFonts w:cs="Times New Roman"/>
          <w:sz w:val="20"/>
          <w:szCs w:val="20"/>
        </w:rPr>
        <w:t xml:space="preserve">ARPEDS CONSULT, </w:t>
      </w:r>
      <w:r w:rsidRPr="00F7263B">
        <w:rPr>
          <w:rFonts w:cs="Times New Roman"/>
          <w:sz w:val="20"/>
          <w:szCs w:val="20"/>
        </w:rPr>
        <w:t>2011</w:t>
      </w:r>
      <w:r w:rsidR="009E0CDE" w:rsidRPr="00F7263B">
        <w:rPr>
          <w:rFonts w:cs="Times New Roman"/>
          <w:sz w:val="20"/>
          <w:szCs w:val="20"/>
        </w:rPr>
        <w:t>, “Assessment of the quality and value for money of investments undertaken under ULGDP.”</w:t>
      </w:r>
    </w:p>
    <w:p w:rsidR="009E0CDE" w:rsidRPr="00F7263B" w:rsidRDefault="009E0CDE" w:rsidP="00B74452">
      <w:pPr>
        <w:pStyle w:val="ListParagraph"/>
        <w:autoSpaceDE w:val="0"/>
        <w:autoSpaceDN w:val="0"/>
        <w:adjustRightInd w:val="0"/>
        <w:ind w:left="0"/>
        <w:jc w:val="both"/>
        <w:rPr>
          <w:rFonts w:cs="Times New Roman"/>
          <w:sz w:val="20"/>
          <w:szCs w:val="20"/>
        </w:rPr>
      </w:pPr>
    </w:p>
    <w:p w:rsidR="00C4244D" w:rsidRPr="00F7263B" w:rsidRDefault="00C4244D" w:rsidP="00C4244D">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A specific economic analysis, with </w:t>
      </w:r>
      <w:r w:rsidR="00F36E9B" w:rsidRPr="00F7263B">
        <w:rPr>
          <w:rFonts w:cs="Times New Roman"/>
          <w:sz w:val="20"/>
          <w:szCs w:val="20"/>
        </w:rPr>
        <w:t xml:space="preserve">a </w:t>
      </w:r>
      <w:r w:rsidRPr="00F7263B">
        <w:rPr>
          <w:rFonts w:cs="Times New Roman"/>
          <w:sz w:val="20"/>
          <w:szCs w:val="20"/>
        </w:rPr>
        <w:t xml:space="preserve">cost benefit analysis, has been undertaken for the </w:t>
      </w:r>
      <w:r w:rsidR="00F36E9B" w:rsidRPr="00F7263B">
        <w:rPr>
          <w:rFonts w:cs="Times New Roman"/>
          <w:sz w:val="20"/>
          <w:szCs w:val="20"/>
        </w:rPr>
        <w:t>investments in</w:t>
      </w:r>
      <w:r w:rsidRPr="00F7263B">
        <w:rPr>
          <w:rFonts w:cs="Times New Roman"/>
          <w:sz w:val="20"/>
          <w:szCs w:val="20"/>
        </w:rPr>
        <w:t>cobblestone</w:t>
      </w:r>
      <w:r w:rsidR="00F36E9B" w:rsidRPr="00F7263B">
        <w:rPr>
          <w:rFonts w:cs="Times New Roman"/>
          <w:sz w:val="20"/>
          <w:szCs w:val="20"/>
        </w:rPr>
        <w:t xml:space="preserve"> roads</w:t>
      </w:r>
      <w:r w:rsidRPr="00F7263B">
        <w:rPr>
          <w:rFonts w:cs="Times New Roman"/>
          <w:sz w:val="20"/>
          <w:szCs w:val="20"/>
        </w:rPr>
        <w:t xml:space="preserve">. With and without project scenarios have been defined in order to identify the net benefits of the </w:t>
      </w:r>
      <w:r w:rsidRPr="00F7263B">
        <w:rPr>
          <w:rFonts w:cs="Times New Roman"/>
          <w:sz w:val="20"/>
          <w:szCs w:val="20"/>
        </w:rPr>
        <w:lastRenderedPageBreak/>
        <w:t>investment, with cash flow discounted at 10.23 percent (a discount rate developed by MoFED as a proxy for the opportunity cost of capital in Ethiopia, which is consistent with the 10</w:t>
      </w:r>
      <w:r w:rsidR="00F36E9B" w:rsidRPr="00F7263B">
        <w:rPr>
          <w:rFonts w:cs="Times New Roman"/>
          <w:sz w:val="20"/>
          <w:szCs w:val="20"/>
        </w:rPr>
        <w:t>–</w:t>
      </w:r>
      <w:r w:rsidRPr="00F7263B">
        <w:rPr>
          <w:rFonts w:cs="Times New Roman"/>
          <w:sz w:val="20"/>
          <w:szCs w:val="20"/>
        </w:rPr>
        <w:t>12 percent notional figure used for evaluating Bank financed projects). The analysis considers the stream of costs and benefits over a 20 year period (2015</w:t>
      </w:r>
      <w:r w:rsidR="00F36E9B" w:rsidRPr="00F7263B">
        <w:rPr>
          <w:rFonts w:cs="Times New Roman"/>
          <w:sz w:val="20"/>
          <w:szCs w:val="20"/>
        </w:rPr>
        <w:t>–</w:t>
      </w:r>
      <w:r w:rsidRPr="00F7263B">
        <w:rPr>
          <w:rFonts w:cs="Times New Roman"/>
          <w:sz w:val="20"/>
          <w:szCs w:val="20"/>
        </w:rPr>
        <w:t xml:space="preserve">2039). There are several other potential benefits that are not factored into the cost-benefit analysis because of lack of reliable data. Therefore, the estimated benefits from the cobblestone investments can be considered conservative, and it can reasonably be assumed that the actual benefits will be much higher. Results of the project economic viability as measured by the </w:t>
      </w:r>
      <w:r w:rsidR="00F36E9B" w:rsidRPr="00F7263B">
        <w:rPr>
          <w:rFonts w:cs="Times New Roman"/>
          <w:sz w:val="20"/>
          <w:szCs w:val="20"/>
        </w:rPr>
        <w:t xml:space="preserve">net present value(NPV) </w:t>
      </w:r>
      <w:r w:rsidRPr="00F7263B">
        <w:rPr>
          <w:rFonts w:cs="Times New Roman"/>
          <w:sz w:val="20"/>
          <w:szCs w:val="20"/>
        </w:rPr>
        <w:t xml:space="preserve">and </w:t>
      </w:r>
      <w:r w:rsidR="00F36E9B" w:rsidRPr="00F7263B">
        <w:rPr>
          <w:rFonts w:cs="Times New Roman"/>
          <w:sz w:val="20"/>
          <w:szCs w:val="20"/>
        </w:rPr>
        <w:t>the economic rate of return (</w:t>
      </w:r>
      <w:r w:rsidRPr="00F7263B">
        <w:rPr>
          <w:rFonts w:cs="Times New Roman"/>
          <w:sz w:val="20"/>
          <w:szCs w:val="20"/>
        </w:rPr>
        <w:t>ERR</w:t>
      </w:r>
      <w:r w:rsidR="00F36E9B" w:rsidRPr="00F7263B">
        <w:rPr>
          <w:rFonts w:cs="Times New Roman"/>
          <w:sz w:val="20"/>
          <w:szCs w:val="20"/>
        </w:rPr>
        <w:t>)</w:t>
      </w:r>
      <w:r w:rsidRPr="00F7263B">
        <w:rPr>
          <w:rFonts w:cs="Times New Roman"/>
          <w:sz w:val="20"/>
          <w:szCs w:val="20"/>
        </w:rPr>
        <w:t xml:space="preserve"> and its sensitivity analysis to changes in cost and benefit streams are summarized below</w:t>
      </w:r>
      <w:r w:rsidR="00F36E9B" w:rsidRPr="00F7263B">
        <w:rPr>
          <w:rFonts w:cs="Times New Roman"/>
          <w:sz w:val="20"/>
          <w:szCs w:val="20"/>
        </w:rPr>
        <w:t xml:space="preserve">. </w:t>
      </w:r>
    </w:p>
    <w:p w:rsidR="00F36E9B" w:rsidRPr="00F7263B" w:rsidRDefault="00F36E9B" w:rsidP="00254260">
      <w:pPr>
        <w:pStyle w:val="ListParagraph"/>
        <w:autoSpaceDE w:val="0"/>
        <w:autoSpaceDN w:val="0"/>
        <w:adjustRightInd w:val="0"/>
        <w:ind w:left="0"/>
        <w:jc w:val="both"/>
        <w:rPr>
          <w:rFonts w:cs="Times New Roman"/>
          <w:sz w:val="20"/>
          <w:szCs w:val="20"/>
        </w:rPr>
      </w:pPr>
    </w:p>
    <w:p w:rsidR="00C4244D" w:rsidRPr="00F7263B" w:rsidRDefault="00F36E9B" w:rsidP="00254260">
      <w:pPr>
        <w:pStyle w:val="Caption"/>
        <w:spacing w:after="60"/>
      </w:pPr>
      <w:bookmarkStart w:id="28" w:name="_Toc380087109"/>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8</w:t>
      </w:r>
      <w:r w:rsidR="00B845BE" w:rsidRPr="00F7263B">
        <w:fldChar w:fldCharType="end"/>
      </w:r>
      <w:r w:rsidRPr="00F7263B">
        <w:t xml:space="preserve">: </w:t>
      </w:r>
      <w:r w:rsidR="00C4244D" w:rsidRPr="00F7263B">
        <w:t xml:space="preserve">Summary of </w:t>
      </w:r>
      <w:r w:rsidRPr="00F7263B">
        <w:t>the e</w:t>
      </w:r>
      <w:r w:rsidR="00C4244D" w:rsidRPr="00F7263B">
        <w:t xml:space="preserve">conomic </w:t>
      </w:r>
      <w:r w:rsidRPr="00F7263B">
        <w:t>a</w:t>
      </w:r>
      <w:r w:rsidR="00C4244D" w:rsidRPr="00F7263B">
        <w:t>nalysis</w:t>
      </w:r>
      <w:r w:rsidRPr="00F7263B">
        <w:t xml:space="preserve"> of investments in cobblestone roads</w:t>
      </w:r>
      <w:bookmarkEnd w:id="28"/>
    </w:p>
    <w:tbl>
      <w:tblPr>
        <w:tblW w:w="4905" w:type="pct"/>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2651"/>
        <w:gridCol w:w="2471"/>
      </w:tblGrid>
      <w:tr w:rsidR="00C4244D" w:rsidRPr="00F7263B" w:rsidTr="00254260">
        <w:trPr>
          <w:trHeight w:val="20"/>
          <w:tblHeader/>
          <w:jc w:val="center"/>
        </w:trPr>
        <w:tc>
          <w:tcPr>
            <w:tcW w:w="2274" w:type="pct"/>
            <w:shd w:val="clear" w:color="auto" w:fill="auto"/>
            <w:noWrap/>
            <w:vAlign w:val="center"/>
          </w:tcPr>
          <w:p w:rsidR="00C4244D" w:rsidRPr="00F7263B" w:rsidRDefault="00C4244D" w:rsidP="004119C0">
            <w:pPr>
              <w:contextualSpacing/>
              <w:rPr>
                <w:rFonts w:cs="Times New Roman"/>
                <w:b/>
                <w:sz w:val="20"/>
                <w:szCs w:val="20"/>
              </w:rPr>
            </w:pPr>
            <w:r w:rsidRPr="00F7263B">
              <w:rPr>
                <w:rFonts w:cs="Times New Roman"/>
                <w:b/>
                <w:sz w:val="20"/>
                <w:szCs w:val="20"/>
              </w:rPr>
              <w:t>Description</w:t>
            </w:r>
          </w:p>
        </w:tc>
        <w:tc>
          <w:tcPr>
            <w:tcW w:w="1411" w:type="pct"/>
            <w:shd w:val="clear" w:color="auto" w:fill="auto"/>
            <w:noWrap/>
            <w:vAlign w:val="center"/>
          </w:tcPr>
          <w:p w:rsidR="00C4244D" w:rsidRPr="00F7263B" w:rsidRDefault="00C4244D" w:rsidP="003F32C6">
            <w:pPr>
              <w:contextualSpacing/>
              <w:jc w:val="center"/>
              <w:rPr>
                <w:rFonts w:cs="Times New Roman"/>
                <w:b/>
                <w:sz w:val="20"/>
                <w:szCs w:val="20"/>
              </w:rPr>
            </w:pPr>
            <w:r w:rsidRPr="00F7263B">
              <w:rPr>
                <w:rFonts w:cs="Times New Roman"/>
                <w:b/>
                <w:sz w:val="20"/>
                <w:szCs w:val="20"/>
              </w:rPr>
              <w:t>NPV US$</w:t>
            </w:r>
            <w:r w:rsidR="00A2314D">
              <w:rPr>
                <w:rFonts w:cs="Times New Roman"/>
                <w:b/>
                <w:sz w:val="20"/>
                <w:szCs w:val="20"/>
              </w:rPr>
              <w:t xml:space="preserve"> </w:t>
            </w:r>
            <w:r w:rsidR="00F62C60" w:rsidRPr="00F7263B">
              <w:rPr>
                <w:rFonts w:cs="Times New Roman"/>
                <w:b/>
                <w:sz w:val="20"/>
                <w:szCs w:val="20"/>
              </w:rPr>
              <w:t>million</w:t>
            </w:r>
          </w:p>
        </w:tc>
        <w:tc>
          <w:tcPr>
            <w:tcW w:w="1315" w:type="pct"/>
            <w:shd w:val="clear" w:color="auto" w:fill="auto"/>
            <w:noWrap/>
            <w:vAlign w:val="center"/>
          </w:tcPr>
          <w:p w:rsidR="00C4244D" w:rsidRPr="00F7263B" w:rsidRDefault="00C4244D" w:rsidP="004119C0">
            <w:pPr>
              <w:contextualSpacing/>
              <w:jc w:val="center"/>
              <w:rPr>
                <w:rFonts w:cs="Times New Roman"/>
                <w:b/>
                <w:sz w:val="20"/>
                <w:szCs w:val="20"/>
              </w:rPr>
            </w:pPr>
            <w:r w:rsidRPr="00F7263B">
              <w:rPr>
                <w:rFonts w:cs="Times New Roman"/>
                <w:b/>
                <w:sz w:val="20"/>
                <w:szCs w:val="20"/>
              </w:rPr>
              <w:t>ERR (%)</w:t>
            </w:r>
          </w:p>
        </w:tc>
      </w:tr>
      <w:tr w:rsidR="00C4244D" w:rsidRPr="00F7263B" w:rsidTr="00254260">
        <w:trPr>
          <w:trHeight w:val="20"/>
          <w:jc w:val="center"/>
        </w:trPr>
        <w:tc>
          <w:tcPr>
            <w:tcW w:w="2274" w:type="pct"/>
            <w:shd w:val="clear" w:color="auto" w:fill="auto"/>
            <w:noWrap/>
            <w:vAlign w:val="center"/>
          </w:tcPr>
          <w:p w:rsidR="00C4244D" w:rsidRPr="00F7263B" w:rsidRDefault="00C4244D" w:rsidP="004119C0">
            <w:pPr>
              <w:contextualSpacing/>
              <w:rPr>
                <w:rFonts w:cs="Times New Roman"/>
                <w:sz w:val="20"/>
                <w:szCs w:val="20"/>
              </w:rPr>
            </w:pPr>
            <w:r w:rsidRPr="00F7263B">
              <w:rPr>
                <w:rFonts w:cs="Times New Roman"/>
                <w:sz w:val="20"/>
                <w:szCs w:val="20"/>
              </w:rPr>
              <w:t>Base case</w:t>
            </w:r>
          </w:p>
        </w:tc>
        <w:tc>
          <w:tcPr>
            <w:tcW w:w="1411" w:type="pct"/>
            <w:shd w:val="clear" w:color="auto" w:fill="auto"/>
            <w:noWrap/>
            <w:vAlign w:val="center"/>
          </w:tcPr>
          <w:p w:rsidR="00C4244D" w:rsidRPr="00F7263B" w:rsidRDefault="00C4244D" w:rsidP="004119C0">
            <w:pPr>
              <w:contextualSpacing/>
              <w:jc w:val="center"/>
              <w:rPr>
                <w:rFonts w:cs="Times New Roman"/>
                <w:b/>
                <w:bCs/>
                <w:color w:val="000000"/>
                <w:sz w:val="20"/>
                <w:szCs w:val="20"/>
              </w:rPr>
            </w:pPr>
            <w:r w:rsidRPr="00F7263B">
              <w:rPr>
                <w:rFonts w:cs="Times New Roman"/>
                <w:b/>
                <w:bCs/>
                <w:color w:val="000000"/>
                <w:sz w:val="20"/>
                <w:szCs w:val="20"/>
              </w:rPr>
              <w:t>98.7</w:t>
            </w:r>
          </w:p>
        </w:tc>
        <w:tc>
          <w:tcPr>
            <w:tcW w:w="1315" w:type="pct"/>
            <w:shd w:val="clear" w:color="auto" w:fill="auto"/>
            <w:noWrap/>
            <w:vAlign w:val="center"/>
          </w:tcPr>
          <w:p w:rsidR="00C4244D" w:rsidRPr="00F7263B" w:rsidRDefault="00C4244D" w:rsidP="004119C0">
            <w:pPr>
              <w:contextualSpacing/>
              <w:jc w:val="center"/>
              <w:rPr>
                <w:rFonts w:cs="Times New Roman"/>
                <w:b/>
                <w:bCs/>
                <w:color w:val="000000"/>
                <w:sz w:val="20"/>
                <w:szCs w:val="20"/>
              </w:rPr>
            </w:pPr>
            <w:r w:rsidRPr="00F7263B">
              <w:rPr>
                <w:rFonts w:cs="Times New Roman"/>
                <w:b/>
                <w:bCs/>
                <w:color w:val="000000"/>
                <w:sz w:val="20"/>
                <w:szCs w:val="20"/>
              </w:rPr>
              <w:t>20%</w:t>
            </w:r>
          </w:p>
        </w:tc>
      </w:tr>
      <w:tr w:rsidR="00C4244D" w:rsidRPr="00F7263B" w:rsidTr="00254260">
        <w:trPr>
          <w:trHeight w:val="20"/>
          <w:jc w:val="center"/>
        </w:trPr>
        <w:tc>
          <w:tcPr>
            <w:tcW w:w="2274" w:type="pct"/>
            <w:shd w:val="clear" w:color="auto" w:fill="auto"/>
            <w:noWrap/>
            <w:vAlign w:val="center"/>
          </w:tcPr>
          <w:p w:rsidR="00C4244D" w:rsidRPr="00F7263B" w:rsidRDefault="00C4244D" w:rsidP="0068255C">
            <w:pPr>
              <w:contextualSpacing/>
              <w:rPr>
                <w:rFonts w:cs="Times New Roman"/>
                <w:sz w:val="20"/>
                <w:szCs w:val="20"/>
              </w:rPr>
            </w:pPr>
            <w:r w:rsidRPr="00F7263B">
              <w:rPr>
                <w:rFonts w:cs="Times New Roman"/>
                <w:sz w:val="20"/>
                <w:szCs w:val="20"/>
              </w:rPr>
              <w:t>20</w:t>
            </w:r>
            <w:r w:rsidR="0068255C" w:rsidRPr="00F7263B">
              <w:rPr>
                <w:rFonts w:cs="Times New Roman"/>
                <w:sz w:val="20"/>
                <w:szCs w:val="20"/>
              </w:rPr>
              <w:t xml:space="preserve"> percent</w:t>
            </w:r>
            <w:r w:rsidRPr="00F7263B">
              <w:rPr>
                <w:rFonts w:cs="Times New Roman"/>
                <w:sz w:val="20"/>
                <w:szCs w:val="20"/>
              </w:rPr>
              <w:t xml:space="preserve"> cost increase</w:t>
            </w:r>
          </w:p>
        </w:tc>
        <w:tc>
          <w:tcPr>
            <w:tcW w:w="1411" w:type="pct"/>
            <w:shd w:val="clear" w:color="auto" w:fill="auto"/>
            <w:noWrap/>
            <w:vAlign w:val="center"/>
          </w:tcPr>
          <w:p w:rsidR="00C4244D" w:rsidRPr="00F7263B" w:rsidRDefault="00C4244D" w:rsidP="004119C0">
            <w:pPr>
              <w:contextualSpacing/>
              <w:jc w:val="center"/>
              <w:rPr>
                <w:rFonts w:cs="Times New Roman"/>
                <w:sz w:val="20"/>
                <w:szCs w:val="20"/>
              </w:rPr>
            </w:pPr>
            <w:r w:rsidRPr="00F7263B">
              <w:rPr>
                <w:rFonts w:cs="Times New Roman"/>
                <w:sz w:val="20"/>
                <w:szCs w:val="20"/>
              </w:rPr>
              <w:t>72.7</w:t>
            </w:r>
          </w:p>
        </w:tc>
        <w:tc>
          <w:tcPr>
            <w:tcW w:w="1315" w:type="pct"/>
            <w:shd w:val="clear" w:color="auto" w:fill="auto"/>
            <w:noWrap/>
            <w:vAlign w:val="center"/>
          </w:tcPr>
          <w:p w:rsidR="00C4244D" w:rsidRPr="00F7263B" w:rsidRDefault="00C4244D" w:rsidP="004119C0">
            <w:pPr>
              <w:contextualSpacing/>
              <w:jc w:val="center"/>
              <w:rPr>
                <w:rFonts w:cs="Times New Roman"/>
                <w:sz w:val="20"/>
                <w:szCs w:val="20"/>
              </w:rPr>
            </w:pPr>
            <w:r w:rsidRPr="00F7263B">
              <w:rPr>
                <w:rFonts w:cs="Times New Roman"/>
                <w:sz w:val="20"/>
                <w:szCs w:val="20"/>
              </w:rPr>
              <w:t>16%</w:t>
            </w:r>
          </w:p>
        </w:tc>
      </w:tr>
      <w:tr w:rsidR="00C4244D" w:rsidRPr="00F7263B" w:rsidTr="00254260">
        <w:trPr>
          <w:trHeight w:val="20"/>
          <w:jc w:val="center"/>
        </w:trPr>
        <w:tc>
          <w:tcPr>
            <w:tcW w:w="2274" w:type="pct"/>
            <w:shd w:val="clear" w:color="auto" w:fill="auto"/>
            <w:noWrap/>
            <w:vAlign w:val="center"/>
          </w:tcPr>
          <w:p w:rsidR="00C4244D" w:rsidRPr="00F7263B" w:rsidRDefault="00C4244D" w:rsidP="0068255C">
            <w:pPr>
              <w:contextualSpacing/>
              <w:rPr>
                <w:rFonts w:cs="Times New Roman"/>
                <w:sz w:val="20"/>
                <w:szCs w:val="20"/>
              </w:rPr>
            </w:pPr>
            <w:r w:rsidRPr="00F7263B">
              <w:rPr>
                <w:rFonts w:cs="Times New Roman"/>
                <w:sz w:val="20"/>
                <w:szCs w:val="20"/>
              </w:rPr>
              <w:t>20</w:t>
            </w:r>
            <w:r w:rsidR="0068255C" w:rsidRPr="00F7263B">
              <w:rPr>
                <w:rFonts w:cs="Times New Roman"/>
                <w:sz w:val="20"/>
                <w:szCs w:val="20"/>
              </w:rPr>
              <w:t xml:space="preserve"> percent</w:t>
            </w:r>
            <w:r w:rsidRPr="00F7263B">
              <w:rPr>
                <w:rFonts w:cs="Times New Roman"/>
                <w:sz w:val="20"/>
                <w:szCs w:val="20"/>
              </w:rPr>
              <w:t xml:space="preserve"> revenue reduction</w:t>
            </w:r>
          </w:p>
        </w:tc>
        <w:tc>
          <w:tcPr>
            <w:tcW w:w="1411" w:type="pct"/>
            <w:shd w:val="clear" w:color="auto" w:fill="auto"/>
            <w:noWrap/>
            <w:vAlign w:val="center"/>
          </w:tcPr>
          <w:p w:rsidR="00C4244D" w:rsidRPr="00F7263B" w:rsidRDefault="00C4244D" w:rsidP="004119C0">
            <w:pPr>
              <w:contextualSpacing/>
              <w:jc w:val="center"/>
              <w:rPr>
                <w:rFonts w:cs="Times New Roman"/>
                <w:sz w:val="20"/>
                <w:szCs w:val="20"/>
              </w:rPr>
            </w:pPr>
            <w:r w:rsidRPr="00F7263B">
              <w:rPr>
                <w:rFonts w:cs="Times New Roman"/>
                <w:sz w:val="20"/>
                <w:szCs w:val="20"/>
              </w:rPr>
              <w:t>52.9</w:t>
            </w:r>
          </w:p>
        </w:tc>
        <w:tc>
          <w:tcPr>
            <w:tcW w:w="1315" w:type="pct"/>
            <w:shd w:val="clear" w:color="auto" w:fill="auto"/>
            <w:noWrap/>
            <w:vAlign w:val="center"/>
          </w:tcPr>
          <w:p w:rsidR="00C4244D" w:rsidRPr="00F7263B" w:rsidRDefault="00C4244D" w:rsidP="004119C0">
            <w:pPr>
              <w:contextualSpacing/>
              <w:jc w:val="center"/>
              <w:rPr>
                <w:rFonts w:cs="Times New Roman"/>
                <w:sz w:val="20"/>
                <w:szCs w:val="20"/>
              </w:rPr>
            </w:pPr>
            <w:r w:rsidRPr="00F7263B">
              <w:rPr>
                <w:rFonts w:cs="Times New Roman"/>
                <w:sz w:val="20"/>
                <w:szCs w:val="20"/>
              </w:rPr>
              <w:t>15%</w:t>
            </w:r>
          </w:p>
        </w:tc>
      </w:tr>
    </w:tbl>
    <w:p w:rsidR="00C4244D" w:rsidRPr="00F7263B" w:rsidRDefault="00C4244D" w:rsidP="00CF049D">
      <w:pPr>
        <w:pStyle w:val="ListParagraph"/>
        <w:autoSpaceDE w:val="0"/>
        <w:autoSpaceDN w:val="0"/>
        <w:adjustRightInd w:val="0"/>
        <w:ind w:left="0"/>
        <w:jc w:val="both"/>
        <w:rPr>
          <w:rFonts w:cs="Times New Roman"/>
          <w:sz w:val="20"/>
          <w:szCs w:val="20"/>
        </w:rPr>
      </w:pPr>
    </w:p>
    <w:p w:rsidR="00C4244D" w:rsidRPr="00F7263B" w:rsidRDefault="00C4244D"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The NPV amounting to US$98.7 million and ERR of 20 </w:t>
      </w:r>
      <w:r w:rsidR="00991003" w:rsidRPr="00F7263B">
        <w:rPr>
          <w:rFonts w:cs="Times New Roman"/>
          <w:sz w:val="20"/>
          <w:szCs w:val="20"/>
        </w:rPr>
        <w:t xml:space="preserve">percent </w:t>
      </w:r>
      <w:r w:rsidRPr="00F7263B">
        <w:rPr>
          <w:rFonts w:cs="Times New Roman"/>
          <w:sz w:val="20"/>
          <w:szCs w:val="20"/>
        </w:rPr>
        <w:t>indicates that cobblestone investments are economically viable, even without considering other non-quantifiable benefits. The economic impacts of the project for all economic agents, including the transport users as well as the residents of the Program cities is significant. An analysis of the project sensitivity test results at 20 percent increase in cost and 20 percent reduction in benefits shows that the rate of return and the net present value remain at acceptable levels. The internal rate of return remains higher than the 10 percent opportunity cost of capital in all cases and NPVs are found to be positive, thus confirming the viability of the project under various scenarios.</w:t>
      </w:r>
    </w:p>
    <w:p w:rsidR="00C4244D" w:rsidRPr="00F7263B" w:rsidRDefault="00C4244D" w:rsidP="00CF049D">
      <w:pPr>
        <w:pStyle w:val="ListParagraph"/>
        <w:autoSpaceDE w:val="0"/>
        <w:autoSpaceDN w:val="0"/>
        <w:adjustRightInd w:val="0"/>
        <w:ind w:left="0"/>
        <w:jc w:val="both"/>
        <w:rPr>
          <w:rFonts w:cs="Times New Roman"/>
          <w:sz w:val="20"/>
          <w:szCs w:val="20"/>
        </w:rPr>
      </w:pPr>
    </w:p>
    <w:p w:rsidR="00AB72CB" w:rsidRPr="00F7263B" w:rsidRDefault="00DA5FCC"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 xml:space="preserve">The exact composition of investments which will be undertaken across Program ULGs are not known </w:t>
      </w:r>
      <w:r w:rsidR="00B92F52" w:rsidRPr="00F7263B">
        <w:rPr>
          <w:rFonts w:cs="Times New Roman"/>
          <w:sz w:val="20"/>
          <w:szCs w:val="20"/>
        </w:rPr>
        <w:t>at this time,</w:t>
      </w:r>
      <w:r w:rsidRPr="00F7263B">
        <w:rPr>
          <w:rFonts w:cs="Times New Roman"/>
          <w:sz w:val="20"/>
          <w:szCs w:val="20"/>
        </w:rPr>
        <w:t xml:space="preserve"> since they will be determined</w:t>
      </w:r>
      <w:r w:rsidR="00A2314D">
        <w:rPr>
          <w:rFonts w:cs="Times New Roman"/>
          <w:sz w:val="20"/>
          <w:szCs w:val="20"/>
        </w:rPr>
        <w:t xml:space="preserve"> </w:t>
      </w:r>
      <w:r w:rsidRPr="00F7263B">
        <w:rPr>
          <w:rFonts w:cs="Times New Roman"/>
          <w:sz w:val="20"/>
          <w:szCs w:val="20"/>
        </w:rPr>
        <w:t>through a participatory planning process</w:t>
      </w:r>
      <w:r w:rsidR="00B92F52" w:rsidRPr="00F7263B">
        <w:rPr>
          <w:rFonts w:cs="Times New Roman"/>
          <w:sz w:val="20"/>
          <w:szCs w:val="20"/>
        </w:rPr>
        <w:t xml:space="preserve">.  </w:t>
      </w:r>
      <w:r w:rsidRPr="00F7263B">
        <w:rPr>
          <w:rFonts w:cs="Times New Roman"/>
          <w:sz w:val="20"/>
          <w:szCs w:val="20"/>
        </w:rPr>
        <w:t>The experience of the current program and other similar interventions indicate several potential benefits, which will be quantifiable after conducting post-construction evaluation</w:t>
      </w:r>
      <w:r w:rsidR="00D96672" w:rsidRPr="00F7263B">
        <w:rPr>
          <w:rFonts w:cs="Times New Roman"/>
          <w:sz w:val="20"/>
          <w:szCs w:val="20"/>
        </w:rPr>
        <w:t xml:space="preserve"> and the value for money audits</w:t>
      </w:r>
      <w:r w:rsidR="003579AA" w:rsidRPr="00F7263B">
        <w:rPr>
          <w:rFonts w:cs="Times New Roman"/>
          <w:sz w:val="20"/>
          <w:szCs w:val="20"/>
        </w:rPr>
        <w:t>,</w:t>
      </w:r>
      <w:r w:rsidR="00D96672" w:rsidRPr="00F7263B">
        <w:rPr>
          <w:rFonts w:cs="Times New Roman"/>
          <w:sz w:val="20"/>
          <w:szCs w:val="20"/>
        </w:rPr>
        <w:t xml:space="preserve"> which will start from year 3 of the Program</w:t>
      </w:r>
      <w:r w:rsidR="00B92F52" w:rsidRPr="00F7263B">
        <w:rPr>
          <w:rFonts w:cs="Times New Roman"/>
          <w:sz w:val="20"/>
          <w:szCs w:val="20"/>
        </w:rPr>
        <w:t xml:space="preserve">.  </w:t>
      </w:r>
      <w:r w:rsidRPr="00F7263B">
        <w:rPr>
          <w:rFonts w:cs="Times New Roman"/>
          <w:sz w:val="20"/>
          <w:szCs w:val="20"/>
        </w:rPr>
        <w:t>At this stage of design, baseline data and appropriate assumptions on the stream of benefits and costs over the life of the Program can be made to estimate quantifiable benefits for sample category of sub-projects which will be most likely chosen by the ULGs</w:t>
      </w:r>
      <w:r w:rsidR="00B92F52" w:rsidRPr="00F7263B">
        <w:rPr>
          <w:rFonts w:cs="Times New Roman"/>
          <w:sz w:val="20"/>
          <w:szCs w:val="20"/>
        </w:rPr>
        <w:t xml:space="preserve">.  </w:t>
      </w:r>
      <w:r w:rsidRPr="00F7263B">
        <w:rPr>
          <w:rFonts w:cs="Times New Roman"/>
          <w:sz w:val="20"/>
          <w:szCs w:val="20"/>
        </w:rPr>
        <w:t xml:space="preserve">These results will be validated after the post construction evaluations of the sub-projects are subjected to </w:t>
      </w:r>
      <w:r w:rsidR="00B92F52" w:rsidRPr="00F7263B">
        <w:rPr>
          <w:rFonts w:cs="Times New Roman"/>
          <w:sz w:val="20"/>
          <w:szCs w:val="20"/>
        </w:rPr>
        <w:t>value for money</w:t>
      </w:r>
      <w:r w:rsidR="00A2314D">
        <w:rPr>
          <w:rFonts w:cs="Times New Roman"/>
          <w:sz w:val="20"/>
          <w:szCs w:val="20"/>
        </w:rPr>
        <w:t xml:space="preserve"> </w:t>
      </w:r>
      <w:r w:rsidR="00B92F52" w:rsidRPr="00F7263B">
        <w:rPr>
          <w:rFonts w:cs="Times New Roman"/>
          <w:sz w:val="20"/>
          <w:szCs w:val="20"/>
        </w:rPr>
        <w:t>audits</w:t>
      </w:r>
      <w:r w:rsidRPr="00F7263B">
        <w:rPr>
          <w:rFonts w:cs="Times New Roman"/>
          <w:sz w:val="20"/>
          <w:szCs w:val="20"/>
        </w:rPr>
        <w:t xml:space="preserve">, cost effectiveness </w:t>
      </w:r>
      <w:r w:rsidR="00F62C60" w:rsidRPr="00F7263B">
        <w:rPr>
          <w:rFonts w:cs="Times New Roman"/>
          <w:sz w:val="20"/>
          <w:szCs w:val="20"/>
        </w:rPr>
        <w:t>analyses</w:t>
      </w:r>
      <w:r w:rsidR="00B92F52" w:rsidRPr="00F7263B">
        <w:rPr>
          <w:rFonts w:cs="Times New Roman"/>
          <w:sz w:val="20"/>
          <w:szCs w:val="20"/>
        </w:rPr>
        <w:t xml:space="preserve">, </w:t>
      </w:r>
      <w:r w:rsidRPr="00F7263B">
        <w:rPr>
          <w:rFonts w:cs="Times New Roman"/>
          <w:sz w:val="20"/>
          <w:szCs w:val="20"/>
        </w:rPr>
        <w:t xml:space="preserve">and cost benefit </w:t>
      </w:r>
      <w:r w:rsidR="00F62C60" w:rsidRPr="00F7263B">
        <w:rPr>
          <w:rFonts w:cs="Times New Roman"/>
          <w:sz w:val="20"/>
          <w:szCs w:val="20"/>
        </w:rPr>
        <w:t>analyses</w:t>
      </w:r>
      <w:r w:rsidR="00B92F52" w:rsidRPr="00F7263B">
        <w:rPr>
          <w:rFonts w:cs="Times New Roman"/>
          <w:sz w:val="20"/>
          <w:szCs w:val="20"/>
        </w:rPr>
        <w:t xml:space="preserve">.  </w:t>
      </w:r>
      <w:r w:rsidRPr="00F7263B">
        <w:rPr>
          <w:rFonts w:cs="Times New Roman"/>
          <w:sz w:val="20"/>
          <w:szCs w:val="20"/>
        </w:rPr>
        <w:t>Assessment of (</w:t>
      </w:r>
      <w:r w:rsidR="00B92F52" w:rsidRPr="00F7263B">
        <w:rPr>
          <w:rFonts w:cs="Times New Roman"/>
          <w:sz w:val="20"/>
          <w:szCs w:val="20"/>
        </w:rPr>
        <w:t>a)</w:t>
      </w:r>
      <w:r w:rsidRPr="00F7263B">
        <w:rPr>
          <w:rFonts w:cs="Times New Roman"/>
          <w:sz w:val="20"/>
          <w:szCs w:val="20"/>
        </w:rPr>
        <w:t xml:space="preserve"> the counterfactual scenario where </w:t>
      </w:r>
      <w:r w:rsidR="00F62C60" w:rsidRPr="00F7263B">
        <w:rPr>
          <w:rFonts w:cs="Times New Roman"/>
          <w:sz w:val="20"/>
          <w:szCs w:val="20"/>
        </w:rPr>
        <w:t xml:space="preserve">the </w:t>
      </w:r>
      <w:r w:rsidRPr="00F7263B">
        <w:rPr>
          <w:rFonts w:cs="Times New Roman"/>
          <w:sz w:val="20"/>
          <w:szCs w:val="20"/>
        </w:rPr>
        <w:t xml:space="preserve">Program is not </w:t>
      </w:r>
      <w:r w:rsidR="00F62C60" w:rsidRPr="00F7263B">
        <w:rPr>
          <w:rFonts w:cs="Times New Roman"/>
          <w:sz w:val="20"/>
          <w:szCs w:val="20"/>
        </w:rPr>
        <w:t>available</w:t>
      </w:r>
      <w:r w:rsidR="00A2314D">
        <w:rPr>
          <w:rFonts w:cs="Times New Roman"/>
          <w:sz w:val="20"/>
          <w:szCs w:val="20"/>
        </w:rPr>
        <w:t xml:space="preserve"> </w:t>
      </w:r>
      <w:r w:rsidRPr="00F7263B">
        <w:rPr>
          <w:rFonts w:cs="Times New Roman"/>
          <w:sz w:val="20"/>
          <w:szCs w:val="20"/>
        </w:rPr>
        <w:t>and</w:t>
      </w:r>
      <w:r w:rsidR="00D96672" w:rsidRPr="00F7263B">
        <w:rPr>
          <w:rFonts w:cs="Times New Roman"/>
          <w:sz w:val="20"/>
          <w:szCs w:val="20"/>
        </w:rPr>
        <w:t xml:space="preserve"> where</w:t>
      </w:r>
      <w:r w:rsidRPr="00F7263B">
        <w:rPr>
          <w:rFonts w:cs="Times New Roman"/>
          <w:sz w:val="20"/>
          <w:szCs w:val="20"/>
        </w:rPr>
        <w:t xml:space="preserve"> the fiscal gap mentioned above continues, and (</w:t>
      </w:r>
      <w:r w:rsidR="00B92F52" w:rsidRPr="00F7263B">
        <w:rPr>
          <w:rFonts w:cs="Times New Roman"/>
          <w:sz w:val="20"/>
          <w:szCs w:val="20"/>
        </w:rPr>
        <w:t>b</w:t>
      </w:r>
      <w:r w:rsidRPr="00F7263B">
        <w:rPr>
          <w:rFonts w:cs="Times New Roman"/>
          <w:sz w:val="20"/>
          <w:szCs w:val="20"/>
        </w:rPr>
        <w:t>) the potential economic impact of the Program discussed above, shows strong rationale for the proposed intervention.</w:t>
      </w:r>
    </w:p>
    <w:p w:rsidR="00AB72CB" w:rsidRPr="00F7263B" w:rsidRDefault="00AB72CB" w:rsidP="00B74452">
      <w:pPr>
        <w:pStyle w:val="ListParagraph"/>
        <w:autoSpaceDE w:val="0"/>
        <w:autoSpaceDN w:val="0"/>
        <w:adjustRightInd w:val="0"/>
        <w:ind w:left="0"/>
        <w:jc w:val="both"/>
        <w:rPr>
          <w:rFonts w:cs="Times New Roman"/>
          <w:sz w:val="20"/>
          <w:szCs w:val="20"/>
        </w:rPr>
      </w:pPr>
    </w:p>
    <w:p w:rsidR="00AB72CB" w:rsidRPr="00F7263B" w:rsidRDefault="00DA5FCC" w:rsidP="001428ED">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Under the counterfactual scenario without the Bank</w:t>
      </w:r>
      <w:r w:rsidR="00F62C60" w:rsidRPr="00F7263B">
        <w:rPr>
          <w:rFonts w:cs="Times New Roman"/>
          <w:sz w:val="20"/>
          <w:szCs w:val="20"/>
        </w:rPr>
        <w:t>-</w:t>
      </w:r>
      <w:r w:rsidRPr="00F7263B">
        <w:rPr>
          <w:rFonts w:cs="Times New Roman"/>
          <w:sz w:val="20"/>
          <w:szCs w:val="20"/>
        </w:rPr>
        <w:t xml:space="preserve">supported Program, the target ULGs would continue to face </w:t>
      </w:r>
      <w:r w:rsidR="00D96672" w:rsidRPr="00F7263B">
        <w:rPr>
          <w:rFonts w:cs="Times New Roman"/>
          <w:sz w:val="20"/>
          <w:szCs w:val="20"/>
        </w:rPr>
        <w:t>a</w:t>
      </w:r>
      <w:r w:rsidR="00E52271" w:rsidRPr="00F7263B">
        <w:rPr>
          <w:rFonts w:cs="Times New Roman"/>
          <w:sz w:val="20"/>
          <w:szCs w:val="20"/>
        </w:rPr>
        <w:t xml:space="preserve"> large</w:t>
      </w:r>
      <w:r w:rsidRPr="00F7263B">
        <w:rPr>
          <w:rFonts w:cs="Times New Roman"/>
          <w:sz w:val="20"/>
          <w:szCs w:val="20"/>
        </w:rPr>
        <w:t xml:space="preserve"> fiscal gap</w:t>
      </w:r>
      <w:r w:rsidR="00E52271" w:rsidRPr="00F7263B">
        <w:rPr>
          <w:rFonts w:cs="Times New Roman"/>
          <w:sz w:val="20"/>
          <w:szCs w:val="20"/>
        </w:rPr>
        <w:t xml:space="preserve"> and increasing deficits of urban </w:t>
      </w:r>
      <w:r w:rsidRPr="00F7263B">
        <w:rPr>
          <w:rFonts w:cs="Times New Roman"/>
          <w:sz w:val="20"/>
          <w:szCs w:val="20"/>
        </w:rPr>
        <w:t>infrastructure and institutional capacity</w:t>
      </w:r>
      <w:r w:rsidR="00E52271" w:rsidRPr="00F7263B">
        <w:rPr>
          <w:rFonts w:cs="Times New Roman"/>
          <w:sz w:val="20"/>
          <w:szCs w:val="20"/>
        </w:rPr>
        <w:t xml:space="preserve">.  This in turn </w:t>
      </w:r>
      <w:r w:rsidRPr="00F7263B">
        <w:rPr>
          <w:rFonts w:cs="Times New Roman"/>
          <w:sz w:val="20"/>
          <w:szCs w:val="20"/>
        </w:rPr>
        <w:t>would hinder the economic development of Ethiopia</w:t>
      </w:r>
      <w:r w:rsidR="00B92F52" w:rsidRPr="00F7263B">
        <w:rPr>
          <w:rFonts w:cs="Times New Roman"/>
          <w:sz w:val="20"/>
          <w:szCs w:val="20"/>
        </w:rPr>
        <w:t xml:space="preserve">.  </w:t>
      </w:r>
      <w:r w:rsidRPr="00F7263B">
        <w:rPr>
          <w:rFonts w:cs="Times New Roman"/>
          <w:sz w:val="20"/>
          <w:szCs w:val="20"/>
        </w:rPr>
        <w:t>This alternative route will mean that the Program ULGs will face serious c</w:t>
      </w:r>
      <w:r w:rsidR="001428ED" w:rsidRPr="00F7263B">
        <w:rPr>
          <w:rFonts w:cs="Times New Roman"/>
          <w:sz w:val="20"/>
          <w:szCs w:val="20"/>
        </w:rPr>
        <w:t>hallenge</w:t>
      </w:r>
      <w:r w:rsidR="00F62C60" w:rsidRPr="00F7263B">
        <w:rPr>
          <w:rFonts w:cs="Times New Roman"/>
          <w:sz w:val="20"/>
          <w:szCs w:val="20"/>
        </w:rPr>
        <w:t>s</w:t>
      </w:r>
      <w:r w:rsidR="001428ED" w:rsidRPr="00F7263B">
        <w:rPr>
          <w:rFonts w:cs="Times New Roman"/>
          <w:sz w:val="20"/>
          <w:szCs w:val="20"/>
        </w:rPr>
        <w:t xml:space="preserve"> in meeting their ever-</w:t>
      </w:r>
      <w:r w:rsidRPr="00F7263B">
        <w:rPr>
          <w:rFonts w:cs="Times New Roman"/>
          <w:sz w:val="20"/>
          <w:szCs w:val="20"/>
        </w:rPr>
        <w:t>increasing residents’ expectations of delivering reliable urban services, as well as a possible deterioration and</w:t>
      </w:r>
      <w:r w:rsidR="001428ED" w:rsidRPr="00F7263B">
        <w:rPr>
          <w:rFonts w:cs="Times New Roman"/>
          <w:sz w:val="20"/>
          <w:szCs w:val="20"/>
        </w:rPr>
        <w:t>,</w:t>
      </w:r>
      <w:r w:rsidRPr="00F7263B">
        <w:rPr>
          <w:rFonts w:cs="Times New Roman"/>
          <w:sz w:val="20"/>
          <w:szCs w:val="20"/>
        </w:rPr>
        <w:t xml:space="preserve"> in some cases, </w:t>
      </w:r>
      <w:r w:rsidR="001428ED" w:rsidRPr="00F7263B">
        <w:rPr>
          <w:rFonts w:cs="Times New Roman"/>
          <w:sz w:val="20"/>
          <w:szCs w:val="20"/>
        </w:rPr>
        <w:t xml:space="preserve">a </w:t>
      </w:r>
      <w:r w:rsidRPr="00F7263B">
        <w:rPr>
          <w:rFonts w:cs="Times New Roman"/>
          <w:sz w:val="20"/>
          <w:szCs w:val="20"/>
        </w:rPr>
        <w:t>collapse of existing infrastructure</w:t>
      </w:r>
      <w:r w:rsidR="00B92F52" w:rsidRPr="00F7263B">
        <w:rPr>
          <w:rFonts w:cs="Times New Roman"/>
          <w:sz w:val="20"/>
          <w:szCs w:val="20"/>
        </w:rPr>
        <w:t xml:space="preserve">.  </w:t>
      </w:r>
      <w:r w:rsidR="001428ED" w:rsidRPr="00F7263B">
        <w:rPr>
          <w:rFonts w:cs="Times New Roman"/>
          <w:sz w:val="20"/>
          <w:szCs w:val="20"/>
        </w:rPr>
        <w:t>W</w:t>
      </w:r>
      <w:r w:rsidRPr="00F7263B">
        <w:rPr>
          <w:rFonts w:cs="Times New Roman"/>
          <w:sz w:val="20"/>
          <w:szCs w:val="20"/>
        </w:rPr>
        <w:t xml:space="preserve">ithout the proposed </w:t>
      </w:r>
      <w:r w:rsidR="001428ED" w:rsidRPr="00F7263B">
        <w:rPr>
          <w:rFonts w:cs="Times New Roman"/>
          <w:sz w:val="20"/>
          <w:szCs w:val="20"/>
        </w:rPr>
        <w:t>Bank-</w:t>
      </w:r>
      <w:r w:rsidRPr="00F7263B">
        <w:rPr>
          <w:rFonts w:cs="Times New Roman"/>
          <w:sz w:val="20"/>
          <w:szCs w:val="20"/>
        </w:rPr>
        <w:t>supported Program, the support to ULGs under the existing intergovernmental fiscal architecture would be severely inadequate in achieving the objective</w:t>
      </w:r>
      <w:r w:rsidR="001428ED" w:rsidRPr="00F7263B">
        <w:rPr>
          <w:rFonts w:cs="Times New Roman"/>
          <w:sz w:val="20"/>
          <w:szCs w:val="20"/>
        </w:rPr>
        <w:t>s</w:t>
      </w:r>
      <w:r w:rsidR="00A2314D">
        <w:rPr>
          <w:rFonts w:cs="Times New Roman"/>
          <w:sz w:val="20"/>
          <w:szCs w:val="20"/>
        </w:rPr>
        <w:t xml:space="preserve"> </w:t>
      </w:r>
      <w:r w:rsidR="001428ED" w:rsidRPr="00F7263B">
        <w:rPr>
          <w:rFonts w:cs="Times New Roman"/>
          <w:sz w:val="20"/>
          <w:szCs w:val="20"/>
        </w:rPr>
        <w:t xml:space="preserve">of the government’s </w:t>
      </w:r>
      <w:r w:rsidRPr="00F7263B">
        <w:rPr>
          <w:rFonts w:cs="Times New Roman"/>
          <w:sz w:val="20"/>
          <w:szCs w:val="20"/>
        </w:rPr>
        <w:t>GTP and urban policies</w:t>
      </w:r>
      <w:r w:rsidR="008073B5" w:rsidRPr="00F7263B">
        <w:rPr>
          <w:rFonts w:cs="Times New Roman"/>
          <w:sz w:val="20"/>
          <w:szCs w:val="20"/>
        </w:rPr>
        <w:t xml:space="preserve">.  </w:t>
      </w:r>
    </w:p>
    <w:p w:rsidR="00AB72CB" w:rsidRPr="00F7263B" w:rsidRDefault="00AB72CB" w:rsidP="00B74452">
      <w:pPr>
        <w:pStyle w:val="ListParagraph"/>
        <w:rPr>
          <w:rFonts w:cs="Times New Roman"/>
          <w:sz w:val="20"/>
          <w:szCs w:val="20"/>
        </w:rPr>
      </w:pPr>
    </w:p>
    <w:p w:rsidR="003D39E3" w:rsidRPr="00F7263B" w:rsidRDefault="00DA5FCC" w:rsidP="001428ED">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sz w:val="20"/>
          <w:szCs w:val="20"/>
        </w:rPr>
        <w:t>To the extent possible and appropriate, the Program will promote local private sector development</w:t>
      </w:r>
      <w:r w:rsidR="00B92F52" w:rsidRPr="00F7263B">
        <w:rPr>
          <w:rFonts w:cs="Times New Roman"/>
          <w:sz w:val="20"/>
          <w:szCs w:val="20"/>
        </w:rPr>
        <w:t xml:space="preserve">.  </w:t>
      </w:r>
      <w:r w:rsidRPr="00F7263B">
        <w:rPr>
          <w:rFonts w:cs="Times New Roman"/>
          <w:sz w:val="20"/>
          <w:szCs w:val="20"/>
        </w:rPr>
        <w:t xml:space="preserve">As under </w:t>
      </w:r>
      <w:r w:rsidR="00F70D5B" w:rsidRPr="00F7263B">
        <w:rPr>
          <w:rFonts w:cs="Times New Roman"/>
          <w:sz w:val="20"/>
          <w:szCs w:val="20"/>
        </w:rPr>
        <w:t xml:space="preserve">the </w:t>
      </w:r>
      <w:r w:rsidRPr="00F7263B">
        <w:rPr>
          <w:rFonts w:cs="Times New Roman"/>
          <w:sz w:val="20"/>
          <w:szCs w:val="20"/>
        </w:rPr>
        <w:t>ULGDP, the implementation of almost all Program activities will be contracted out to the private sector</w:t>
      </w:r>
      <w:r w:rsidR="00B92F52" w:rsidRPr="00F7263B">
        <w:rPr>
          <w:rFonts w:cs="Times New Roman"/>
          <w:sz w:val="20"/>
          <w:szCs w:val="20"/>
        </w:rPr>
        <w:t xml:space="preserve">.  </w:t>
      </w:r>
      <w:r w:rsidRPr="00F7263B">
        <w:rPr>
          <w:rFonts w:cs="Times New Roman"/>
          <w:sz w:val="20"/>
          <w:szCs w:val="20"/>
        </w:rPr>
        <w:t>More than 2</w:t>
      </w:r>
      <w:r w:rsidR="00F70D5B" w:rsidRPr="00F7263B">
        <w:rPr>
          <w:rFonts w:cs="Times New Roman"/>
          <w:sz w:val="20"/>
          <w:szCs w:val="20"/>
        </w:rPr>
        <w:t>,</w:t>
      </w:r>
      <w:r w:rsidRPr="00F7263B">
        <w:rPr>
          <w:rFonts w:cs="Times New Roman"/>
          <w:sz w:val="20"/>
          <w:szCs w:val="20"/>
        </w:rPr>
        <w:t xml:space="preserve">000 </w:t>
      </w:r>
      <w:r w:rsidR="00F70D5B" w:rsidRPr="00F7263B">
        <w:rPr>
          <w:rFonts w:cs="Times New Roman"/>
          <w:sz w:val="20"/>
          <w:szCs w:val="20"/>
        </w:rPr>
        <w:t>medium and small enterprises</w:t>
      </w:r>
      <w:r w:rsidR="00A2314D">
        <w:rPr>
          <w:rFonts w:cs="Times New Roman"/>
          <w:sz w:val="20"/>
          <w:szCs w:val="20"/>
        </w:rPr>
        <w:t xml:space="preserve"> </w:t>
      </w:r>
      <w:r w:rsidR="00F70D5B" w:rsidRPr="00F7263B">
        <w:rPr>
          <w:rFonts w:cs="Times New Roman"/>
          <w:sz w:val="20"/>
          <w:szCs w:val="20"/>
        </w:rPr>
        <w:t xml:space="preserve">have been </w:t>
      </w:r>
      <w:r w:rsidRPr="00F7263B">
        <w:rPr>
          <w:rFonts w:cs="Times New Roman"/>
          <w:sz w:val="20"/>
          <w:szCs w:val="20"/>
        </w:rPr>
        <w:t xml:space="preserve">involved in the construction of investment projects </w:t>
      </w:r>
      <w:r w:rsidR="00F70D5B" w:rsidRPr="00F7263B">
        <w:rPr>
          <w:rFonts w:cs="Times New Roman"/>
          <w:sz w:val="20"/>
          <w:szCs w:val="20"/>
        </w:rPr>
        <w:t xml:space="preserve">under the </w:t>
      </w:r>
      <w:r w:rsidRPr="00F7263B">
        <w:rPr>
          <w:rFonts w:cs="Times New Roman"/>
          <w:sz w:val="20"/>
          <w:szCs w:val="20"/>
        </w:rPr>
        <w:t>ULGDP</w:t>
      </w:r>
      <w:r w:rsidR="00F70D5B" w:rsidRPr="00F7263B">
        <w:rPr>
          <w:rFonts w:cs="Times New Roman"/>
          <w:sz w:val="20"/>
          <w:szCs w:val="20"/>
        </w:rPr>
        <w:t>.  T</w:t>
      </w:r>
      <w:r w:rsidRPr="00F7263B">
        <w:rPr>
          <w:rFonts w:cs="Times New Roman"/>
          <w:sz w:val="20"/>
          <w:szCs w:val="20"/>
        </w:rPr>
        <w:t>h</w:t>
      </w:r>
      <w:r w:rsidR="00F70D5B" w:rsidRPr="00F7263B">
        <w:rPr>
          <w:rFonts w:cs="Times New Roman"/>
          <w:sz w:val="20"/>
          <w:szCs w:val="20"/>
        </w:rPr>
        <w:t>e</w:t>
      </w:r>
      <w:r w:rsidRPr="00F7263B">
        <w:rPr>
          <w:rFonts w:cs="Times New Roman"/>
          <w:sz w:val="20"/>
          <w:szCs w:val="20"/>
        </w:rPr>
        <w:t>s</w:t>
      </w:r>
      <w:r w:rsidR="00F70D5B" w:rsidRPr="00F7263B">
        <w:rPr>
          <w:rFonts w:cs="Times New Roman"/>
          <w:sz w:val="20"/>
          <w:szCs w:val="20"/>
        </w:rPr>
        <w:t>e numbers</w:t>
      </w:r>
      <w:r w:rsidR="00A2314D">
        <w:rPr>
          <w:rFonts w:cs="Times New Roman"/>
          <w:sz w:val="20"/>
          <w:szCs w:val="20"/>
        </w:rPr>
        <w:t xml:space="preserve"> </w:t>
      </w:r>
      <w:r w:rsidR="00F70D5B" w:rsidRPr="00F7263B">
        <w:rPr>
          <w:rFonts w:cs="Times New Roman"/>
          <w:sz w:val="20"/>
          <w:szCs w:val="20"/>
        </w:rPr>
        <w:t>are</w:t>
      </w:r>
      <w:r w:rsidRPr="00F7263B">
        <w:rPr>
          <w:rFonts w:cs="Times New Roman"/>
          <w:sz w:val="20"/>
          <w:szCs w:val="20"/>
        </w:rPr>
        <w:t xml:space="preserve"> expected to </w:t>
      </w:r>
      <w:r w:rsidR="00F70D5B" w:rsidRPr="00F7263B">
        <w:rPr>
          <w:rFonts w:cs="Times New Roman"/>
          <w:sz w:val="20"/>
          <w:szCs w:val="20"/>
        </w:rPr>
        <w:t>rise</w:t>
      </w:r>
      <w:r w:rsidRPr="00F7263B">
        <w:rPr>
          <w:rFonts w:cs="Times New Roman"/>
          <w:sz w:val="20"/>
          <w:szCs w:val="20"/>
        </w:rPr>
        <w:t xml:space="preserve"> with the proposed investment menu and likely investments</w:t>
      </w:r>
      <w:r w:rsidR="00B92F52" w:rsidRPr="00F7263B">
        <w:rPr>
          <w:rFonts w:cs="Times New Roman"/>
          <w:sz w:val="20"/>
          <w:szCs w:val="20"/>
        </w:rPr>
        <w:t xml:space="preserve">.  </w:t>
      </w:r>
      <w:r w:rsidRPr="00F7263B">
        <w:rPr>
          <w:rFonts w:cs="Times New Roman"/>
          <w:sz w:val="20"/>
          <w:szCs w:val="20"/>
        </w:rPr>
        <w:t xml:space="preserve">ULGs, as implementing agencies, will retain </w:t>
      </w:r>
      <w:r w:rsidR="00F70D5B" w:rsidRPr="00F7263B">
        <w:rPr>
          <w:rFonts w:cs="Times New Roman"/>
          <w:sz w:val="20"/>
          <w:szCs w:val="20"/>
        </w:rPr>
        <w:t xml:space="preserve">their </w:t>
      </w:r>
      <w:r w:rsidRPr="00F7263B">
        <w:rPr>
          <w:rFonts w:cs="Times New Roman"/>
          <w:sz w:val="20"/>
          <w:szCs w:val="20"/>
        </w:rPr>
        <w:t>supervisory role</w:t>
      </w:r>
      <w:r w:rsidR="00F70D5B" w:rsidRPr="00F7263B">
        <w:rPr>
          <w:rFonts w:cs="Times New Roman"/>
          <w:sz w:val="20"/>
          <w:szCs w:val="20"/>
        </w:rPr>
        <w:t>s.  T</w:t>
      </w:r>
      <w:r w:rsidRPr="00F7263B">
        <w:rPr>
          <w:rFonts w:cs="Times New Roman"/>
          <w:sz w:val="20"/>
          <w:szCs w:val="20"/>
        </w:rPr>
        <w:t xml:space="preserve">he </w:t>
      </w:r>
      <w:r w:rsidR="00276BC8" w:rsidRPr="00F7263B">
        <w:rPr>
          <w:rFonts w:cs="Times New Roman"/>
          <w:sz w:val="20"/>
          <w:szCs w:val="20"/>
        </w:rPr>
        <w:t>MUDHCo</w:t>
      </w:r>
      <w:r w:rsidRPr="00F7263B">
        <w:rPr>
          <w:rFonts w:cs="Times New Roman"/>
          <w:sz w:val="20"/>
          <w:szCs w:val="20"/>
        </w:rPr>
        <w:t>, as the main executing ministry, will retain oversight and quality assurance role for Program implementation</w:t>
      </w:r>
      <w:r w:rsidR="00B92F52" w:rsidRPr="00F7263B">
        <w:rPr>
          <w:rFonts w:cs="Times New Roman"/>
          <w:sz w:val="20"/>
          <w:szCs w:val="20"/>
        </w:rPr>
        <w:t xml:space="preserve">.  </w:t>
      </w:r>
      <w:r w:rsidRPr="00F7263B">
        <w:rPr>
          <w:rFonts w:cs="Times New Roman"/>
          <w:sz w:val="20"/>
          <w:szCs w:val="20"/>
        </w:rPr>
        <w:t>These arrangements are considered adequate in terms of economy, efficiency</w:t>
      </w:r>
      <w:r w:rsidR="00F70D5B" w:rsidRPr="00F7263B">
        <w:rPr>
          <w:rFonts w:cs="Times New Roman"/>
          <w:sz w:val="20"/>
          <w:szCs w:val="20"/>
        </w:rPr>
        <w:t>,</w:t>
      </w:r>
      <w:r w:rsidRPr="00F7263B">
        <w:rPr>
          <w:rFonts w:cs="Times New Roman"/>
          <w:sz w:val="20"/>
          <w:szCs w:val="20"/>
        </w:rPr>
        <w:t xml:space="preserve"> and effectiveness in addressing the urban development issues at hand</w:t>
      </w:r>
      <w:r w:rsidR="00B92F52" w:rsidRPr="00F7263B">
        <w:rPr>
          <w:rFonts w:cs="Times New Roman"/>
          <w:sz w:val="20"/>
          <w:szCs w:val="20"/>
        </w:rPr>
        <w:t xml:space="preserve">.  </w:t>
      </w:r>
    </w:p>
    <w:p w:rsidR="00FE129E" w:rsidRPr="00F7263B" w:rsidRDefault="00FE129E" w:rsidP="00556F1B">
      <w:pPr>
        <w:pStyle w:val="ListParagraph"/>
        <w:autoSpaceDE w:val="0"/>
        <w:autoSpaceDN w:val="0"/>
        <w:adjustRightInd w:val="0"/>
        <w:ind w:left="0"/>
        <w:jc w:val="both"/>
        <w:rPr>
          <w:rFonts w:cs="Times New Roman"/>
          <w:sz w:val="20"/>
          <w:szCs w:val="20"/>
        </w:rPr>
      </w:pPr>
    </w:p>
    <w:p w:rsidR="003D39E3" w:rsidRPr="00F7263B" w:rsidRDefault="001D2940" w:rsidP="00556F1B">
      <w:pPr>
        <w:pStyle w:val="Heading2"/>
        <w:jc w:val="both"/>
        <w:rPr>
          <w:sz w:val="20"/>
          <w:szCs w:val="20"/>
        </w:rPr>
      </w:pPr>
      <w:bookmarkStart w:id="29" w:name="_Toc380167580"/>
      <w:r w:rsidRPr="00F7263B">
        <w:rPr>
          <w:sz w:val="20"/>
          <w:szCs w:val="20"/>
        </w:rPr>
        <w:t>Fiduciary</w:t>
      </w:r>
      <w:bookmarkEnd w:id="29"/>
    </w:p>
    <w:p w:rsidR="003D39E3" w:rsidRPr="00F7263B" w:rsidRDefault="003D39E3" w:rsidP="00556F1B">
      <w:pPr>
        <w:pStyle w:val="ListParagraph"/>
        <w:autoSpaceDE w:val="0"/>
        <w:autoSpaceDN w:val="0"/>
        <w:adjustRightInd w:val="0"/>
        <w:ind w:left="0"/>
        <w:jc w:val="both"/>
        <w:rPr>
          <w:rFonts w:cs="Times New Roman"/>
          <w:sz w:val="20"/>
          <w:szCs w:val="20"/>
        </w:rPr>
      </w:pPr>
    </w:p>
    <w:p w:rsidR="00F83B4A" w:rsidRPr="00F7263B" w:rsidRDefault="00F83B4A" w:rsidP="00D92D63">
      <w:pPr>
        <w:pStyle w:val="ListParagraph"/>
        <w:numPr>
          <w:ilvl w:val="0"/>
          <w:numId w:val="9"/>
        </w:numPr>
        <w:autoSpaceDE w:val="0"/>
        <w:autoSpaceDN w:val="0"/>
        <w:adjustRightInd w:val="0"/>
        <w:ind w:left="0" w:firstLine="0"/>
        <w:jc w:val="both"/>
        <w:rPr>
          <w:sz w:val="20"/>
          <w:szCs w:val="20"/>
        </w:rPr>
      </w:pPr>
      <w:r w:rsidRPr="00F7263B">
        <w:rPr>
          <w:sz w:val="20"/>
          <w:szCs w:val="20"/>
        </w:rPr>
        <w:t xml:space="preserve">An integrated fiduciary assessment for the proposed Program was carried out on the </w:t>
      </w:r>
      <w:r w:rsidR="003276E0" w:rsidRPr="00F7263B">
        <w:rPr>
          <w:sz w:val="20"/>
          <w:szCs w:val="20"/>
        </w:rPr>
        <w:t xml:space="preserve">fiduciary systems of </w:t>
      </w:r>
      <w:r w:rsidR="00821460" w:rsidRPr="00F7263B">
        <w:rPr>
          <w:sz w:val="20"/>
          <w:szCs w:val="20"/>
        </w:rPr>
        <w:t>MUDHCo</w:t>
      </w:r>
      <w:r w:rsidRPr="00F7263B">
        <w:rPr>
          <w:sz w:val="20"/>
          <w:szCs w:val="20"/>
        </w:rPr>
        <w:t xml:space="preserve"> and a sample of participating regional and urban local </w:t>
      </w:r>
      <w:r w:rsidR="00ED0415" w:rsidRPr="00F7263B">
        <w:rPr>
          <w:sz w:val="20"/>
          <w:szCs w:val="20"/>
        </w:rPr>
        <w:t>governments that</w:t>
      </w:r>
      <w:r w:rsidRPr="00F7263B">
        <w:rPr>
          <w:sz w:val="20"/>
          <w:szCs w:val="20"/>
        </w:rPr>
        <w:t xml:space="preserve"> will implement the ULGDP II</w:t>
      </w:r>
      <w:r w:rsidR="003276E0" w:rsidRPr="00F7263B">
        <w:rPr>
          <w:sz w:val="20"/>
          <w:szCs w:val="20"/>
        </w:rPr>
        <w:t xml:space="preserve">, </w:t>
      </w:r>
      <w:r w:rsidRPr="00F7263B">
        <w:rPr>
          <w:sz w:val="20"/>
          <w:szCs w:val="20"/>
        </w:rPr>
        <w:t>consistent with Operational Policy/Bank Procedure (OP/BP) 9.00, Program-for-Results Financing</w:t>
      </w:r>
      <w:r w:rsidR="00591BA5" w:rsidRPr="00F7263B">
        <w:rPr>
          <w:sz w:val="20"/>
          <w:szCs w:val="20"/>
        </w:rPr>
        <w:t xml:space="preserve">.  </w:t>
      </w:r>
      <w:r w:rsidR="00892664" w:rsidRPr="00F7263B">
        <w:rPr>
          <w:sz w:val="20"/>
          <w:szCs w:val="20"/>
        </w:rPr>
        <w:t>A special survey was designed for assessing the financial management performance of cities</w:t>
      </w:r>
      <w:r w:rsidR="00591BA5" w:rsidRPr="00F7263B">
        <w:rPr>
          <w:sz w:val="20"/>
          <w:szCs w:val="20"/>
        </w:rPr>
        <w:t xml:space="preserve">.  </w:t>
      </w:r>
      <w:r w:rsidR="00892664" w:rsidRPr="00F7263B">
        <w:rPr>
          <w:sz w:val="20"/>
          <w:szCs w:val="20"/>
        </w:rPr>
        <w:t>During September and October 2013, teams visited all 26 new cities joining the program to collect this information</w:t>
      </w:r>
      <w:r w:rsidR="00591BA5" w:rsidRPr="00F7263B">
        <w:rPr>
          <w:sz w:val="20"/>
          <w:szCs w:val="20"/>
        </w:rPr>
        <w:t xml:space="preserve">.  </w:t>
      </w:r>
      <w:r w:rsidR="00892664" w:rsidRPr="00F7263B">
        <w:rPr>
          <w:sz w:val="20"/>
          <w:szCs w:val="20"/>
        </w:rPr>
        <w:t xml:space="preserve">For the 18 cities in the current </w:t>
      </w:r>
      <w:r w:rsidR="00892664" w:rsidRPr="00F7263B">
        <w:rPr>
          <w:sz w:val="20"/>
          <w:szCs w:val="20"/>
        </w:rPr>
        <w:lastRenderedPageBreak/>
        <w:t xml:space="preserve">ULGDP program, data was obtained and analyzed from the last three </w:t>
      </w:r>
      <w:r w:rsidR="003276E0" w:rsidRPr="00F7263B">
        <w:rPr>
          <w:sz w:val="20"/>
          <w:szCs w:val="20"/>
        </w:rPr>
        <w:t>APAs</w:t>
      </w:r>
      <w:r w:rsidR="00591BA5" w:rsidRPr="00F7263B">
        <w:rPr>
          <w:sz w:val="20"/>
          <w:szCs w:val="20"/>
        </w:rPr>
        <w:t xml:space="preserve">.  </w:t>
      </w:r>
      <w:r w:rsidR="00892664" w:rsidRPr="00F7263B">
        <w:rPr>
          <w:sz w:val="20"/>
          <w:szCs w:val="20"/>
        </w:rPr>
        <w:t>As part of the fiduciary assessment, t</w:t>
      </w:r>
      <w:r w:rsidR="00892664" w:rsidRPr="00F7263B">
        <w:rPr>
          <w:rFonts w:eastAsia="Calibri" w:cs="Times New Roman"/>
          <w:sz w:val="20"/>
          <w:szCs w:val="20"/>
        </w:rPr>
        <w:t>he Bank carried out a procurement system assessment for the proposed ULGDP II between May and September 2013</w:t>
      </w:r>
      <w:r w:rsidR="00591BA5" w:rsidRPr="00F7263B">
        <w:rPr>
          <w:rFonts w:eastAsia="Calibri" w:cs="Times New Roman"/>
          <w:sz w:val="20"/>
          <w:szCs w:val="20"/>
        </w:rPr>
        <w:t xml:space="preserve">.  </w:t>
      </w:r>
      <w:r w:rsidR="00892664" w:rsidRPr="00F7263B">
        <w:rPr>
          <w:rFonts w:eastAsia="Calibri" w:cs="Times New Roman"/>
          <w:sz w:val="20"/>
          <w:szCs w:val="20"/>
        </w:rPr>
        <w:t>The review included applicable procurement systems, rules and procedures, including oversight mechanisms at the program implementing entities</w:t>
      </w:r>
      <w:r w:rsidR="00591BA5" w:rsidRPr="00F7263B">
        <w:rPr>
          <w:rFonts w:eastAsia="Calibri" w:cs="Times New Roman"/>
          <w:sz w:val="20"/>
          <w:szCs w:val="20"/>
        </w:rPr>
        <w:t xml:space="preserve">.  </w:t>
      </w:r>
      <w:r w:rsidR="00892664" w:rsidRPr="00F7263B">
        <w:rPr>
          <w:rFonts w:eastAsia="Calibri" w:cs="Times New Roman"/>
          <w:sz w:val="20"/>
          <w:szCs w:val="20"/>
        </w:rPr>
        <w:t xml:space="preserve">The program implementing entities include the </w:t>
      </w:r>
      <w:r w:rsidR="00E65E2E" w:rsidRPr="00F7263B">
        <w:rPr>
          <w:rFonts w:eastAsia="Calibri" w:cs="Times New Roman"/>
          <w:sz w:val="20"/>
          <w:szCs w:val="20"/>
        </w:rPr>
        <w:t>MUDHCo</w:t>
      </w:r>
      <w:r w:rsidR="00892664" w:rsidRPr="00F7263B">
        <w:rPr>
          <w:rFonts w:eastAsia="Calibri" w:cs="Times New Roman"/>
          <w:sz w:val="20"/>
          <w:szCs w:val="20"/>
        </w:rPr>
        <w:t xml:space="preserve">, </w:t>
      </w:r>
      <w:r w:rsidR="00591BA5" w:rsidRPr="00F7263B">
        <w:rPr>
          <w:rFonts w:eastAsia="Calibri" w:cs="Times New Roman"/>
          <w:sz w:val="20"/>
          <w:szCs w:val="20"/>
        </w:rPr>
        <w:t>r</w:t>
      </w:r>
      <w:r w:rsidR="00892664" w:rsidRPr="00F7263B">
        <w:rPr>
          <w:rFonts w:eastAsia="Calibri" w:cs="Times New Roman"/>
          <w:sz w:val="20"/>
          <w:szCs w:val="20"/>
        </w:rPr>
        <w:t>egional B</w:t>
      </w:r>
      <w:r w:rsidR="00591BA5" w:rsidRPr="00F7263B">
        <w:rPr>
          <w:rFonts w:eastAsia="Calibri" w:cs="Times New Roman"/>
          <w:sz w:val="20"/>
          <w:szCs w:val="20"/>
        </w:rPr>
        <w:t xml:space="preserve">oFEDs, and participating cities.  </w:t>
      </w:r>
      <w:r w:rsidR="00892664" w:rsidRPr="00F7263B">
        <w:rPr>
          <w:rFonts w:eastAsia="Calibri" w:cs="Times New Roman"/>
          <w:sz w:val="20"/>
          <w:szCs w:val="20"/>
        </w:rPr>
        <w:t>All the regions and 18 of the 44 participating cities have been visited and assessed</w:t>
      </w:r>
      <w:r w:rsidR="00591BA5" w:rsidRPr="00F7263B">
        <w:rPr>
          <w:rFonts w:eastAsia="Calibri" w:cs="Times New Roman"/>
          <w:sz w:val="20"/>
          <w:szCs w:val="20"/>
        </w:rPr>
        <w:t xml:space="preserve">.  </w:t>
      </w:r>
      <w:r w:rsidR="00892664" w:rsidRPr="00F7263B">
        <w:rPr>
          <w:rFonts w:eastAsia="Calibri" w:cs="Times New Roman"/>
          <w:sz w:val="20"/>
          <w:szCs w:val="20"/>
        </w:rPr>
        <w:t>Fraud and corruption and compla</w:t>
      </w:r>
      <w:r w:rsidR="008B722A" w:rsidRPr="00F7263B">
        <w:rPr>
          <w:rFonts w:eastAsia="Calibri" w:cs="Times New Roman"/>
          <w:sz w:val="20"/>
          <w:szCs w:val="20"/>
        </w:rPr>
        <w:t>i</w:t>
      </w:r>
      <w:r w:rsidR="00892664" w:rsidRPr="00F7263B">
        <w:rPr>
          <w:rFonts w:eastAsia="Calibri" w:cs="Times New Roman"/>
          <w:sz w:val="20"/>
          <w:szCs w:val="20"/>
        </w:rPr>
        <w:t>nt handling mechanisms were also assessed.</w:t>
      </w:r>
    </w:p>
    <w:p w:rsidR="00F83B4A" w:rsidRPr="00F7263B" w:rsidRDefault="00F83B4A" w:rsidP="00556F1B">
      <w:pPr>
        <w:pStyle w:val="ListParagraph"/>
        <w:autoSpaceDE w:val="0"/>
        <w:autoSpaceDN w:val="0"/>
        <w:adjustRightInd w:val="0"/>
        <w:ind w:left="0"/>
        <w:jc w:val="both"/>
        <w:rPr>
          <w:sz w:val="20"/>
          <w:szCs w:val="20"/>
        </w:rPr>
      </w:pPr>
    </w:p>
    <w:p w:rsidR="00F83B4A" w:rsidRPr="00F7263B" w:rsidRDefault="00F83B4A" w:rsidP="00D92D63">
      <w:pPr>
        <w:pStyle w:val="ListParagraph"/>
        <w:numPr>
          <w:ilvl w:val="0"/>
          <w:numId w:val="9"/>
        </w:numPr>
        <w:autoSpaceDE w:val="0"/>
        <w:autoSpaceDN w:val="0"/>
        <w:adjustRightInd w:val="0"/>
        <w:ind w:left="0" w:firstLine="0"/>
        <w:jc w:val="both"/>
        <w:rPr>
          <w:sz w:val="20"/>
          <w:szCs w:val="20"/>
        </w:rPr>
      </w:pPr>
      <w:r w:rsidRPr="00F7263B">
        <w:rPr>
          <w:sz w:val="20"/>
          <w:szCs w:val="20"/>
        </w:rPr>
        <w:t>The fiduciary assessment entailed a review of the capacity of the sample participating entities on their ability</w:t>
      </w:r>
      <w:r w:rsidR="00192AD2" w:rsidRPr="00F7263B">
        <w:rPr>
          <w:sz w:val="20"/>
          <w:szCs w:val="20"/>
        </w:rPr>
        <w:t xml:space="preserve"> to</w:t>
      </w:r>
      <w:r w:rsidRPr="00F7263B">
        <w:rPr>
          <w:sz w:val="20"/>
          <w:szCs w:val="20"/>
        </w:rPr>
        <w:t xml:space="preserve">(a) record, control, and manage all Program resources and produce timely, understandable, relevant, and reliable information for the </w:t>
      </w:r>
      <w:r w:rsidR="008B722A" w:rsidRPr="00F7263B">
        <w:rPr>
          <w:sz w:val="20"/>
          <w:szCs w:val="20"/>
        </w:rPr>
        <w:t>B</w:t>
      </w:r>
      <w:r w:rsidRPr="00F7263B">
        <w:rPr>
          <w:sz w:val="20"/>
          <w:szCs w:val="20"/>
        </w:rPr>
        <w:t>orrower and the World Bank</w:t>
      </w:r>
      <w:r w:rsidR="008B722A" w:rsidRPr="00F7263B">
        <w:rPr>
          <w:sz w:val="20"/>
          <w:szCs w:val="20"/>
        </w:rPr>
        <w:t>;</w:t>
      </w:r>
      <w:r w:rsidRPr="00F7263B">
        <w:rPr>
          <w:sz w:val="20"/>
          <w:szCs w:val="20"/>
        </w:rPr>
        <w:t>(b) follow procurement rules and procedures, capacity, and performance focusing on procurement performance indicators and the extent to which the capacity and performance support the program development objectives and risks associated with the Program and the implementing agency</w:t>
      </w:r>
      <w:r w:rsidR="008B722A" w:rsidRPr="00F7263B">
        <w:rPr>
          <w:sz w:val="20"/>
          <w:szCs w:val="20"/>
        </w:rPr>
        <w:t>;</w:t>
      </w:r>
      <w:r w:rsidRPr="00F7263B">
        <w:rPr>
          <w:sz w:val="20"/>
          <w:szCs w:val="20"/>
        </w:rPr>
        <w:t xml:space="preserve"> and (c) ensure that implementation arrangements are adequate and risks are reasonably mitigated by the existing framework</w:t>
      </w:r>
      <w:r w:rsidR="00591BA5" w:rsidRPr="00F7263B">
        <w:rPr>
          <w:sz w:val="20"/>
          <w:szCs w:val="20"/>
        </w:rPr>
        <w:t xml:space="preserve">.  </w:t>
      </w:r>
    </w:p>
    <w:p w:rsidR="00F83B4A" w:rsidRPr="00F7263B" w:rsidRDefault="00F83B4A" w:rsidP="00556F1B">
      <w:pPr>
        <w:pStyle w:val="ListParagraph"/>
        <w:autoSpaceDE w:val="0"/>
        <w:autoSpaceDN w:val="0"/>
        <w:adjustRightInd w:val="0"/>
        <w:ind w:left="0"/>
        <w:jc w:val="both"/>
        <w:rPr>
          <w:rFonts w:cs="Times New Roman"/>
          <w:sz w:val="20"/>
          <w:szCs w:val="20"/>
        </w:rPr>
      </w:pPr>
    </w:p>
    <w:p w:rsidR="00192AD2" w:rsidRPr="00F7263B" w:rsidRDefault="00192AD2" w:rsidP="00556F1B">
      <w:pPr>
        <w:pStyle w:val="ListParagraph"/>
        <w:autoSpaceDE w:val="0"/>
        <w:autoSpaceDN w:val="0"/>
        <w:adjustRightInd w:val="0"/>
        <w:ind w:left="0"/>
        <w:jc w:val="both"/>
        <w:rPr>
          <w:rFonts w:cs="Times New Roman"/>
          <w:i/>
          <w:sz w:val="20"/>
          <w:szCs w:val="20"/>
        </w:rPr>
      </w:pPr>
      <w:r w:rsidRPr="00F7263B">
        <w:rPr>
          <w:rFonts w:cs="Times New Roman"/>
          <w:i/>
          <w:sz w:val="20"/>
          <w:szCs w:val="20"/>
        </w:rPr>
        <w:t>Financial management</w:t>
      </w:r>
    </w:p>
    <w:p w:rsidR="00192AD2" w:rsidRPr="00F7263B" w:rsidRDefault="00192AD2" w:rsidP="00556F1B">
      <w:pPr>
        <w:pStyle w:val="ListParagraph"/>
        <w:autoSpaceDE w:val="0"/>
        <w:autoSpaceDN w:val="0"/>
        <w:adjustRightInd w:val="0"/>
        <w:ind w:left="0"/>
        <w:jc w:val="both"/>
        <w:rPr>
          <w:rFonts w:cs="Times New Roman"/>
          <w:sz w:val="20"/>
          <w:szCs w:val="20"/>
        </w:rPr>
      </w:pPr>
    </w:p>
    <w:p w:rsidR="00F83B4A" w:rsidRPr="00F7263B" w:rsidRDefault="00892664" w:rsidP="00D92D63">
      <w:pPr>
        <w:pStyle w:val="ListParagraph"/>
        <w:numPr>
          <w:ilvl w:val="0"/>
          <w:numId w:val="9"/>
        </w:numPr>
        <w:autoSpaceDE w:val="0"/>
        <w:autoSpaceDN w:val="0"/>
        <w:adjustRightInd w:val="0"/>
        <w:ind w:left="0" w:firstLine="0"/>
        <w:jc w:val="both"/>
        <w:rPr>
          <w:sz w:val="20"/>
          <w:szCs w:val="20"/>
        </w:rPr>
      </w:pPr>
      <w:r w:rsidRPr="00F7263B">
        <w:rPr>
          <w:sz w:val="20"/>
          <w:szCs w:val="20"/>
        </w:rPr>
        <w:t xml:space="preserve">At the national level, the assessment notes that the Public Expenditure and Financial Accounting </w:t>
      </w:r>
      <w:r w:rsidR="00192AD2" w:rsidRPr="00F7263B">
        <w:rPr>
          <w:sz w:val="20"/>
          <w:szCs w:val="20"/>
        </w:rPr>
        <w:t>(</w:t>
      </w:r>
      <w:r w:rsidRPr="00F7263B">
        <w:rPr>
          <w:sz w:val="20"/>
          <w:szCs w:val="20"/>
        </w:rPr>
        <w:t>PEFA</w:t>
      </w:r>
      <w:r w:rsidR="00192AD2" w:rsidRPr="00F7263B">
        <w:rPr>
          <w:sz w:val="20"/>
          <w:szCs w:val="20"/>
        </w:rPr>
        <w:t>)</w:t>
      </w:r>
      <w:r w:rsidRPr="00F7263B">
        <w:rPr>
          <w:sz w:val="20"/>
          <w:szCs w:val="20"/>
        </w:rPr>
        <w:t xml:space="preserve"> ratings of 2010 had placed Ethiopia in the top tier of countries in the Africa Region in public financial management</w:t>
      </w:r>
      <w:r w:rsidR="00591BA5" w:rsidRPr="00F7263B">
        <w:rPr>
          <w:sz w:val="20"/>
          <w:szCs w:val="20"/>
        </w:rPr>
        <w:t xml:space="preserve">.  </w:t>
      </w:r>
      <w:r w:rsidRPr="00F7263B">
        <w:rPr>
          <w:sz w:val="20"/>
          <w:szCs w:val="20"/>
        </w:rPr>
        <w:t>Some of the areas where further improvements were needed are in the areas of multi-year planning, unreported government operations, Revenue generation including tax collections, budget execution, external and internal audit and external oversight</w:t>
      </w:r>
      <w:r w:rsidR="00591BA5" w:rsidRPr="00F7263B">
        <w:rPr>
          <w:sz w:val="20"/>
          <w:szCs w:val="20"/>
        </w:rPr>
        <w:t xml:space="preserve">.  </w:t>
      </w:r>
      <w:r w:rsidR="001A09AD" w:rsidRPr="00F7263B">
        <w:rPr>
          <w:sz w:val="20"/>
          <w:szCs w:val="20"/>
        </w:rPr>
        <w:t xml:space="preserve">The </w:t>
      </w:r>
      <w:r w:rsidRPr="00F7263B">
        <w:rPr>
          <w:sz w:val="20"/>
          <w:szCs w:val="20"/>
        </w:rPr>
        <w:t>Government of Ethiopia has a well-designed public financial reform program that is addressing these weaknesses in a systematic manner.</w:t>
      </w:r>
    </w:p>
    <w:p w:rsidR="00892664" w:rsidRPr="00F7263B" w:rsidRDefault="00892664" w:rsidP="00892664">
      <w:pPr>
        <w:pStyle w:val="ListParagraph"/>
        <w:rPr>
          <w:sz w:val="20"/>
          <w:szCs w:val="20"/>
        </w:rPr>
      </w:pPr>
    </w:p>
    <w:p w:rsidR="00892664" w:rsidRPr="00F7263B" w:rsidRDefault="00892664" w:rsidP="00895DC3">
      <w:pPr>
        <w:pStyle w:val="ListParagraph"/>
        <w:numPr>
          <w:ilvl w:val="0"/>
          <w:numId w:val="9"/>
        </w:numPr>
        <w:autoSpaceDE w:val="0"/>
        <w:autoSpaceDN w:val="0"/>
        <w:adjustRightInd w:val="0"/>
        <w:ind w:left="0" w:firstLine="0"/>
        <w:jc w:val="both"/>
        <w:rPr>
          <w:sz w:val="20"/>
          <w:szCs w:val="20"/>
        </w:rPr>
      </w:pPr>
      <w:r w:rsidRPr="00F7263B">
        <w:rPr>
          <w:sz w:val="20"/>
          <w:szCs w:val="20"/>
        </w:rPr>
        <w:t xml:space="preserve">This </w:t>
      </w:r>
      <w:r w:rsidR="00587D5B" w:rsidRPr="00F7263B">
        <w:rPr>
          <w:sz w:val="20"/>
          <w:szCs w:val="20"/>
        </w:rPr>
        <w:t>financial man</w:t>
      </w:r>
      <w:r w:rsidR="00B56D25" w:rsidRPr="00F7263B">
        <w:rPr>
          <w:sz w:val="20"/>
          <w:szCs w:val="20"/>
        </w:rPr>
        <w:t>a</w:t>
      </w:r>
      <w:r w:rsidR="00587D5B" w:rsidRPr="00F7263B">
        <w:rPr>
          <w:sz w:val="20"/>
          <w:szCs w:val="20"/>
        </w:rPr>
        <w:t xml:space="preserve">gement </w:t>
      </w:r>
      <w:r w:rsidRPr="00F7263B">
        <w:rPr>
          <w:sz w:val="20"/>
          <w:szCs w:val="20"/>
        </w:rPr>
        <w:t xml:space="preserve">assessment builds on the lessons learnt during the implementation period of </w:t>
      </w:r>
      <w:r w:rsidR="00E6356F" w:rsidRPr="00F7263B">
        <w:rPr>
          <w:sz w:val="20"/>
          <w:szCs w:val="20"/>
        </w:rPr>
        <w:t xml:space="preserve">the </w:t>
      </w:r>
      <w:r w:rsidRPr="00F7263B">
        <w:rPr>
          <w:sz w:val="20"/>
          <w:szCs w:val="20"/>
        </w:rPr>
        <w:t>ULGDP (2008</w:t>
      </w:r>
      <w:r w:rsidR="001A09AD" w:rsidRPr="00F7263B">
        <w:rPr>
          <w:sz w:val="20"/>
          <w:szCs w:val="20"/>
        </w:rPr>
        <w:t>–</w:t>
      </w:r>
      <w:r w:rsidRPr="00F7263B">
        <w:rPr>
          <w:sz w:val="20"/>
          <w:szCs w:val="20"/>
        </w:rPr>
        <w:t>13)</w:t>
      </w:r>
      <w:r w:rsidR="00591BA5" w:rsidRPr="00F7263B">
        <w:rPr>
          <w:sz w:val="20"/>
          <w:szCs w:val="20"/>
        </w:rPr>
        <w:t xml:space="preserve">.  </w:t>
      </w:r>
      <w:r w:rsidR="00E6356F" w:rsidRPr="00F7263B">
        <w:rPr>
          <w:sz w:val="20"/>
          <w:szCs w:val="20"/>
        </w:rPr>
        <w:t>The challenges faced by the ULGDP</w:t>
      </w:r>
      <w:r w:rsidRPr="00F7263B">
        <w:rPr>
          <w:sz w:val="20"/>
          <w:szCs w:val="20"/>
        </w:rPr>
        <w:t xml:space="preserve"> were that the program was implemented as a special purpose grant outside of government systems at the region and city level, and that cities used a mixture of manual accounting, </w:t>
      </w:r>
      <w:r w:rsidR="00E6356F" w:rsidRPr="00F7263B">
        <w:rPr>
          <w:sz w:val="20"/>
          <w:szCs w:val="20"/>
        </w:rPr>
        <w:t xml:space="preserve">the </w:t>
      </w:r>
      <w:r w:rsidRPr="00F7263B">
        <w:rPr>
          <w:sz w:val="20"/>
          <w:szCs w:val="20"/>
        </w:rPr>
        <w:t>IBEX accounting system</w:t>
      </w:r>
      <w:r w:rsidR="00E6356F" w:rsidRPr="00F7263B">
        <w:rPr>
          <w:sz w:val="20"/>
          <w:szCs w:val="20"/>
        </w:rPr>
        <w:t>,</w:t>
      </w:r>
      <w:r w:rsidRPr="00F7263B">
        <w:rPr>
          <w:sz w:val="20"/>
          <w:szCs w:val="20"/>
        </w:rPr>
        <w:t xml:space="preserve"> and discrete systems such as Peachtree to account for </w:t>
      </w:r>
      <w:r w:rsidR="00E6356F" w:rsidRPr="00F7263B">
        <w:rPr>
          <w:sz w:val="20"/>
          <w:szCs w:val="20"/>
        </w:rPr>
        <w:t xml:space="preserve">the </w:t>
      </w:r>
      <w:r w:rsidRPr="00F7263B">
        <w:rPr>
          <w:sz w:val="20"/>
          <w:szCs w:val="20"/>
        </w:rPr>
        <w:t>ULGDP</w:t>
      </w:r>
      <w:r w:rsidR="00E6356F" w:rsidRPr="00F7263B">
        <w:rPr>
          <w:sz w:val="20"/>
          <w:szCs w:val="20"/>
        </w:rPr>
        <w:t xml:space="preserve"> expenditures</w:t>
      </w:r>
      <w:r w:rsidR="00591BA5" w:rsidRPr="00F7263B">
        <w:rPr>
          <w:sz w:val="20"/>
          <w:szCs w:val="20"/>
        </w:rPr>
        <w:t xml:space="preserve">.  </w:t>
      </w:r>
      <w:r w:rsidRPr="00F7263B">
        <w:rPr>
          <w:sz w:val="20"/>
          <w:szCs w:val="20"/>
        </w:rPr>
        <w:t>In the initial years of the program, this led of large variation in reporting on ULGDP between the city level, regional level and federal level</w:t>
      </w:r>
      <w:r w:rsidR="00591BA5" w:rsidRPr="00F7263B">
        <w:rPr>
          <w:sz w:val="20"/>
          <w:szCs w:val="20"/>
        </w:rPr>
        <w:t xml:space="preserve">.  </w:t>
      </w:r>
      <w:r w:rsidRPr="00F7263B">
        <w:rPr>
          <w:sz w:val="20"/>
          <w:szCs w:val="20"/>
        </w:rPr>
        <w:t>Since the APA did not take place in a timely manner as scheduled, there were delays in release of funds, resulting in cities being forced to manage two capital investment budgets</w:t>
      </w:r>
      <w:r w:rsidR="00E81555" w:rsidRPr="00F7263B">
        <w:rPr>
          <w:sz w:val="20"/>
          <w:szCs w:val="20"/>
        </w:rPr>
        <w:t>,</w:t>
      </w:r>
      <w:r w:rsidRPr="00F7263B">
        <w:rPr>
          <w:sz w:val="20"/>
          <w:szCs w:val="20"/>
        </w:rPr>
        <w:t xml:space="preserve"> their own and those funded by ULGDP</w:t>
      </w:r>
      <w:r w:rsidR="00591BA5" w:rsidRPr="00F7263B">
        <w:rPr>
          <w:sz w:val="20"/>
          <w:szCs w:val="20"/>
        </w:rPr>
        <w:t xml:space="preserve">.  </w:t>
      </w:r>
      <w:r w:rsidR="00E81555" w:rsidRPr="00F7263B">
        <w:rPr>
          <w:sz w:val="20"/>
          <w:szCs w:val="20"/>
        </w:rPr>
        <w:t>The f</w:t>
      </w:r>
      <w:r w:rsidRPr="00F7263B">
        <w:rPr>
          <w:sz w:val="20"/>
          <w:szCs w:val="20"/>
        </w:rPr>
        <w:t>low of funds was therefore a challenge</w:t>
      </w:r>
      <w:r w:rsidR="00591BA5" w:rsidRPr="00F7263B">
        <w:rPr>
          <w:sz w:val="20"/>
          <w:szCs w:val="20"/>
        </w:rPr>
        <w:t xml:space="preserve">.  </w:t>
      </w:r>
      <w:r w:rsidRPr="00F7263B">
        <w:rPr>
          <w:sz w:val="20"/>
          <w:szCs w:val="20"/>
        </w:rPr>
        <w:t>Internal audit is an area of weakness across the country</w:t>
      </w:r>
      <w:r w:rsidR="00591BA5" w:rsidRPr="00F7263B">
        <w:rPr>
          <w:sz w:val="20"/>
          <w:szCs w:val="20"/>
        </w:rPr>
        <w:t xml:space="preserve">.  </w:t>
      </w:r>
      <w:r w:rsidRPr="00F7263B">
        <w:rPr>
          <w:sz w:val="20"/>
          <w:szCs w:val="20"/>
        </w:rPr>
        <w:t>In the cities covered by ULGDP this has remained a major area of weakness</w:t>
      </w:r>
      <w:r w:rsidR="00E81555" w:rsidRPr="00F7263B">
        <w:rPr>
          <w:sz w:val="20"/>
          <w:szCs w:val="20"/>
        </w:rPr>
        <w:t xml:space="preserve">. </w:t>
      </w:r>
      <w:r w:rsidRPr="00F7263B">
        <w:rPr>
          <w:sz w:val="20"/>
          <w:szCs w:val="20"/>
        </w:rPr>
        <w:t xml:space="preserve"> While the backlog of external audit</w:t>
      </w:r>
      <w:r w:rsidR="00E81555" w:rsidRPr="00F7263B">
        <w:rPr>
          <w:sz w:val="20"/>
          <w:szCs w:val="20"/>
        </w:rPr>
        <w:t>s</w:t>
      </w:r>
      <w:r w:rsidRPr="00F7263B">
        <w:rPr>
          <w:sz w:val="20"/>
          <w:szCs w:val="20"/>
        </w:rPr>
        <w:t xml:space="preserve"> has </w:t>
      </w:r>
      <w:r w:rsidR="00E81555" w:rsidRPr="00F7263B">
        <w:rPr>
          <w:sz w:val="20"/>
          <w:szCs w:val="20"/>
        </w:rPr>
        <w:t xml:space="preserve">been resolved </w:t>
      </w:r>
      <w:r w:rsidRPr="00F7263B">
        <w:rPr>
          <w:sz w:val="20"/>
          <w:szCs w:val="20"/>
        </w:rPr>
        <w:t>and the ratings of all cities have now been classified as “qualified</w:t>
      </w:r>
      <w:r w:rsidR="00E81555" w:rsidRPr="00F7263B">
        <w:rPr>
          <w:sz w:val="20"/>
          <w:szCs w:val="20"/>
        </w:rPr>
        <w:t>,</w:t>
      </w:r>
      <w:r w:rsidRPr="00F7263B">
        <w:rPr>
          <w:sz w:val="20"/>
          <w:szCs w:val="20"/>
        </w:rPr>
        <w:t>” there is significant variation in risk between all the cities classified as “qualified</w:t>
      </w:r>
      <w:r w:rsidR="00E81555" w:rsidRPr="00F7263B">
        <w:rPr>
          <w:sz w:val="20"/>
          <w:szCs w:val="20"/>
        </w:rPr>
        <w:t>.</w:t>
      </w:r>
      <w:r w:rsidRPr="00F7263B">
        <w:rPr>
          <w:sz w:val="20"/>
          <w:szCs w:val="20"/>
        </w:rPr>
        <w:t>”There is need to improve the quality of external audit</w:t>
      </w:r>
      <w:r w:rsidR="00E81555" w:rsidRPr="00F7263B">
        <w:rPr>
          <w:sz w:val="20"/>
          <w:szCs w:val="20"/>
        </w:rPr>
        <w:t>s</w:t>
      </w:r>
      <w:r w:rsidR="005225B9" w:rsidRPr="00F7263B">
        <w:rPr>
          <w:sz w:val="20"/>
          <w:szCs w:val="20"/>
        </w:rPr>
        <w:t xml:space="preserve"> and</w:t>
      </w:r>
      <w:r w:rsidR="00E81555" w:rsidRPr="00F7263B">
        <w:rPr>
          <w:sz w:val="20"/>
          <w:szCs w:val="20"/>
        </w:rPr>
        <w:t xml:space="preserve">their </w:t>
      </w:r>
      <w:r w:rsidRPr="00F7263B">
        <w:rPr>
          <w:sz w:val="20"/>
          <w:szCs w:val="20"/>
        </w:rPr>
        <w:t>coverage</w:t>
      </w:r>
      <w:r w:rsidR="005225B9" w:rsidRPr="00F7263B">
        <w:rPr>
          <w:sz w:val="20"/>
          <w:szCs w:val="20"/>
        </w:rPr>
        <w:t>.  ULGs also need to address issues highlighted in the audit reports.</w:t>
      </w:r>
      <w:r w:rsidRPr="00F7263B">
        <w:rPr>
          <w:sz w:val="20"/>
          <w:szCs w:val="20"/>
        </w:rPr>
        <w:t>There are five cities where follow up to audit report findings varies from 0</w:t>
      </w:r>
      <w:r w:rsidR="00E92CCA" w:rsidRPr="00F7263B">
        <w:rPr>
          <w:sz w:val="20"/>
          <w:szCs w:val="20"/>
        </w:rPr>
        <w:t>–</w:t>
      </w:r>
      <w:r w:rsidRPr="00F7263B">
        <w:rPr>
          <w:sz w:val="20"/>
          <w:szCs w:val="20"/>
        </w:rPr>
        <w:t>40</w:t>
      </w:r>
      <w:r w:rsidR="00E92CCA" w:rsidRPr="00F7263B">
        <w:rPr>
          <w:sz w:val="20"/>
          <w:szCs w:val="20"/>
        </w:rPr>
        <w:t xml:space="preserve"> percent,</w:t>
      </w:r>
      <w:r w:rsidRPr="00F7263B">
        <w:rPr>
          <w:sz w:val="20"/>
          <w:szCs w:val="20"/>
        </w:rPr>
        <w:t xml:space="preserve"> and this is a major area of concern</w:t>
      </w:r>
      <w:r w:rsidR="00591BA5" w:rsidRPr="00F7263B">
        <w:rPr>
          <w:sz w:val="20"/>
          <w:szCs w:val="20"/>
        </w:rPr>
        <w:t xml:space="preserve">.  </w:t>
      </w:r>
      <w:r w:rsidRPr="00F7263B">
        <w:rPr>
          <w:sz w:val="20"/>
          <w:szCs w:val="20"/>
        </w:rPr>
        <w:t>On the revenue side, while cities seem to have made remarkable progress in increasing own source revenue, there is a possibility of “gaming” with 11 of the 18 cities exceeding their own revenue targets in EFY 2004</w:t>
      </w:r>
      <w:r w:rsidR="00E92CCA" w:rsidRPr="00F7263B">
        <w:rPr>
          <w:sz w:val="20"/>
          <w:szCs w:val="20"/>
        </w:rPr>
        <w:t>;</w:t>
      </w:r>
      <w:r w:rsidR="00D96672" w:rsidRPr="00F7263B">
        <w:rPr>
          <w:sz w:val="20"/>
          <w:szCs w:val="20"/>
        </w:rPr>
        <w:t xml:space="preserve"> progress has been most significant on the state revenues rather than on the municipal revenues</w:t>
      </w:r>
      <w:r w:rsidR="00591BA5" w:rsidRPr="00F7263B">
        <w:rPr>
          <w:sz w:val="20"/>
          <w:szCs w:val="20"/>
        </w:rPr>
        <w:t xml:space="preserve">.  </w:t>
      </w:r>
      <w:r w:rsidRPr="00F7263B">
        <w:rPr>
          <w:sz w:val="20"/>
          <w:szCs w:val="20"/>
        </w:rPr>
        <w:t xml:space="preserve">Going forward there is </w:t>
      </w:r>
      <w:r w:rsidR="00E92CCA" w:rsidRPr="00F7263B">
        <w:rPr>
          <w:sz w:val="20"/>
          <w:szCs w:val="20"/>
        </w:rPr>
        <w:t xml:space="preserve">a </w:t>
      </w:r>
      <w:r w:rsidRPr="00F7263B">
        <w:rPr>
          <w:sz w:val="20"/>
          <w:szCs w:val="20"/>
        </w:rPr>
        <w:t>need for</w:t>
      </w:r>
      <w:r w:rsidR="0017129B" w:rsidRPr="00F7263B">
        <w:rPr>
          <w:sz w:val="20"/>
          <w:szCs w:val="20"/>
        </w:rPr>
        <w:t xml:space="preserve"> clear</w:t>
      </w:r>
      <w:r w:rsidRPr="00F7263B">
        <w:rPr>
          <w:sz w:val="20"/>
          <w:szCs w:val="20"/>
        </w:rPr>
        <w:t xml:space="preserve"> targets to improve revenue collection</w:t>
      </w:r>
      <w:r w:rsidR="00E92CCA" w:rsidRPr="00F7263B">
        <w:rPr>
          <w:sz w:val="20"/>
          <w:szCs w:val="20"/>
        </w:rPr>
        <w:t xml:space="preserve">, and for </w:t>
      </w:r>
      <w:r w:rsidR="0017129B" w:rsidRPr="00F7263B">
        <w:rPr>
          <w:sz w:val="20"/>
          <w:szCs w:val="20"/>
        </w:rPr>
        <w:t xml:space="preserve">performance measures </w:t>
      </w:r>
      <w:r w:rsidR="00E92CCA" w:rsidRPr="00F7263B">
        <w:rPr>
          <w:sz w:val="20"/>
          <w:szCs w:val="20"/>
        </w:rPr>
        <w:t xml:space="preserve">that </w:t>
      </w:r>
      <w:r w:rsidR="0017129B" w:rsidRPr="00F7263B">
        <w:rPr>
          <w:sz w:val="20"/>
          <w:szCs w:val="20"/>
        </w:rPr>
        <w:t>focus on municipal revenue mobilization and</w:t>
      </w:r>
      <w:r w:rsidR="00E92CCA" w:rsidRPr="00F7263B">
        <w:rPr>
          <w:sz w:val="20"/>
          <w:szCs w:val="20"/>
        </w:rPr>
        <w:t xml:space="preserve"> onthe budgetary </w:t>
      </w:r>
      <w:r w:rsidR="0017129B" w:rsidRPr="00F7263B">
        <w:rPr>
          <w:sz w:val="20"/>
          <w:szCs w:val="20"/>
        </w:rPr>
        <w:t>contribution</w:t>
      </w:r>
      <w:r w:rsidR="00E92CCA" w:rsidRPr="00F7263B">
        <w:rPr>
          <w:sz w:val="20"/>
          <w:szCs w:val="20"/>
        </w:rPr>
        <w:t xml:space="preserve"> of ULGsfor </w:t>
      </w:r>
      <w:r w:rsidR="0017129B" w:rsidRPr="00F7263B">
        <w:rPr>
          <w:sz w:val="20"/>
          <w:szCs w:val="20"/>
        </w:rPr>
        <w:t>urban investments and maintenance</w:t>
      </w:r>
      <w:r w:rsidRPr="00F7263B">
        <w:rPr>
          <w:sz w:val="20"/>
          <w:szCs w:val="20"/>
        </w:rPr>
        <w:t>.</w:t>
      </w:r>
    </w:p>
    <w:p w:rsidR="00892664" w:rsidRPr="00F7263B" w:rsidRDefault="00892664" w:rsidP="00892664">
      <w:pPr>
        <w:pStyle w:val="ListParagraph"/>
        <w:autoSpaceDE w:val="0"/>
        <w:autoSpaceDN w:val="0"/>
        <w:adjustRightInd w:val="0"/>
        <w:ind w:left="0"/>
        <w:rPr>
          <w:sz w:val="20"/>
          <w:szCs w:val="20"/>
        </w:rPr>
      </w:pPr>
    </w:p>
    <w:p w:rsidR="00892664" w:rsidRPr="00F7263B" w:rsidRDefault="00892664" w:rsidP="00D92D63">
      <w:pPr>
        <w:pStyle w:val="ListParagraph"/>
        <w:numPr>
          <w:ilvl w:val="0"/>
          <w:numId w:val="9"/>
        </w:numPr>
        <w:autoSpaceDE w:val="0"/>
        <w:autoSpaceDN w:val="0"/>
        <w:adjustRightInd w:val="0"/>
        <w:ind w:left="0" w:firstLine="0"/>
        <w:jc w:val="both"/>
        <w:rPr>
          <w:sz w:val="20"/>
          <w:szCs w:val="20"/>
        </w:rPr>
      </w:pPr>
      <w:r w:rsidRPr="00F7263B">
        <w:rPr>
          <w:sz w:val="20"/>
          <w:szCs w:val="20"/>
        </w:rPr>
        <w:t>Many of these issues will be addressed during ULGDP II</w:t>
      </w:r>
      <w:r w:rsidR="00591BA5" w:rsidRPr="00F7263B">
        <w:rPr>
          <w:sz w:val="20"/>
          <w:szCs w:val="20"/>
        </w:rPr>
        <w:t xml:space="preserve">.  </w:t>
      </w:r>
      <w:r w:rsidRPr="00F7263B">
        <w:rPr>
          <w:sz w:val="20"/>
          <w:szCs w:val="20"/>
        </w:rPr>
        <w:t>It has been agreed that the template for PSCAP for</w:t>
      </w:r>
      <w:r w:rsidR="008A0497" w:rsidRPr="00F7263B">
        <w:rPr>
          <w:sz w:val="20"/>
          <w:szCs w:val="20"/>
        </w:rPr>
        <w:t xml:space="preserve"> proclaiming the budget</w:t>
      </w:r>
      <w:r w:rsidR="00E92CCA" w:rsidRPr="00F7263B">
        <w:rPr>
          <w:sz w:val="20"/>
          <w:szCs w:val="20"/>
        </w:rPr>
        <w:t xml:space="preserve"> will be followed</w:t>
      </w:r>
      <w:r w:rsidR="00591BA5" w:rsidRPr="00F7263B">
        <w:rPr>
          <w:sz w:val="20"/>
          <w:szCs w:val="20"/>
        </w:rPr>
        <w:t xml:space="preserve">.  </w:t>
      </w:r>
      <w:r w:rsidRPr="00F7263B">
        <w:rPr>
          <w:sz w:val="20"/>
          <w:szCs w:val="20"/>
        </w:rPr>
        <w:t>This budget will not only specify the flow of resources to the city level but will also enable the tracking of funding used at the sub</w:t>
      </w:r>
      <w:r w:rsidR="008A0497" w:rsidRPr="00F7263B">
        <w:rPr>
          <w:sz w:val="20"/>
          <w:szCs w:val="20"/>
        </w:rPr>
        <w:t>-</w:t>
      </w:r>
      <w:r w:rsidRPr="00F7263B">
        <w:rPr>
          <w:sz w:val="20"/>
          <w:szCs w:val="20"/>
        </w:rPr>
        <w:t>program level within the city</w:t>
      </w:r>
      <w:r w:rsidR="00591BA5" w:rsidRPr="00F7263B">
        <w:rPr>
          <w:sz w:val="20"/>
          <w:szCs w:val="20"/>
        </w:rPr>
        <w:t xml:space="preserve">.  </w:t>
      </w:r>
      <w:r w:rsidRPr="00F7263B">
        <w:rPr>
          <w:sz w:val="20"/>
          <w:szCs w:val="20"/>
        </w:rPr>
        <w:t>Fund flows will greatly improve</w:t>
      </w:r>
      <w:r w:rsidR="008A0497" w:rsidRPr="00F7263B">
        <w:rPr>
          <w:sz w:val="20"/>
          <w:szCs w:val="20"/>
        </w:rPr>
        <w:t>,</w:t>
      </w:r>
      <w:r w:rsidRPr="00F7263B">
        <w:rPr>
          <w:sz w:val="20"/>
          <w:szCs w:val="20"/>
        </w:rPr>
        <w:t xml:space="preserve"> since funds will be disbursed twice a year through government systems</w:t>
      </w:r>
      <w:r w:rsidR="00E92CCA" w:rsidRPr="00F7263B">
        <w:rPr>
          <w:sz w:val="20"/>
          <w:szCs w:val="20"/>
        </w:rPr>
        <w:t>,</w:t>
      </w:r>
      <w:r w:rsidRPr="00F7263B">
        <w:rPr>
          <w:sz w:val="20"/>
          <w:szCs w:val="20"/>
        </w:rPr>
        <w:t xml:space="preserve"> and cities will have </w:t>
      </w:r>
      <w:r w:rsidR="00E92CCA" w:rsidRPr="00F7263B">
        <w:rPr>
          <w:sz w:val="20"/>
          <w:szCs w:val="20"/>
        </w:rPr>
        <w:t xml:space="preserve">a </w:t>
      </w:r>
      <w:r w:rsidRPr="00F7263B">
        <w:rPr>
          <w:sz w:val="20"/>
          <w:szCs w:val="20"/>
        </w:rPr>
        <w:t>predictable flow of resources</w:t>
      </w:r>
      <w:r w:rsidR="00591BA5" w:rsidRPr="00F7263B">
        <w:rPr>
          <w:sz w:val="20"/>
          <w:szCs w:val="20"/>
        </w:rPr>
        <w:t xml:space="preserve">.  </w:t>
      </w:r>
      <w:r w:rsidRPr="00F7263B">
        <w:rPr>
          <w:sz w:val="20"/>
          <w:szCs w:val="20"/>
        </w:rPr>
        <w:t>All 44 cities covered by ULGDP II are now using IBEX for accounting for government funds</w:t>
      </w:r>
      <w:r w:rsidR="00591BA5" w:rsidRPr="00F7263B">
        <w:rPr>
          <w:sz w:val="20"/>
          <w:szCs w:val="20"/>
        </w:rPr>
        <w:t xml:space="preserve">.  </w:t>
      </w:r>
      <w:r w:rsidRPr="00F7263B">
        <w:rPr>
          <w:sz w:val="20"/>
          <w:szCs w:val="20"/>
        </w:rPr>
        <w:t>The use of IBEX will be standardized for ULGDP and resources for equipment and training will be provided to the cities</w:t>
      </w:r>
      <w:r w:rsidR="00591BA5" w:rsidRPr="00F7263B">
        <w:rPr>
          <w:sz w:val="20"/>
          <w:szCs w:val="20"/>
        </w:rPr>
        <w:t>.</w:t>
      </w:r>
      <w:r w:rsidRPr="00F7263B">
        <w:rPr>
          <w:sz w:val="20"/>
          <w:szCs w:val="20"/>
        </w:rPr>
        <w:t>This should greatly improve accounting and reporting</w:t>
      </w:r>
      <w:r w:rsidR="00591BA5" w:rsidRPr="00F7263B">
        <w:rPr>
          <w:sz w:val="20"/>
          <w:szCs w:val="20"/>
        </w:rPr>
        <w:t xml:space="preserve">.  </w:t>
      </w:r>
      <w:r w:rsidRPr="00F7263B">
        <w:rPr>
          <w:sz w:val="20"/>
          <w:szCs w:val="20"/>
        </w:rPr>
        <w:t>On internal audit, M</w:t>
      </w:r>
      <w:r w:rsidR="008A0497" w:rsidRPr="00F7263B">
        <w:rPr>
          <w:sz w:val="20"/>
          <w:szCs w:val="20"/>
        </w:rPr>
        <w:t>o</w:t>
      </w:r>
      <w:r w:rsidRPr="00F7263B">
        <w:rPr>
          <w:sz w:val="20"/>
          <w:szCs w:val="20"/>
        </w:rPr>
        <w:t>FED</w:t>
      </w:r>
      <w:r w:rsidR="008A0497" w:rsidRPr="00F7263B">
        <w:rPr>
          <w:sz w:val="20"/>
          <w:szCs w:val="20"/>
        </w:rPr>
        <w:t>’</w:t>
      </w:r>
      <w:r w:rsidRPr="00F7263B">
        <w:rPr>
          <w:sz w:val="20"/>
          <w:szCs w:val="20"/>
        </w:rPr>
        <w:t>s</w:t>
      </w:r>
      <w:r w:rsidR="00A2314D">
        <w:rPr>
          <w:sz w:val="20"/>
          <w:szCs w:val="20"/>
        </w:rPr>
        <w:t xml:space="preserve"> </w:t>
      </w:r>
      <w:r w:rsidR="008A0497" w:rsidRPr="00F7263B">
        <w:rPr>
          <w:sz w:val="20"/>
          <w:szCs w:val="20"/>
        </w:rPr>
        <w:t>inspection d</w:t>
      </w:r>
      <w:r w:rsidRPr="00F7263B">
        <w:rPr>
          <w:sz w:val="20"/>
          <w:szCs w:val="20"/>
        </w:rPr>
        <w:t>epartment will take the lead in improving the quality and timeliness of internal audit reports</w:t>
      </w:r>
      <w:r w:rsidR="00591BA5" w:rsidRPr="00F7263B">
        <w:rPr>
          <w:sz w:val="20"/>
          <w:szCs w:val="20"/>
        </w:rPr>
        <w:t xml:space="preserve">.  </w:t>
      </w:r>
      <w:r w:rsidRPr="00F7263B">
        <w:rPr>
          <w:sz w:val="20"/>
          <w:szCs w:val="20"/>
        </w:rPr>
        <w:t>They will engage with</w:t>
      </w:r>
      <w:r w:rsidR="004503DE" w:rsidRPr="00F7263B">
        <w:rPr>
          <w:sz w:val="20"/>
          <w:szCs w:val="20"/>
        </w:rPr>
        <w:t xml:space="preserve"> the</w:t>
      </w:r>
      <w:r w:rsidRPr="00F7263B">
        <w:rPr>
          <w:sz w:val="20"/>
          <w:szCs w:val="20"/>
        </w:rPr>
        <w:t xml:space="preserve"> internal audit units in the 44 cities and provide ongoing support in this area</w:t>
      </w:r>
      <w:r w:rsidR="00591BA5" w:rsidRPr="00F7263B">
        <w:rPr>
          <w:sz w:val="20"/>
          <w:szCs w:val="20"/>
        </w:rPr>
        <w:t xml:space="preserve">.  </w:t>
      </w:r>
      <w:r w:rsidRPr="00F7263B">
        <w:rPr>
          <w:sz w:val="20"/>
          <w:szCs w:val="20"/>
        </w:rPr>
        <w:t>In the area of external audit, OFAG will take responsibility for ensuring that quality audits are produced in a timely manner</w:t>
      </w:r>
      <w:r w:rsidR="00591BA5" w:rsidRPr="00F7263B">
        <w:rPr>
          <w:sz w:val="20"/>
          <w:szCs w:val="20"/>
        </w:rPr>
        <w:t xml:space="preserve">.  </w:t>
      </w:r>
      <w:r w:rsidRPr="00F7263B">
        <w:rPr>
          <w:sz w:val="20"/>
          <w:szCs w:val="20"/>
        </w:rPr>
        <w:t>OFAG will engage with ORAGs to ensure that this happens in a cost efficient and timely manner</w:t>
      </w:r>
      <w:r w:rsidR="00591BA5" w:rsidRPr="00F7263B">
        <w:rPr>
          <w:sz w:val="20"/>
          <w:szCs w:val="20"/>
        </w:rPr>
        <w:t xml:space="preserve">.  </w:t>
      </w:r>
      <w:r w:rsidRPr="00F7263B">
        <w:rPr>
          <w:sz w:val="20"/>
          <w:szCs w:val="20"/>
        </w:rPr>
        <w:t>To ensure effective follow up of external audit findings, an incentive system is being built into the DLI system under ULGDP II</w:t>
      </w:r>
      <w:r w:rsidR="00591BA5" w:rsidRPr="00F7263B">
        <w:rPr>
          <w:sz w:val="20"/>
          <w:szCs w:val="20"/>
        </w:rPr>
        <w:t xml:space="preserve">.  </w:t>
      </w:r>
      <w:r w:rsidRPr="00F7263B">
        <w:rPr>
          <w:sz w:val="20"/>
          <w:szCs w:val="20"/>
        </w:rPr>
        <w:t>Through these initiatives</w:t>
      </w:r>
      <w:r w:rsidR="004503DE" w:rsidRPr="00F7263B">
        <w:rPr>
          <w:sz w:val="20"/>
          <w:szCs w:val="20"/>
        </w:rPr>
        <w:t>,</w:t>
      </w:r>
      <w:r w:rsidRPr="00F7263B">
        <w:rPr>
          <w:sz w:val="20"/>
          <w:szCs w:val="20"/>
        </w:rPr>
        <w:t xml:space="preserve"> it is expected that most of the financial management issues of concern </w:t>
      </w:r>
      <w:r w:rsidR="004503DE" w:rsidRPr="00F7263B">
        <w:rPr>
          <w:sz w:val="20"/>
          <w:szCs w:val="20"/>
        </w:rPr>
        <w:t xml:space="preserve">under the </w:t>
      </w:r>
      <w:r w:rsidRPr="00F7263B">
        <w:rPr>
          <w:sz w:val="20"/>
          <w:szCs w:val="20"/>
        </w:rPr>
        <w:t>ULGDP would have been adequately addressed.</w:t>
      </w:r>
      <w:r w:rsidR="00587D5B" w:rsidRPr="00F7263B">
        <w:rPr>
          <w:b/>
          <w:i/>
          <w:sz w:val="20"/>
          <w:szCs w:val="20"/>
        </w:rPr>
        <w:t xml:space="preserve">It is the conclusion of the financial management assessment that the </w:t>
      </w:r>
      <w:r w:rsidR="00BD1F6A" w:rsidRPr="00F7263B">
        <w:rPr>
          <w:b/>
          <w:i/>
          <w:sz w:val="20"/>
          <w:szCs w:val="20"/>
        </w:rPr>
        <w:t xml:space="preserve">financial management </w:t>
      </w:r>
      <w:r w:rsidR="00587D5B" w:rsidRPr="00F7263B">
        <w:rPr>
          <w:b/>
          <w:i/>
          <w:sz w:val="20"/>
          <w:szCs w:val="20"/>
        </w:rPr>
        <w:t>risk rating is Substantial</w:t>
      </w:r>
      <w:r w:rsidR="00BD1F6A" w:rsidRPr="00F7263B">
        <w:rPr>
          <w:b/>
          <w:i/>
          <w:sz w:val="20"/>
          <w:szCs w:val="20"/>
        </w:rPr>
        <w:t>.</w:t>
      </w:r>
    </w:p>
    <w:p w:rsidR="00892664" w:rsidRPr="00F7263B" w:rsidRDefault="00892664" w:rsidP="00892664">
      <w:pPr>
        <w:pStyle w:val="ListParagraph"/>
        <w:autoSpaceDE w:val="0"/>
        <w:autoSpaceDN w:val="0"/>
        <w:adjustRightInd w:val="0"/>
        <w:ind w:left="0"/>
        <w:jc w:val="both"/>
        <w:rPr>
          <w:sz w:val="20"/>
          <w:szCs w:val="20"/>
        </w:rPr>
      </w:pPr>
    </w:p>
    <w:p w:rsidR="008A0497" w:rsidRPr="00F7263B" w:rsidRDefault="008A0497" w:rsidP="00892664">
      <w:pPr>
        <w:pStyle w:val="ListParagraph"/>
        <w:autoSpaceDE w:val="0"/>
        <w:autoSpaceDN w:val="0"/>
        <w:adjustRightInd w:val="0"/>
        <w:ind w:left="0"/>
        <w:jc w:val="both"/>
        <w:rPr>
          <w:i/>
          <w:sz w:val="20"/>
          <w:szCs w:val="20"/>
        </w:rPr>
      </w:pPr>
      <w:r w:rsidRPr="00F7263B">
        <w:rPr>
          <w:i/>
          <w:sz w:val="20"/>
          <w:szCs w:val="20"/>
        </w:rPr>
        <w:t>Procurement</w:t>
      </w:r>
    </w:p>
    <w:p w:rsidR="008A0497" w:rsidRPr="00F7263B" w:rsidRDefault="008A0497" w:rsidP="00892664">
      <w:pPr>
        <w:pStyle w:val="ListParagraph"/>
        <w:autoSpaceDE w:val="0"/>
        <w:autoSpaceDN w:val="0"/>
        <w:adjustRightInd w:val="0"/>
        <w:ind w:left="0"/>
        <w:jc w:val="both"/>
        <w:rPr>
          <w:sz w:val="20"/>
          <w:szCs w:val="20"/>
        </w:rPr>
      </w:pPr>
    </w:p>
    <w:p w:rsidR="00892664" w:rsidRPr="00F7263B" w:rsidRDefault="00892664" w:rsidP="00D92D63">
      <w:pPr>
        <w:pStyle w:val="ListParagraph"/>
        <w:numPr>
          <w:ilvl w:val="0"/>
          <w:numId w:val="9"/>
        </w:numPr>
        <w:autoSpaceDE w:val="0"/>
        <w:autoSpaceDN w:val="0"/>
        <w:adjustRightInd w:val="0"/>
        <w:spacing w:after="240"/>
        <w:ind w:left="0" w:firstLine="0"/>
        <w:jc w:val="both"/>
        <w:rPr>
          <w:rFonts w:eastAsia="Calibri" w:cs="Times New Roman"/>
          <w:sz w:val="20"/>
          <w:szCs w:val="20"/>
        </w:rPr>
      </w:pPr>
      <w:r w:rsidRPr="00F7263B">
        <w:rPr>
          <w:rFonts w:eastAsia="Calibri" w:cs="Times New Roman"/>
          <w:b/>
          <w:sz w:val="20"/>
          <w:szCs w:val="20"/>
        </w:rPr>
        <w:t>The detail</w:t>
      </w:r>
      <w:r w:rsidR="008A0497" w:rsidRPr="00F7263B">
        <w:rPr>
          <w:rFonts w:eastAsia="Calibri" w:cs="Times New Roman"/>
          <w:b/>
          <w:sz w:val="20"/>
          <w:szCs w:val="20"/>
        </w:rPr>
        <w:t>ed</w:t>
      </w:r>
      <w:r w:rsidRPr="00F7263B">
        <w:rPr>
          <w:rFonts w:eastAsia="Calibri" w:cs="Times New Roman"/>
          <w:b/>
          <w:sz w:val="20"/>
          <w:szCs w:val="20"/>
        </w:rPr>
        <w:t xml:space="preserve"> procurement assessment reveals that</w:t>
      </w:r>
      <w:r w:rsidR="00A2314D">
        <w:rPr>
          <w:rFonts w:eastAsia="Calibri" w:cs="Times New Roman"/>
          <w:b/>
          <w:sz w:val="20"/>
          <w:szCs w:val="20"/>
        </w:rPr>
        <w:t xml:space="preserve"> </w:t>
      </w:r>
      <w:r w:rsidRPr="00F7263B">
        <w:rPr>
          <w:rFonts w:eastAsia="Calibri" w:cs="Times New Roman"/>
          <w:b/>
          <w:sz w:val="20"/>
          <w:szCs w:val="20"/>
        </w:rPr>
        <w:t>in all region</w:t>
      </w:r>
      <w:r w:rsidR="008A0497" w:rsidRPr="00F7263B">
        <w:rPr>
          <w:rFonts w:eastAsia="Calibri" w:cs="Times New Roman"/>
          <w:b/>
          <w:sz w:val="20"/>
          <w:szCs w:val="20"/>
        </w:rPr>
        <w:t xml:space="preserve">s and </w:t>
      </w:r>
      <w:r w:rsidRPr="00F7263B">
        <w:rPr>
          <w:rFonts w:eastAsia="Calibri" w:cs="Times New Roman"/>
          <w:b/>
          <w:sz w:val="20"/>
          <w:szCs w:val="20"/>
        </w:rPr>
        <w:t>U</w:t>
      </w:r>
      <w:r w:rsidR="008A0497" w:rsidRPr="00F7263B">
        <w:rPr>
          <w:rFonts w:eastAsia="Calibri" w:cs="Times New Roman"/>
          <w:b/>
          <w:sz w:val="20"/>
          <w:szCs w:val="20"/>
        </w:rPr>
        <w:t>L</w:t>
      </w:r>
      <w:r w:rsidRPr="00F7263B">
        <w:rPr>
          <w:rFonts w:eastAsia="Calibri" w:cs="Times New Roman"/>
          <w:b/>
          <w:sz w:val="20"/>
          <w:szCs w:val="20"/>
        </w:rPr>
        <w:t xml:space="preserve">Gs there is </w:t>
      </w:r>
      <w:r w:rsidR="008A0497" w:rsidRPr="00F7263B">
        <w:rPr>
          <w:rFonts w:eastAsia="Calibri" w:cs="Times New Roman"/>
          <w:b/>
          <w:sz w:val="20"/>
          <w:szCs w:val="20"/>
        </w:rPr>
        <w:t xml:space="preserve">an </w:t>
      </w:r>
      <w:r w:rsidRPr="00F7263B">
        <w:rPr>
          <w:rFonts w:eastAsia="Calibri" w:cs="Times New Roman"/>
          <w:b/>
          <w:sz w:val="20"/>
          <w:szCs w:val="20"/>
        </w:rPr>
        <w:t>adequate legislative framework and systems in place</w:t>
      </w:r>
      <w:r w:rsidR="008A0497" w:rsidRPr="00F7263B">
        <w:rPr>
          <w:rFonts w:eastAsia="Calibri" w:cs="Times New Roman"/>
          <w:b/>
          <w:sz w:val="20"/>
          <w:szCs w:val="20"/>
        </w:rPr>
        <w:t xml:space="preserve"> for public procurement and contracts management</w:t>
      </w:r>
      <w:r w:rsidR="00591BA5" w:rsidRPr="00F7263B">
        <w:rPr>
          <w:rFonts w:eastAsia="Calibri" w:cs="Times New Roman"/>
          <w:sz w:val="20"/>
          <w:szCs w:val="20"/>
        </w:rPr>
        <w:t xml:space="preserve">.  </w:t>
      </w:r>
      <w:r w:rsidR="008A0497" w:rsidRPr="00F7263B">
        <w:rPr>
          <w:rFonts w:eastAsia="Calibri" w:cs="Times New Roman"/>
          <w:sz w:val="20"/>
          <w:szCs w:val="20"/>
        </w:rPr>
        <w:t>T</w:t>
      </w:r>
      <w:r w:rsidRPr="00F7263B">
        <w:rPr>
          <w:rFonts w:eastAsia="Calibri" w:cs="Times New Roman"/>
          <w:sz w:val="20"/>
          <w:szCs w:val="20"/>
        </w:rPr>
        <w:t>he major issues with all the implementing agencies</w:t>
      </w:r>
      <w:r w:rsidR="008A0497" w:rsidRPr="00F7263B">
        <w:rPr>
          <w:rFonts w:eastAsia="Calibri" w:cs="Times New Roman"/>
          <w:sz w:val="20"/>
          <w:szCs w:val="20"/>
        </w:rPr>
        <w:t xml:space="preserve"> aside from the MUDHCo</w:t>
      </w:r>
      <w:r w:rsidRPr="00F7263B">
        <w:rPr>
          <w:rFonts w:eastAsia="Calibri" w:cs="Times New Roman"/>
          <w:sz w:val="20"/>
          <w:szCs w:val="20"/>
        </w:rPr>
        <w:t xml:space="preserve"> are the weakness of implementation of the applicable public procurement rules and procedures</w:t>
      </w:r>
      <w:r w:rsidR="008A0497" w:rsidRPr="00F7263B">
        <w:rPr>
          <w:rFonts w:eastAsia="Calibri" w:cs="Times New Roman"/>
          <w:sz w:val="20"/>
          <w:szCs w:val="20"/>
        </w:rPr>
        <w:t>,</w:t>
      </w:r>
      <w:r w:rsidRPr="00F7263B">
        <w:rPr>
          <w:rFonts w:eastAsia="Calibri" w:cs="Times New Roman"/>
          <w:sz w:val="20"/>
          <w:szCs w:val="20"/>
        </w:rPr>
        <w:t xml:space="preserve"> including </w:t>
      </w:r>
      <w:r w:rsidR="008A0497" w:rsidRPr="00F7263B">
        <w:rPr>
          <w:rFonts w:eastAsia="Calibri" w:cs="Times New Roman"/>
          <w:sz w:val="20"/>
          <w:szCs w:val="20"/>
        </w:rPr>
        <w:t xml:space="preserve">the </w:t>
      </w:r>
      <w:r w:rsidRPr="00F7263B">
        <w:rPr>
          <w:rFonts w:eastAsia="Calibri" w:cs="Times New Roman"/>
          <w:sz w:val="20"/>
          <w:szCs w:val="20"/>
        </w:rPr>
        <w:t>oversight mechanism</w:t>
      </w:r>
      <w:r w:rsidR="00591BA5" w:rsidRPr="00F7263B">
        <w:rPr>
          <w:rFonts w:eastAsia="Calibri" w:cs="Times New Roman"/>
          <w:sz w:val="20"/>
          <w:szCs w:val="20"/>
        </w:rPr>
        <w:t xml:space="preserve">.  </w:t>
      </w:r>
      <w:r w:rsidRPr="00F7263B">
        <w:rPr>
          <w:rFonts w:eastAsia="Calibri" w:cs="Times New Roman"/>
          <w:sz w:val="20"/>
          <w:szCs w:val="20"/>
        </w:rPr>
        <w:t xml:space="preserve">The regions as well as the ULGs have limited capacity to follow the rules and procedures and therefore there is risk of the </w:t>
      </w:r>
      <w:r w:rsidR="008A0497" w:rsidRPr="00F7263B">
        <w:rPr>
          <w:rFonts w:eastAsia="Calibri" w:cs="Times New Roman"/>
          <w:sz w:val="20"/>
          <w:szCs w:val="20"/>
        </w:rPr>
        <w:t>entities</w:t>
      </w:r>
      <w:r w:rsidRPr="00F7263B">
        <w:rPr>
          <w:rFonts w:eastAsia="Calibri" w:cs="Times New Roman"/>
          <w:sz w:val="20"/>
          <w:szCs w:val="20"/>
        </w:rPr>
        <w:t>’ performance in implementing the applicable procedures under the program</w:t>
      </w:r>
      <w:r w:rsidR="00591BA5" w:rsidRPr="00F7263B">
        <w:rPr>
          <w:rFonts w:eastAsia="Calibri" w:cs="Times New Roman"/>
          <w:sz w:val="20"/>
          <w:szCs w:val="20"/>
        </w:rPr>
        <w:t xml:space="preserve">.  </w:t>
      </w:r>
      <w:r w:rsidRPr="00F7263B">
        <w:rPr>
          <w:rFonts w:eastAsia="Calibri" w:cs="Times New Roman"/>
          <w:sz w:val="20"/>
          <w:szCs w:val="20"/>
        </w:rPr>
        <w:t>The overall performance of procuring entities (</w:t>
      </w:r>
      <w:r w:rsidR="008A0497" w:rsidRPr="00F7263B">
        <w:rPr>
          <w:rFonts w:eastAsia="Calibri" w:cs="Times New Roman"/>
          <w:sz w:val="20"/>
          <w:szCs w:val="20"/>
        </w:rPr>
        <w:t>ULGs</w:t>
      </w:r>
      <w:r w:rsidRPr="00F7263B">
        <w:rPr>
          <w:rFonts w:eastAsia="Calibri" w:cs="Times New Roman"/>
          <w:sz w:val="20"/>
          <w:szCs w:val="20"/>
        </w:rPr>
        <w:t xml:space="preserve">) in complying with </w:t>
      </w:r>
      <w:r w:rsidR="00493155" w:rsidRPr="00F7263B">
        <w:rPr>
          <w:rFonts w:eastAsia="Calibri" w:cs="Times New Roman"/>
          <w:sz w:val="20"/>
          <w:szCs w:val="20"/>
        </w:rPr>
        <w:t xml:space="preserve">the </w:t>
      </w:r>
      <w:r w:rsidRPr="00F7263B">
        <w:rPr>
          <w:rFonts w:eastAsia="Calibri" w:cs="Times New Roman"/>
          <w:sz w:val="20"/>
          <w:szCs w:val="20"/>
        </w:rPr>
        <w:t>established system and therefore ensur</w:t>
      </w:r>
      <w:r w:rsidR="00493155" w:rsidRPr="00F7263B">
        <w:rPr>
          <w:rFonts w:eastAsia="Calibri" w:cs="Times New Roman"/>
          <w:sz w:val="20"/>
          <w:szCs w:val="20"/>
        </w:rPr>
        <w:t>ing</w:t>
      </w:r>
      <w:r w:rsidRPr="00F7263B">
        <w:rPr>
          <w:rFonts w:eastAsia="Calibri" w:cs="Times New Roman"/>
          <w:sz w:val="20"/>
          <w:szCs w:val="20"/>
        </w:rPr>
        <w:t xml:space="preserve"> transparency, efficiency</w:t>
      </w:r>
      <w:r w:rsidR="008A0497" w:rsidRPr="00F7263B">
        <w:rPr>
          <w:rFonts w:eastAsia="Calibri" w:cs="Times New Roman"/>
          <w:sz w:val="20"/>
          <w:szCs w:val="20"/>
        </w:rPr>
        <w:t>,</w:t>
      </w:r>
      <w:r w:rsidRPr="00F7263B">
        <w:rPr>
          <w:rFonts w:eastAsia="Calibri" w:cs="Times New Roman"/>
          <w:sz w:val="20"/>
          <w:szCs w:val="20"/>
        </w:rPr>
        <w:t xml:space="preserve"> and economy is found to be deficient</w:t>
      </w:r>
      <w:r w:rsidR="00591BA5" w:rsidRPr="00F7263B">
        <w:rPr>
          <w:rFonts w:eastAsia="Calibri" w:cs="Times New Roman"/>
          <w:sz w:val="20"/>
          <w:szCs w:val="20"/>
        </w:rPr>
        <w:t xml:space="preserve">.  </w:t>
      </w:r>
      <w:r w:rsidRPr="00F7263B">
        <w:rPr>
          <w:rFonts w:eastAsia="Calibri" w:cs="Times New Roman"/>
          <w:b/>
          <w:i/>
          <w:sz w:val="20"/>
          <w:szCs w:val="20"/>
        </w:rPr>
        <w:t>The conclusion of this assessment is that the risk of program procurement system to help achieve the program results is high</w:t>
      </w:r>
      <w:r w:rsidR="00591BA5" w:rsidRPr="00F7263B">
        <w:rPr>
          <w:rFonts w:eastAsia="Calibri" w:cs="Times New Roman"/>
          <w:sz w:val="20"/>
          <w:szCs w:val="20"/>
        </w:rPr>
        <w:t xml:space="preserve">.  </w:t>
      </w:r>
      <w:r w:rsidRPr="00F7263B">
        <w:rPr>
          <w:rFonts w:eastAsia="Calibri" w:cs="Times New Roman"/>
          <w:sz w:val="20"/>
          <w:szCs w:val="20"/>
        </w:rPr>
        <w:t>Risk mitigation measures have been defined which will be part of DLI</w:t>
      </w:r>
      <w:r w:rsidR="008A0497" w:rsidRPr="00F7263B">
        <w:rPr>
          <w:rFonts w:eastAsia="Calibri" w:cs="Times New Roman"/>
          <w:sz w:val="20"/>
          <w:szCs w:val="20"/>
        </w:rPr>
        <w:t>s</w:t>
      </w:r>
      <w:r w:rsidRPr="00F7263B">
        <w:rPr>
          <w:rFonts w:eastAsia="Calibri" w:cs="Times New Roman"/>
          <w:sz w:val="20"/>
          <w:szCs w:val="20"/>
        </w:rPr>
        <w:t xml:space="preserve"> and </w:t>
      </w:r>
      <w:r w:rsidR="008A0497" w:rsidRPr="00F7263B">
        <w:rPr>
          <w:rFonts w:eastAsia="Calibri" w:cs="Times New Roman"/>
          <w:sz w:val="20"/>
          <w:szCs w:val="20"/>
        </w:rPr>
        <w:t>p</w:t>
      </w:r>
      <w:r w:rsidR="008A0497" w:rsidRPr="00F7263B">
        <w:rPr>
          <w:rFonts w:cs="Times New Roman"/>
          <w:sz w:val="20"/>
          <w:szCs w:val="20"/>
        </w:rPr>
        <w:t>erformance m</w:t>
      </w:r>
      <w:r w:rsidRPr="00F7263B">
        <w:rPr>
          <w:rFonts w:cs="Times New Roman"/>
          <w:sz w:val="20"/>
          <w:szCs w:val="20"/>
        </w:rPr>
        <w:t>easures,</w:t>
      </w:r>
      <w:r w:rsidR="00A2314D">
        <w:rPr>
          <w:rFonts w:cs="Times New Roman"/>
          <w:sz w:val="20"/>
          <w:szCs w:val="20"/>
        </w:rPr>
        <w:t xml:space="preserve"> </w:t>
      </w:r>
      <w:r w:rsidR="008A0497" w:rsidRPr="00F7263B">
        <w:rPr>
          <w:rFonts w:cs="Times New Roman"/>
          <w:sz w:val="20"/>
          <w:szCs w:val="20"/>
        </w:rPr>
        <w:t>p</w:t>
      </w:r>
      <w:r w:rsidRPr="00F7263B">
        <w:rPr>
          <w:rFonts w:cs="Times New Roman"/>
          <w:sz w:val="20"/>
          <w:szCs w:val="20"/>
        </w:rPr>
        <w:t>rocurement audits</w:t>
      </w:r>
      <w:r w:rsidR="008A0497" w:rsidRPr="00F7263B">
        <w:rPr>
          <w:rFonts w:cs="Times New Roman"/>
          <w:sz w:val="20"/>
          <w:szCs w:val="20"/>
        </w:rPr>
        <w:t>,</w:t>
      </w:r>
      <w:r w:rsidRPr="00F7263B">
        <w:rPr>
          <w:rFonts w:cs="Times New Roman"/>
          <w:sz w:val="20"/>
          <w:szCs w:val="20"/>
        </w:rPr>
        <w:t xml:space="preserve"> and </w:t>
      </w:r>
      <w:r w:rsidR="00493155" w:rsidRPr="00F7263B">
        <w:rPr>
          <w:rFonts w:cs="Times New Roman"/>
          <w:sz w:val="20"/>
          <w:szCs w:val="20"/>
        </w:rPr>
        <w:t xml:space="preserve">the </w:t>
      </w:r>
      <w:r w:rsidRPr="00F7263B">
        <w:rPr>
          <w:rFonts w:cs="Times New Roman"/>
          <w:sz w:val="20"/>
          <w:szCs w:val="20"/>
        </w:rPr>
        <w:t>Program action plan</w:t>
      </w:r>
      <w:r w:rsidR="008A0497" w:rsidRPr="00F7263B">
        <w:rPr>
          <w:rFonts w:cs="Times New Roman"/>
          <w:sz w:val="20"/>
          <w:szCs w:val="20"/>
        </w:rPr>
        <w:t>.</w:t>
      </w:r>
    </w:p>
    <w:p w:rsidR="00493155" w:rsidRPr="00F7263B" w:rsidRDefault="00493155" w:rsidP="00C00E16">
      <w:pPr>
        <w:pStyle w:val="ListParagraph"/>
        <w:autoSpaceDE w:val="0"/>
        <w:autoSpaceDN w:val="0"/>
        <w:adjustRightInd w:val="0"/>
        <w:spacing w:after="240"/>
        <w:ind w:left="0"/>
        <w:jc w:val="both"/>
        <w:rPr>
          <w:rFonts w:eastAsia="Calibri" w:cs="Times New Roman"/>
          <w:sz w:val="20"/>
          <w:szCs w:val="20"/>
        </w:rPr>
      </w:pPr>
    </w:p>
    <w:p w:rsidR="00892664" w:rsidRPr="00F7263B" w:rsidRDefault="00493155" w:rsidP="00254260">
      <w:pPr>
        <w:pStyle w:val="ListParagraph"/>
        <w:numPr>
          <w:ilvl w:val="0"/>
          <w:numId w:val="9"/>
        </w:numPr>
        <w:autoSpaceDE w:val="0"/>
        <w:autoSpaceDN w:val="0"/>
        <w:adjustRightInd w:val="0"/>
        <w:spacing w:after="240"/>
        <w:ind w:left="0" w:firstLine="0"/>
        <w:jc w:val="both"/>
        <w:rPr>
          <w:rFonts w:cs="Times New Roman"/>
          <w:bCs/>
          <w:sz w:val="20"/>
          <w:szCs w:val="20"/>
        </w:rPr>
      </w:pPr>
      <w:r w:rsidRPr="00F7263B">
        <w:rPr>
          <w:rFonts w:eastAsia="Calibri" w:cs="Times New Roman"/>
          <w:b/>
          <w:sz w:val="20"/>
          <w:szCs w:val="20"/>
        </w:rPr>
        <w:t>F</w:t>
      </w:r>
      <w:r w:rsidR="008B4030" w:rsidRPr="00F7263B">
        <w:rPr>
          <w:rFonts w:eastAsia="Calibri" w:cs="Times New Roman"/>
          <w:b/>
          <w:sz w:val="20"/>
          <w:szCs w:val="20"/>
        </w:rPr>
        <w:t xml:space="preserve">our </w:t>
      </w:r>
      <w:r w:rsidR="00D65D6A" w:rsidRPr="00F7263B">
        <w:rPr>
          <w:rFonts w:eastAsia="Calibri" w:cs="Times New Roman"/>
          <w:b/>
          <w:sz w:val="20"/>
          <w:szCs w:val="20"/>
        </w:rPr>
        <w:t xml:space="preserve">types </w:t>
      </w:r>
      <w:r w:rsidR="008B4030" w:rsidRPr="00F7263B">
        <w:rPr>
          <w:rFonts w:eastAsia="Calibri" w:cs="Times New Roman"/>
          <w:b/>
          <w:sz w:val="20"/>
          <w:szCs w:val="20"/>
        </w:rPr>
        <w:t xml:space="preserve">of risk mitigation measures </w:t>
      </w:r>
      <w:r w:rsidRPr="00F7263B">
        <w:rPr>
          <w:rFonts w:eastAsia="Calibri" w:cs="Times New Roman"/>
          <w:b/>
          <w:sz w:val="20"/>
          <w:szCs w:val="20"/>
        </w:rPr>
        <w:t xml:space="preserve">are </w:t>
      </w:r>
      <w:r w:rsidR="008B4030" w:rsidRPr="00F7263B">
        <w:rPr>
          <w:rFonts w:eastAsia="Calibri" w:cs="Times New Roman"/>
          <w:b/>
          <w:sz w:val="20"/>
          <w:szCs w:val="20"/>
        </w:rPr>
        <w:t>proposed</w:t>
      </w:r>
      <w:r w:rsidR="008B4030" w:rsidRPr="00F7263B">
        <w:rPr>
          <w:rFonts w:eastAsia="Calibri" w:cs="Times New Roman"/>
          <w:sz w:val="20"/>
          <w:szCs w:val="20"/>
        </w:rPr>
        <w:t>. The first is</w:t>
      </w:r>
      <w:r w:rsidR="00886FDD" w:rsidRPr="00F7263B">
        <w:rPr>
          <w:rFonts w:eastAsia="Calibri" w:cs="Times New Roman"/>
          <w:sz w:val="20"/>
          <w:szCs w:val="20"/>
        </w:rPr>
        <w:t xml:space="preserve"> the use of </w:t>
      </w:r>
      <w:r w:rsidRPr="00F7263B">
        <w:rPr>
          <w:rFonts w:eastAsia="Calibri" w:cs="Times New Roman"/>
          <w:sz w:val="20"/>
          <w:szCs w:val="20"/>
        </w:rPr>
        <w:t>m</w:t>
      </w:r>
      <w:r w:rsidR="008B4030" w:rsidRPr="00F7263B">
        <w:rPr>
          <w:rFonts w:eastAsia="Calibri" w:cs="Times New Roman"/>
          <w:sz w:val="20"/>
          <w:szCs w:val="20"/>
        </w:rPr>
        <w:t>inimum</w:t>
      </w:r>
      <w:r w:rsidR="00A2314D">
        <w:rPr>
          <w:rFonts w:eastAsia="Calibri" w:cs="Times New Roman"/>
          <w:sz w:val="20"/>
          <w:szCs w:val="20"/>
        </w:rPr>
        <w:t xml:space="preserve"> </w:t>
      </w:r>
      <w:r w:rsidRPr="00F7263B">
        <w:rPr>
          <w:rFonts w:eastAsia="Calibri" w:cs="Times New Roman"/>
          <w:sz w:val="20"/>
          <w:szCs w:val="20"/>
        </w:rPr>
        <w:t>c</w:t>
      </w:r>
      <w:r w:rsidR="008B4030" w:rsidRPr="00F7263B">
        <w:rPr>
          <w:rFonts w:eastAsia="Calibri" w:cs="Times New Roman"/>
          <w:sz w:val="20"/>
          <w:szCs w:val="20"/>
        </w:rPr>
        <w:t>ondition</w:t>
      </w:r>
      <w:r w:rsidRPr="00F7263B">
        <w:rPr>
          <w:rFonts w:eastAsia="Calibri" w:cs="Times New Roman"/>
          <w:sz w:val="20"/>
          <w:szCs w:val="20"/>
        </w:rPr>
        <w:t>s</w:t>
      </w:r>
      <w:r w:rsidR="00FC2905" w:rsidRPr="00F7263B">
        <w:rPr>
          <w:rFonts w:eastAsia="Calibri" w:cs="Times New Roman"/>
          <w:sz w:val="20"/>
          <w:szCs w:val="20"/>
        </w:rPr>
        <w:t xml:space="preserve">and performance measures </w:t>
      </w:r>
      <w:r w:rsidRPr="00F7263B">
        <w:rPr>
          <w:rFonts w:eastAsia="Calibri" w:cs="Times New Roman"/>
          <w:sz w:val="20"/>
          <w:szCs w:val="20"/>
        </w:rPr>
        <w:t>for ULGs participating in the Program.  O</w:t>
      </w:r>
      <w:r w:rsidR="008B4030" w:rsidRPr="00F7263B">
        <w:rPr>
          <w:rFonts w:eastAsia="Calibri" w:cs="Times New Roman"/>
          <w:sz w:val="20"/>
          <w:szCs w:val="20"/>
        </w:rPr>
        <w:t xml:space="preserve">nly those cities that </w:t>
      </w:r>
      <w:r w:rsidR="003B0510" w:rsidRPr="00F7263B">
        <w:rPr>
          <w:rFonts w:eastAsia="Calibri" w:cs="Times New Roman"/>
          <w:sz w:val="20"/>
          <w:szCs w:val="20"/>
        </w:rPr>
        <w:t xml:space="preserve">have appointed a focal person for procurement can access Program funds for infrastructure and service delivery.  In addition, </w:t>
      </w:r>
      <w:r w:rsidR="00D64391" w:rsidRPr="00F7263B">
        <w:rPr>
          <w:rFonts w:eastAsia="Calibri" w:cs="Times New Roman"/>
          <w:sz w:val="20"/>
          <w:szCs w:val="20"/>
        </w:rPr>
        <w:t xml:space="preserve">performance with respect to preparation of procurement plans and </w:t>
      </w:r>
      <w:r w:rsidR="003B0510" w:rsidRPr="00F7263B">
        <w:rPr>
          <w:rFonts w:eastAsia="Calibri" w:cs="Times New Roman"/>
          <w:sz w:val="20"/>
          <w:szCs w:val="20"/>
        </w:rPr>
        <w:t xml:space="preserve">compliance with procurement </w:t>
      </w:r>
      <w:r w:rsidR="00D64391" w:rsidRPr="00F7263B">
        <w:rPr>
          <w:rFonts w:eastAsia="Calibri" w:cs="Times New Roman"/>
          <w:sz w:val="20"/>
          <w:szCs w:val="20"/>
        </w:rPr>
        <w:t>procedures is a performance measure, and will be assessed each year.</w:t>
      </w:r>
      <w:r w:rsidR="00A2314D">
        <w:rPr>
          <w:rFonts w:eastAsia="Calibri" w:cs="Times New Roman"/>
          <w:sz w:val="20"/>
          <w:szCs w:val="20"/>
        </w:rPr>
        <w:t xml:space="preserve"> </w:t>
      </w:r>
      <w:r w:rsidR="008B4030" w:rsidRPr="00F7263B">
        <w:rPr>
          <w:rFonts w:eastAsia="Calibri" w:cs="Times New Roman"/>
          <w:sz w:val="20"/>
          <w:szCs w:val="20"/>
        </w:rPr>
        <w:t xml:space="preserve">The second risk mitigation measure is </w:t>
      </w:r>
      <w:r w:rsidRPr="00F7263B">
        <w:rPr>
          <w:rFonts w:eastAsia="Calibri" w:cs="Times New Roman"/>
          <w:sz w:val="20"/>
          <w:szCs w:val="20"/>
        </w:rPr>
        <w:t xml:space="preserve">the </w:t>
      </w:r>
      <w:r w:rsidR="008B4030" w:rsidRPr="00F7263B">
        <w:rPr>
          <w:rFonts w:eastAsia="Calibri" w:cs="Times New Roman"/>
          <w:sz w:val="20"/>
          <w:szCs w:val="20"/>
        </w:rPr>
        <w:t xml:space="preserve">implementation and monitoring of the agreed Program </w:t>
      </w:r>
      <w:r w:rsidR="00DA2BBC" w:rsidRPr="00F7263B">
        <w:rPr>
          <w:rFonts w:eastAsia="Calibri" w:cs="Times New Roman"/>
          <w:sz w:val="20"/>
          <w:szCs w:val="20"/>
        </w:rPr>
        <w:t>A</w:t>
      </w:r>
      <w:r w:rsidR="008B4030" w:rsidRPr="00F7263B">
        <w:rPr>
          <w:rFonts w:eastAsia="Calibri" w:cs="Times New Roman"/>
          <w:sz w:val="20"/>
          <w:szCs w:val="20"/>
        </w:rPr>
        <w:t>ction</w:t>
      </w:r>
      <w:r w:rsidR="00A2314D">
        <w:rPr>
          <w:rFonts w:eastAsia="Calibri" w:cs="Times New Roman"/>
          <w:sz w:val="20"/>
          <w:szCs w:val="20"/>
        </w:rPr>
        <w:t xml:space="preserve"> </w:t>
      </w:r>
      <w:r w:rsidR="00DA2BBC" w:rsidRPr="00F7263B">
        <w:rPr>
          <w:rFonts w:eastAsia="Calibri" w:cs="Times New Roman"/>
          <w:sz w:val="20"/>
          <w:szCs w:val="20"/>
        </w:rPr>
        <w:t>P</w:t>
      </w:r>
      <w:r w:rsidR="008B4030" w:rsidRPr="00F7263B">
        <w:rPr>
          <w:rFonts w:eastAsia="Calibri" w:cs="Times New Roman"/>
          <w:sz w:val="20"/>
          <w:szCs w:val="20"/>
        </w:rPr>
        <w:t xml:space="preserve">lan (PAP). There are a number of </w:t>
      </w:r>
      <w:r w:rsidRPr="00F7263B">
        <w:rPr>
          <w:rFonts w:eastAsia="Calibri" w:cs="Times New Roman"/>
          <w:sz w:val="20"/>
          <w:szCs w:val="20"/>
        </w:rPr>
        <w:t xml:space="preserve">measures in the PAP aimed at strengthening capacity of ULGs and other entities for </w:t>
      </w:r>
      <w:r w:rsidR="008B4030" w:rsidRPr="00F7263B">
        <w:rPr>
          <w:rFonts w:eastAsia="Calibri" w:cs="Times New Roman"/>
          <w:sz w:val="20"/>
          <w:szCs w:val="20"/>
        </w:rPr>
        <w:t>procurement and contracts management</w:t>
      </w:r>
      <w:r w:rsidRPr="00F7263B">
        <w:rPr>
          <w:rFonts w:eastAsia="Calibri" w:cs="Times New Roman"/>
          <w:sz w:val="20"/>
          <w:szCs w:val="20"/>
        </w:rPr>
        <w:t xml:space="preserve">.  These have been </w:t>
      </w:r>
      <w:r w:rsidR="008B4030" w:rsidRPr="00F7263B">
        <w:rPr>
          <w:rFonts w:eastAsia="Calibri" w:cs="Times New Roman"/>
          <w:sz w:val="20"/>
          <w:szCs w:val="20"/>
        </w:rPr>
        <w:t xml:space="preserve">agreed with the Borrower </w:t>
      </w:r>
      <w:r w:rsidRPr="00F7263B">
        <w:rPr>
          <w:rFonts w:eastAsia="Calibri" w:cs="Times New Roman"/>
          <w:sz w:val="20"/>
          <w:szCs w:val="20"/>
        </w:rPr>
        <w:t xml:space="preserve">and are </w:t>
      </w:r>
      <w:r w:rsidR="008B4030" w:rsidRPr="00F7263B">
        <w:rPr>
          <w:rFonts w:eastAsia="Calibri" w:cs="Times New Roman"/>
          <w:sz w:val="20"/>
          <w:szCs w:val="20"/>
        </w:rPr>
        <w:t>summarized in the table</w:t>
      </w:r>
      <w:r w:rsidRPr="00F7263B">
        <w:rPr>
          <w:rFonts w:eastAsia="Calibri" w:cs="Times New Roman"/>
          <w:sz w:val="20"/>
          <w:szCs w:val="20"/>
        </w:rPr>
        <w:t xml:space="preserve"> below</w:t>
      </w:r>
      <w:r w:rsidR="008B4030" w:rsidRPr="00F7263B">
        <w:rPr>
          <w:rFonts w:eastAsia="Calibri" w:cs="Times New Roman"/>
          <w:sz w:val="20"/>
          <w:szCs w:val="20"/>
        </w:rPr>
        <w:t xml:space="preserve">. The third risk mitigation measure </w:t>
      </w:r>
      <w:r w:rsidR="00D65D6A" w:rsidRPr="00F7263B">
        <w:rPr>
          <w:rFonts w:eastAsia="Calibri" w:cs="Times New Roman"/>
          <w:sz w:val="20"/>
          <w:szCs w:val="20"/>
        </w:rPr>
        <w:t>relates to the</w:t>
      </w:r>
      <w:r w:rsidR="00FC2905" w:rsidRPr="00F7263B">
        <w:rPr>
          <w:rFonts w:eastAsia="Calibri" w:cs="Times New Roman"/>
          <w:sz w:val="20"/>
          <w:szCs w:val="20"/>
        </w:rPr>
        <w:t xml:space="preserve"> procurement issues </w:t>
      </w:r>
      <w:r w:rsidR="00D65D6A" w:rsidRPr="00F7263B">
        <w:rPr>
          <w:rFonts w:eastAsia="Calibri" w:cs="Times New Roman"/>
          <w:sz w:val="20"/>
          <w:szCs w:val="20"/>
        </w:rPr>
        <w:t>in</w:t>
      </w:r>
      <w:r w:rsidR="00FC2905" w:rsidRPr="00F7263B">
        <w:rPr>
          <w:rFonts w:eastAsia="Calibri" w:cs="Times New Roman"/>
          <w:sz w:val="20"/>
          <w:szCs w:val="20"/>
        </w:rPr>
        <w:t xml:space="preserve"> the APA</w:t>
      </w:r>
      <w:r w:rsidR="00D65D6A" w:rsidRPr="00F7263B">
        <w:rPr>
          <w:rFonts w:eastAsia="Calibri" w:cs="Times New Roman"/>
          <w:sz w:val="20"/>
          <w:szCs w:val="20"/>
        </w:rPr>
        <w:t>s</w:t>
      </w:r>
      <w:r w:rsidRPr="00F7263B">
        <w:rPr>
          <w:rFonts w:eastAsia="Calibri" w:cs="Times New Roman"/>
          <w:sz w:val="20"/>
          <w:szCs w:val="20"/>
        </w:rPr>
        <w:t xml:space="preserve"> and the </w:t>
      </w:r>
      <w:r w:rsidR="008B4030" w:rsidRPr="00F7263B">
        <w:rPr>
          <w:rFonts w:eastAsia="Calibri" w:cs="Times New Roman"/>
          <w:sz w:val="20"/>
          <w:szCs w:val="20"/>
        </w:rPr>
        <w:t>IPA</w:t>
      </w:r>
      <w:r w:rsidR="00D65D6A" w:rsidRPr="00F7263B">
        <w:rPr>
          <w:rFonts w:eastAsia="Calibri" w:cs="Times New Roman"/>
          <w:sz w:val="20"/>
          <w:szCs w:val="20"/>
        </w:rPr>
        <w:t>s</w:t>
      </w:r>
      <w:r w:rsidR="008B4030" w:rsidRPr="00F7263B">
        <w:rPr>
          <w:rFonts w:eastAsia="Calibri" w:cs="Times New Roman"/>
          <w:sz w:val="20"/>
          <w:szCs w:val="20"/>
        </w:rPr>
        <w:t xml:space="preserve">. </w:t>
      </w:r>
      <w:r w:rsidR="00D65D6A" w:rsidRPr="00F7263B">
        <w:rPr>
          <w:rFonts w:eastAsia="Calibri" w:cs="Times New Roman"/>
          <w:sz w:val="20"/>
          <w:szCs w:val="20"/>
        </w:rPr>
        <w:t xml:space="preserve"> Currently</w:t>
      </w:r>
      <w:r w:rsidR="008B4030" w:rsidRPr="00F7263B">
        <w:rPr>
          <w:rFonts w:eastAsia="Calibri" w:cs="Times New Roman"/>
          <w:sz w:val="20"/>
          <w:szCs w:val="20"/>
        </w:rPr>
        <w:t>, the Regional Public Procurement Agencies (RPPAs)</w:t>
      </w:r>
      <w:r w:rsidR="00D65D6A" w:rsidRPr="00F7263B">
        <w:rPr>
          <w:rFonts w:eastAsia="Calibri" w:cs="Times New Roman"/>
          <w:sz w:val="20"/>
          <w:szCs w:val="20"/>
        </w:rPr>
        <w:t xml:space="preserve">—although </w:t>
      </w:r>
      <w:r w:rsidR="008B4030" w:rsidRPr="00F7263B">
        <w:rPr>
          <w:rFonts w:eastAsia="Calibri" w:cs="Times New Roman"/>
          <w:sz w:val="20"/>
          <w:szCs w:val="20"/>
        </w:rPr>
        <w:t>mandated to carry out procurement audits in their jurisdictions</w:t>
      </w:r>
      <w:r w:rsidR="00D65D6A" w:rsidRPr="00F7263B">
        <w:rPr>
          <w:rFonts w:eastAsia="Calibri" w:cs="Times New Roman"/>
          <w:sz w:val="20"/>
          <w:szCs w:val="20"/>
        </w:rPr>
        <w:t>—</w:t>
      </w:r>
      <w:r w:rsidR="008B4030" w:rsidRPr="00F7263B">
        <w:rPr>
          <w:rFonts w:eastAsia="Calibri" w:cs="Times New Roman"/>
          <w:sz w:val="20"/>
          <w:szCs w:val="20"/>
        </w:rPr>
        <w:t>do not have the capacity to carry out IPAs</w:t>
      </w:r>
      <w:r w:rsidR="00D65D6A" w:rsidRPr="00F7263B">
        <w:rPr>
          <w:rFonts w:eastAsia="Calibri" w:cs="Times New Roman"/>
          <w:sz w:val="20"/>
          <w:szCs w:val="20"/>
        </w:rPr>
        <w:t>.  Therefore</w:t>
      </w:r>
      <w:r w:rsidR="008B4030" w:rsidRPr="00F7263B">
        <w:rPr>
          <w:rFonts w:eastAsia="Calibri" w:cs="Times New Roman"/>
          <w:sz w:val="20"/>
          <w:szCs w:val="20"/>
        </w:rPr>
        <w:t xml:space="preserve">, </w:t>
      </w:r>
      <w:r w:rsidR="00D65D6A" w:rsidRPr="00F7263B">
        <w:rPr>
          <w:rFonts w:eastAsia="Calibri" w:cs="Times New Roman"/>
          <w:sz w:val="20"/>
          <w:szCs w:val="20"/>
        </w:rPr>
        <w:t xml:space="preserve">during the </w:t>
      </w:r>
      <w:r w:rsidR="008B4030" w:rsidRPr="00F7263B">
        <w:rPr>
          <w:rFonts w:eastAsia="Calibri" w:cs="Times New Roman"/>
          <w:sz w:val="20"/>
          <w:szCs w:val="20"/>
        </w:rPr>
        <w:t xml:space="preserve">first two years </w:t>
      </w:r>
      <w:r w:rsidR="00D65D6A" w:rsidRPr="00F7263B">
        <w:rPr>
          <w:rFonts w:eastAsia="Calibri" w:cs="Times New Roman"/>
          <w:sz w:val="20"/>
          <w:szCs w:val="20"/>
        </w:rPr>
        <w:t xml:space="preserve">of implementation, the </w:t>
      </w:r>
      <w:r w:rsidR="008B4030" w:rsidRPr="00F7263B">
        <w:rPr>
          <w:rFonts w:eastAsia="Calibri" w:cs="Times New Roman"/>
          <w:sz w:val="20"/>
          <w:szCs w:val="20"/>
        </w:rPr>
        <w:t xml:space="preserve">APA will </w:t>
      </w:r>
      <w:r w:rsidR="00D65D6A" w:rsidRPr="00F7263B">
        <w:rPr>
          <w:rFonts w:eastAsia="Calibri" w:cs="Times New Roman"/>
          <w:sz w:val="20"/>
          <w:szCs w:val="20"/>
        </w:rPr>
        <w:t xml:space="preserve">cover in </w:t>
      </w:r>
      <w:r w:rsidR="008B4030" w:rsidRPr="00F7263B">
        <w:rPr>
          <w:rFonts w:eastAsia="Calibri" w:cs="Times New Roman"/>
          <w:sz w:val="20"/>
          <w:szCs w:val="20"/>
        </w:rPr>
        <w:t xml:space="preserve">detail </w:t>
      </w:r>
      <w:r w:rsidR="00D65D6A" w:rsidRPr="00F7263B">
        <w:rPr>
          <w:rFonts w:eastAsia="Calibri" w:cs="Times New Roman"/>
          <w:sz w:val="20"/>
          <w:szCs w:val="20"/>
        </w:rPr>
        <w:t xml:space="preserve">indicators of </w:t>
      </w:r>
      <w:r w:rsidR="008B4030" w:rsidRPr="00F7263B">
        <w:rPr>
          <w:rFonts w:eastAsia="Calibri" w:cs="Times New Roman"/>
          <w:sz w:val="20"/>
          <w:szCs w:val="20"/>
        </w:rPr>
        <w:t xml:space="preserve">procurement audits. </w:t>
      </w:r>
      <w:r w:rsidR="00D65D6A" w:rsidRPr="00F7263B">
        <w:rPr>
          <w:rFonts w:eastAsia="Calibri" w:cs="Times New Roman"/>
          <w:sz w:val="20"/>
          <w:szCs w:val="20"/>
        </w:rPr>
        <w:t xml:space="preserve"> In the third</w:t>
      </w:r>
      <w:r w:rsidR="00A2314D">
        <w:rPr>
          <w:rFonts w:eastAsia="Calibri" w:cs="Times New Roman"/>
          <w:sz w:val="20"/>
          <w:szCs w:val="20"/>
        </w:rPr>
        <w:t xml:space="preserve"> </w:t>
      </w:r>
      <w:r w:rsidR="008B4030" w:rsidRPr="00F7263B">
        <w:rPr>
          <w:rFonts w:eastAsia="Calibri" w:cs="Times New Roman"/>
          <w:sz w:val="20"/>
          <w:szCs w:val="20"/>
        </w:rPr>
        <w:t>year</w:t>
      </w:r>
      <w:r w:rsidR="00D65D6A" w:rsidRPr="00F7263B">
        <w:rPr>
          <w:rFonts w:eastAsia="Calibri" w:cs="Times New Roman"/>
          <w:sz w:val="20"/>
          <w:szCs w:val="20"/>
        </w:rPr>
        <w:t xml:space="preserve"> of implementation</w:t>
      </w:r>
      <w:r w:rsidR="008B4030" w:rsidRPr="00F7263B">
        <w:rPr>
          <w:rFonts w:eastAsia="Calibri" w:cs="Times New Roman"/>
          <w:sz w:val="20"/>
          <w:szCs w:val="20"/>
        </w:rPr>
        <w:t xml:space="preserve">, the RPPAs </w:t>
      </w:r>
      <w:r w:rsidR="00D65D6A" w:rsidRPr="00F7263B">
        <w:rPr>
          <w:rFonts w:eastAsia="Calibri" w:cs="Times New Roman"/>
          <w:sz w:val="20"/>
          <w:szCs w:val="20"/>
        </w:rPr>
        <w:t>are expected to</w:t>
      </w:r>
      <w:r w:rsidR="008B4030" w:rsidRPr="00F7263B">
        <w:rPr>
          <w:rFonts w:eastAsia="Calibri" w:cs="Times New Roman"/>
          <w:sz w:val="20"/>
          <w:szCs w:val="20"/>
        </w:rPr>
        <w:t xml:space="preserve"> conduct </w:t>
      </w:r>
      <w:r w:rsidR="00D65D6A" w:rsidRPr="00F7263B">
        <w:rPr>
          <w:rFonts w:eastAsia="Calibri" w:cs="Times New Roman"/>
          <w:sz w:val="20"/>
          <w:szCs w:val="20"/>
        </w:rPr>
        <w:t xml:space="preserve">the </w:t>
      </w:r>
      <w:r w:rsidR="008B4030" w:rsidRPr="00F7263B">
        <w:rPr>
          <w:rFonts w:eastAsia="Calibri" w:cs="Times New Roman"/>
          <w:sz w:val="20"/>
          <w:szCs w:val="20"/>
        </w:rPr>
        <w:t xml:space="preserve">annual </w:t>
      </w:r>
      <w:r w:rsidR="00D65D6A" w:rsidRPr="00F7263B">
        <w:rPr>
          <w:rFonts w:eastAsia="Calibri" w:cs="Times New Roman"/>
          <w:sz w:val="20"/>
          <w:szCs w:val="20"/>
        </w:rPr>
        <w:t xml:space="preserve">IPAs and to </w:t>
      </w:r>
      <w:r w:rsidR="00D65D6A" w:rsidRPr="00F7263B">
        <w:rPr>
          <w:sz w:val="20"/>
          <w:szCs w:val="20"/>
        </w:rPr>
        <w:t xml:space="preserve">provide </w:t>
      </w:r>
      <w:r w:rsidR="00C00E16" w:rsidRPr="00F7263B">
        <w:rPr>
          <w:sz w:val="20"/>
          <w:szCs w:val="20"/>
        </w:rPr>
        <w:t xml:space="preserve">management corrective measures </w:t>
      </w:r>
      <w:r w:rsidR="00D65D6A" w:rsidRPr="00F7263B">
        <w:rPr>
          <w:sz w:val="20"/>
          <w:szCs w:val="20"/>
        </w:rPr>
        <w:t xml:space="preserve">in response to their findings.  </w:t>
      </w:r>
      <w:r w:rsidR="00886FDD" w:rsidRPr="00F7263B">
        <w:rPr>
          <w:rFonts w:eastAsia="Calibri" w:cs="Times New Roman"/>
          <w:sz w:val="20"/>
          <w:szCs w:val="20"/>
        </w:rPr>
        <w:t>The capacity building for MUDCHo, regions</w:t>
      </w:r>
      <w:r w:rsidR="00D65D6A" w:rsidRPr="00F7263B">
        <w:rPr>
          <w:rFonts w:eastAsia="Calibri" w:cs="Times New Roman"/>
          <w:sz w:val="20"/>
          <w:szCs w:val="20"/>
        </w:rPr>
        <w:t>,</w:t>
      </w:r>
      <w:r w:rsidR="00886FDD" w:rsidRPr="00F7263B">
        <w:rPr>
          <w:rFonts w:eastAsia="Calibri" w:cs="Times New Roman"/>
          <w:sz w:val="20"/>
          <w:szCs w:val="20"/>
        </w:rPr>
        <w:t xml:space="preserve"> and ULGS will address the identified weaknesses </w:t>
      </w:r>
      <w:r w:rsidR="00D65D6A" w:rsidRPr="00F7263B">
        <w:rPr>
          <w:rFonts w:eastAsia="Calibri" w:cs="Times New Roman"/>
          <w:sz w:val="20"/>
          <w:szCs w:val="20"/>
        </w:rPr>
        <w:t xml:space="preserve">revealed </w:t>
      </w:r>
      <w:r w:rsidR="00886FDD" w:rsidRPr="00F7263B">
        <w:rPr>
          <w:rFonts w:eastAsia="Calibri" w:cs="Times New Roman"/>
          <w:sz w:val="20"/>
          <w:szCs w:val="20"/>
        </w:rPr>
        <w:t>in the APA and independent procurement audits.</w:t>
      </w:r>
    </w:p>
    <w:p w:rsidR="00D65D6A" w:rsidRPr="00F7263B" w:rsidRDefault="00D65D6A" w:rsidP="00892664">
      <w:pPr>
        <w:pStyle w:val="ListParagraph"/>
        <w:autoSpaceDE w:val="0"/>
        <w:autoSpaceDN w:val="0"/>
        <w:adjustRightInd w:val="0"/>
        <w:spacing w:after="240"/>
        <w:ind w:left="0"/>
        <w:jc w:val="both"/>
        <w:rPr>
          <w:rFonts w:eastAsia="Calibri" w:cs="Times New Roman"/>
          <w:i/>
          <w:sz w:val="20"/>
          <w:szCs w:val="20"/>
        </w:rPr>
      </w:pPr>
    </w:p>
    <w:p w:rsidR="008A0497" w:rsidRPr="00F7263B" w:rsidRDefault="008A0497" w:rsidP="00892664">
      <w:pPr>
        <w:pStyle w:val="ListParagraph"/>
        <w:autoSpaceDE w:val="0"/>
        <w:autoSpaceDN w:val="0"/>
        <w:adjustRightInd w:val="0"/>
        <w:spacing w:after="240"/>
        <w:ind w:left="0"/>
        <w:jc w:val="both"/>
        <w:rPr>
          <w:rFonts w:cs="Times New Roman"/>
          <w:bCs/>
          <w:i/>
          <w:sz w:val="20"/>
          <w:szCs w:val="20"/>
        </w:rPr>
      </w:pPr>
      <w:r w:rsidRPr="00F7263B">
        <w:rPr>
          <w:rFonts w:eastAsia="Calibri" w:cs="Times New Roman"/>
          <w:i/>
          <w:sz w:val="20"/>
          <w:szCs w:val="20"/>
        </w:rPr>
        <w:t>Fraud and corruption</w:t>
      </w:r>
    </w:p>
    <w:p w:rsidR="008A0497" w:rsidRPr="00F7263B" w:rsidRDefault="008A0497" w:rsidP="00ED19B6">
      <w:pPr>
        <w:pStyle w:val="ListParagraph"/>
        <w:autoSpaceDE w:val="0"/>
        <w:autoSpaceDN w:val="0"/>
        <w:adjustRightInd w:val="0"/>
        <w:ind w:left="0"/>
        <w:jc w:val="both"/>
        <w:rPr>
          <w:rFonts w:cs="Times New Roman"/>
          <w:bCs/>
          <w:sz w:val="20"/>
          <w:szCs w:val="20"/>
        </w:rPr>
      </w:pPr>
    </w:p>
    <w:p w:rsidR="002345F6" w:rsidRPr="00F7263B" w:rsidRDefault="002345F6" w:rsidP="002345F6">
      <w:pPr>
        <w:pStyle w:val="ListParagraph"/>
        <w:numPr>
          <w:ilvl w:val="0"/>
          <w:numId w:val="9"/>
        </w:numPr>
        <w:autoSpaceDE w:val="0"/>
        <w:autoSpaceDN w:val="0"/>
        <w:adjustRightInd w:val="0"/>
        <w:ind w:left="0" w:firstLine="0"/>
        <w:jc w:val="both"/>
        <w:rPr>
          <w:sz w:val="20"/>
          <w:szCs w:val="20"/>
        </w:rPr>
      </w:pPr>
      <w:r w:rsidRPr="00F7263B">
        <w:rPr>
          <w:rFonts w:cs="Times New Roman"/>
          <w:b/>
          <w:sz w:val="20"/>
          <w:szCs w:val="20"/>
        </w:rPr>
        <w:t xml:space="preserve">The main factor that leads to </w:t>
      </w:r>
      <w:r w:rsidR="00D65D6A" w:rsidRPr="00F7263B">
        <w:rPr>
          <w:rFonts w:cs="Times New Roman"/>
          <w:b/>
          <w:sz w:val="20"/>
          <w:szCs w:val="20"/>
        </w:rPr>
        <w:t>fraud and corruption</w:t>
      </w:r>
      <w:r w:rsidRPr="00F7263B">
        <w:rPr>
          <w:rFonts w:cs="Times New Roman"/>
          <w:b/>
          <w:sz w:val="20"/>
          <w:szCs w:val="20"/>
        </w:rPr>
        <w:t xml:space="preserve"> is a weak fiduciary environment</w:t>
      </w:r>
      <w:r w:rsidRPr="00F7263B">
        <w:rPr>
          <w:rFonts w:cs="Times New Roman"/>
          <w:sz w:val="20"/>
          <w:szCs w:val="20"/>
        </w:rPr>
        <w:t xml:space="preserve">. </w:t>
      </w:r>
      <w:r w:rsidRPr="00F7263B">
        <w:rPr>
          <w:sz w:val="20"/>
          <w:szCs w:val="20"/>
        </w:rPr>
        <w:t xml:space="preserve">Improving this environment in the </w:t>
      </w:r>
      <w:r w:rsidR="008A15C9" w:rsidRPr="00F7263B">
        <w:rPr>
          <w:sz w:val="20"/>
          <w:szCs w:val="20"/>
        </w:rPr>
        <w:t>participating</w:t>
      </w:r>
      <w:r w:rsidR="00A2314D">
        <w:rPr>
          <w:sz w:val="20"/>
          <w:szCs w:val="20"/>
        </w:rPr>
        <w:t xml:space="preserve"> </w:t>
      </w:r>
      <w:r w:rsidRPr="00F7263B">
        <w:rPr>
          <w:sz w:val="20"/>
          <w:szCs w:val="20"/>
        </w:rPr>
        <w:t xml:space="preserve">ULGs is a specific goal of the Program, and will be addressed directly through various program design features. </w:t>
      </w:r>
      <w:r w:rsidR="00895DC3" w:rsidRPr="00F7263B">
        <w:rPr>
          <w:sz w:val="20"/>
          <w:szCs w:val="20"/>
        </w:rPr>
        <w:t xml:space="preserve"> S</w:t>
      </w:r>
      <w:r w:rsidRPr="00F7263B">
        <w:rPr>
          <w:sz w:val="20"/>
          <w:szCs w:val="20"/>
        </w:rPr>
        <w:t>pecifically</w:t>
      </w:r>
      <w:r w:rsidR="008A15C9" w:rsidRPr="00F7263B">
        <w:rPr>
          <w:sz w:val="20"/>
          <w:szCs w:val="20"/>
        </w:rPr>
        <w:t>, these are</w:t>
      </w:r>
      <w:r w:rsidRPr="00F7263B">
        <w:rPr>
          <w:sz w:val="20"/>
          <w:szCs w:val="20"/>
        </w:rPr>
        <w:t>:</w:t>
      </w:r>
    </w:p>
    <w:p w:rsidR="00895DC3" w:rsidRPr="00F7263B" w:rsidRDefault="00895DC3" w:rsidP="00895DC3">
      <w:pPr>
        <w:pStyle w:val="ListParagraph"/>
        <w:autoSpaceDE w:val="0"/>
        <w:autoSpaceDN w:val="0"/>
        <w:adjustRightInd w:val="0"/>
        <w:ind w:left="0"/>
        <w:jc w:val="both"/>
        <w:rPr>
          <w:sz w:val="20"/>
          <w:szCs w:val="20"/>
        </w:rPr>
      </w:pPr>
    </w:p>
    <w:p w:rsidR="006E7278" w:rsidRPr="00F7263B" w:rsidRDefault="002345F6" w:rsidP="003F32C6">
      <w:pPr>
        <w:pStyle w:val="NoSpacing"/>
        <w:numPr>
          <w:ilvl w:val="0"/>
          <w:numId w:val="71"/>
        </w:numPr>
        <w:ind w:left="1170"/>
        <w:jc w:val="both"/>
        <w:rPr>
          <w:rFonts w:ascii="Times New Roman" w:hAnsi="Times New Roman" w:cs="Times New Roman"/>
          <w:sz w:val="20"/>
          <w:szCs w:val="20"/>
        </w:rPr>
      </w:pPr>
      <w:r w:rsidRPr="00F7263B">
        <w:rPr>
          <w:rFonts w:ascii="Times New Roman" w:hAnsi="Times New Roman"/>
          <w:i/>
          <w:sz w:val="20"/>
          <w:szCs w:val="20"/>
        </w:rPr>
        <w:t>Minimum conditions and performance indicators</w:t>
      </w:r>
      <w:r w:rsidR="00895DC3" w:rsidRPr="00F7263B">
        <w:rPr>
          <w:rFonts w:ascii="Times New Roman" w:hAnsi="Times New Roman"/>
          <w:i/>
          <w:sz w:val="20"/>
          <w:szCs w:val="20"/>
        </w:rPr>
        <w:t xml:space="preserve">.  </w:t>
      </w:r>
      <w:r w:rsidRPr="00F7263B">
        <w:rPr>
          <w:rFonts w:ascii="Times New Roman" w:hAnsi="Times New Roman"/>
          <w:sz w:val="20"/>
          <w:szCs w:val="20"/>
        </w:rPr>
        <w:t xml:space="preserve">The annual performance assessment will include as minimum conditions and performance indicators measures </w:t>
      </w:r>
      <w:r w:rsidR="008A15C9" w:rsidRPr="00F7263B">
        <w:rPr>
          <w:rFonts w:ascii="Times New Roman" w:hAnsi="Times New Roman"/>
          <w:sz w:val="20"/>
          <w:szCs w:val="20"/>
        </w:rPr>
        <w:t xml:space="preserve">related to the (a)quality of </w:t>
      </w:r>
      <w:r w:rsidRPr="00F7263B">
        <w:rPr>
          <w:rFonts w:ascii="Times New Roman" w:hAnsi="Times New Roman"/>
          <w:sz w:val="20"/>
          <w:szCs w:val="20"/>
        </w:rPr>
        <w:t xml:space="preserve">financial management and procurement systems, </w:t>
      </w:r>
      <w:r w:rsidR="008A15C9" w:rsidRPr="00F7263B">
        <w:rPr>
          <w:rFonts w:ascii="Times New Roman" w:hAnsi="Times New Roman"/>
          <w:sz w:val="20"/>
          <w:szCs w:val="20"/>
        </w:rPr>
        <w:t xml:space="preserve">(b) adequacy in </w:t>
      </w:r>
      <w:r w:rsidRPr="00F7263B">
        <w:rPr>
          <w:rFonts w:ascii="Times New Roman" w:hAnsi="Times New Roman"/>
          <w:sz w:val="20"/>
          <w:szCs w:val="20"/>
        </w:rPr>
        <w:t>handling grievances related to fraud and corruption,</w:t>
      </w:r>
      <w:r w:rsidR="003718AE" w:rsidRPr="00F7263B">
        <w:rPr>
          <w:rFonts w:ascii="Times New Roman" w:hAnsi="Times New Roman"/>
          <w:sz w:val="20"/>
          <w:szCs w:val="20"/>
        </w:rPr>
        <w:t xml:space="preserve"> and</w:t>
      </w:r>
      <w:r w:rsidR="008A15C9" w:rsidRPr="00F7263B">
        <w:rPr>
          <w:rFonts w:ascii="Times New Roman" w:hAnsi="Times New Roman"/>
          <w:sz w:val="20"/>
          <w:szCs w:val="20"/>
        </w:rPr>
        <w:t xml:space="preserve">(c) </w:t>
      </w:r>
      <w:r w:rsidR="003718AE" w:rsidRPr="00F7263B">
        <w:rPr>
          <w:rFonts w:ascii="Times New Roman" w:hAnsi="Times New Roman"/>
          <w:sz w:val="20"/>
          <w:szCs w:val="20"/>
        </w:rPr>
        <w:t xml:space="preserve">transparency and accountability in procurement and financial management.  </w:t>
      </w:r>
    </w:p>
    <w:p w:rsidR="006E7278" w:rsidRPr="00F7263B" w:rsidRDefault="002345F6" w:rsidP="00056FC8">
      <w:pPr>
        <w:pStyle w:val="NoSpacing"/>
        <w:numPr>
          <w:ilvl w:val="0"/>
          <w:numId w:val="71"/>
        </w:numPr>
        <w:ind w:left="1170"/>
        <w:jc w:val="both"/>
        <w:rPr>
          <w:rFonts w:ascii="Times New Roman" w:hAnsi="Times New Roman" w:cs="Times New Roman"/>
          <w:sz w:val="20"/>
          <w:szCs w:val="20"/>
        </w:rPr>
      </w:pPr>
      <w:r w:rsidRPr="00F7263B">
        <w:rPr>
          <w:rFonts w:ascii="Times New Roman" w:hAnsi="Times New Roman"/>
          <w:i/>
          <w:sz w:val="20"/>
          <w:szCs w:val="20"/>
        </w:rPr>
        <w:t>Capacity building program</w:t>
      </w:r>
      <w:r w:rsidR="00895DC3" w:rsidRPr="00F7263B">
        <w:rPr>
          <w:rFonts w:ascii="Times New Roman" w:hAnsi="Times New Roman"/>
          <w:sz w:val="20"/>
          <w:szCs w:val="20"/>
        </w:rPr>
        <w:t xml:space="preserve">.  </w:t>
      </w:r>
      <w:r w:rsidRPr="00F7263B">
        <w:rPr>
          <w:rFonts w:ascii="Times New Roman" w:hAnsi="Times New Roman"/>
          <w:sz w:val="20"/>
          <w:szCs w:val="20"/>
        </w:rPr>
        <w:t>Elements of the capacity building program will focus on accountability and monitoring at all three government levels to minimize the fraud and corruption risk</w:t>
      </w:r>
      <w:r w:rsidR="003718AE" w:rsidRPr="00F7263B">
        <w:rPr>
          <w:rFonts w:ascii="Times New Roman" w:hAnsi="Times New Roman"/>
          <w:sz w:val="20"/>
          <w:szCs w:val="20"/>
        </w:rPr>
        <w:t xml:space="preserve">.  Moreover, </w:t>
      </w:r>
      <w:r w:rsidRPr="00F7263B">
        <w:rPr>
          <w:rFonts w:ascii="Times New Roman" w:hAnsi="Times New Roman"/>
          <w:sz w:val="20"/>
          <w:szCs w:val="20"/>
        </w:rPr>
        <w:t>the capacity building mobile teams (federal and regional) will include core fiduciary staff</w:t>
      </w:r>
      <w:r w:rsidR="003718AE" w:rsidRPr="00F7263B">
        <w:rPr>
          <w:rFonts w:ascii="Times New Roman" w:hAnsi="Times New Roman"/>
          <w:sz w:val="20"/>
          <w:szCs w:val="20"/>
        </w:rPr>
        <w:t>.</w:t>
      </w:r>
    </w:p>
    <w:p w:rsidR="006E7278" w:rsidRPr="00F7263B" w:rsidRDefault="00895DC3" w:rsidP="00056FC8">
      <w:pPr>
        <w:pStyle w:val="NoSpacing"/>
        <w:numPr>
          <w:ilvl w:val="0"/>
          <w:numId w:val="71"/>
        </w:numPr>
        <w:ind w:left="1170"/>
        <w:jc w:val="both"/>
        <w:rPr>
          <w:rFonts w:ascii="Times New Roman" w:hAnsi="Times New Roman" w:cs="Times New Roman"/>
          <w:sz w:val="20"/>
          <w:szCs w:val="20"/>
        </w:rPr>
      </w:pPr>
      <w:r w:rsidRPr="00F7263B">
        <w:rPr>
          <w:rFonts w:ascii="Times New Roman" w:hAnsi="Times New Roman" w:cs="Times New Roman"/>
          <w:i/>
          <w:sz w:val="20"/>
          <w:szCs w:val="20"/>
          <w:lang w:val="en-ZA"/>
        </w:rPr>
        <w:t>Value for m</w:t>
      </w:r>
      <w:r w:rsidR="002345F6" w:rsidRPr="00F7263B">
        <w:rPr>
          <w:rFonts w:ascii="Times New Roman" w:hAnsi="Times New Roman" w:cs="Times New Roman"/>
          <w:i/>
          <w:sz w:val="20"/>
          <w:szCs w:val="20"/>
          <w:lang w:val="en-ZA"/>
        </w:rPr>
        <w:t>oney audits</w:t>
      </w:r>
      <w:r w:rsidRPr="00F7263B">
        <w:rPr>
          <w:rFonts w:ascii="Times New Roman" w:hAnsi="Times New Roman" w:cs="Times New Roman"/>
          <w:sz w:val="20"/>
          <w:szCs w:val="20"/>
          <w:lang w:val="en-ZA"/>
        </w:rPr>
        <w:t xml:space="preserve">.  </w:t>
      </w:r>
      <w:r w:rsidR="002345F6" w:rsidRPr="00F7263B">
        <w:rPr>
          <w:rFonts w:ascii="Times New Roman" w:hAnsi="Times New Roman" w:cs="Times New Roman"/>
          <w:sz w:val="20"/>
          <w:szCs w:val="20"/>
          <w:lang w:val="en-ZA"/>
        </w:rPr>
        <w:t xml:space="preserve">Value for money audits will be conducted as part of the annual assessment (starting in </w:t>
      </w:r>
      <w:r w:rsidR="003718AE" w:rsidRPr="00F7263B">
        <w:rPr>
          <w:rFonts w:ascii="Times New Roman" w:hAnsi="Times New Roman" w:cs="Times New Roman"/>
          <w:sz w:val="20"/>
          <w:szCs w:val="20"/>
          <w:lang w:val="en-ZA"/>
        </w:rPr>
        <w:t>y</w:t>
      </w:r>
      <w:r w:rsidR="002345F6" w:rsidRPr="00F7263B">
        <w:rPr>
          <w:rFonts w:ascii="Times New Roman" w:hAnsi="Times New Roman" w:cs="Times New Roman"/>
          <w:sz w:val="20"/>
          <w:szCs w:val="20"/>
          <w:lang w:val="en-ZA"/>
        </w:rPr>
        <w:t>ear 3)</w:t>
      </w:r>
      <w:r w:rsidR="003718AE" w:rsidRPr="00F7263B">
        <w:rPr>
          <w:rFonts w:ascii="Times New Roman" w:hAnsi="Times New Roman" w:cs="Times New Roman"/>
          <w:sz w:val="20"/>
          <w:szCs w:val="20"/>
          <w:lang w:val="en-ZA"/>
        </w:rPr>
        <w:t xml:space="preserve">. </w:t>
      </w:r>
    </w:p>
    <w:p w:rsidR="002345F6" w:rsidRPr="00F7263B" w:rsidRDefault="002345F6" w:rsidP="002345F6">
      <w:pPr>
        <w:pStyle w:val="NoSpacing"/>
        <w:ind w:left="1170"/>
        <w:jc w:val="both"/>
        <w:rPr>
          <w:rFonts w:ascii="Times New Roman" w:hAnsi="Times New Roman" w:cs="Times New Roman"/>
          <w:sz w:val="20"/>
          <w:szCs w:val="20"/>
        </w:rPr>
      </w:pPr>
    </w:p>
    <w:p w:rsidR="00ED19B6" w:rsidRPr="00F7263B" w:rsidRDefault="00ED19B6" w:rsidP="00ED19B6">
      <w:pPr>
        <w:pStyle w:val="ListParagraph"/>
        <w:numPr>
          <w:ilvl w:val="0"/>
          <w:numId w:val="9"/>
        </w:numPr>
        <w:autoSpaceDE w:val="0"/>
        <w:autoSpaceDN w:val="0"/>
        <w:adjustRightInd w:val="0"/>
        <w:ind w:left="0" w:firstLine="0"/>
        <w:jc w:val="both"/>
        <w:rPr>
          <w:sz w:val="20"/>
          <w:szCs w:val="20"/>
        </w:rPr>
      </w:pPr>
      <w:r w:rsidRPr="00F7263B">
        <w:rPr>
          <w:b/>
          <w:sz w:val="20"/>
          <w:szCs w:val="20"/>
        </w:rPr>
        <w:t>There is a robust legal framework for addressing fraud and corruption in Ethiopia</w:t>
      </w:r>
      <w:r w:rsidRPr="00F7263B">
        <w:rPr>
          <w:sz w:val="20"/>
          <w:szCs w:val="20"/>
        </w:rPr>
        <w:t xml:space="preserve">.  The </w:t>
      </w:r>
      <w:r w:rsidR="003718AE" w:rsidRPr="00F7263B">
        <w:rPr>
          <w:sz w:val="20"/>
          <w:szCs w:val="20"/>
        </w:rPr>
        <w:t>g</w:t>
      </w:r>
      <w:r w:rsidRPr="00F7263B">
        <w:rPr>
          <w:sz w:val="20"/>
          <w:szCs w:val="20"/>
        </w:rPr>
        <w:t xml:space="preserve">overnment has established the Federal Ethics and Anti-Corruption Commission (FEACC) with a mandate to expand and promote ethics and anti-corruption education, </w:t>
      </w:r>
      <w:r w:rsidR="003718AE" w:rsidRPr="00F7263B">
        <w:rPr>
          <w:sz w:val="20"/>
          <w:szCs w:val="20"/>
        </w:rPr>
        <w:t xml:space="preserve">to </w:t>
      </w:r>
      <w:r w:rsidRPr="00F7263B">
        <w:rPr>
          <w:sz w:val="20"/>
          <w:szCs w:val="20"/>
        </w:rPr>
        <w:t>prevent corruption (through review of working procedures and systems), and to investigate and prosecute alleged corruption offences since 2001.</w:t>
      </w:r>
      <w:r w:rsidRPr="00F7263B">
        <w:rPr>
          <w:sz w:val="20"/>
          <w:szCs w:val="20"/>
          <w:vertAlign w:val="superscript"/>
        </w:rPr>
        <w:footnoteReference w:id="19"/>
      </w:r>
      <w:r w:rsidRPr="00F7263B">
        <w:rPr>
          <w:sz w:val="20"/>
          <w:szCs w:val="20"/>
        </w:rPr>
        <w:t xml:space="preserve">The </w:t>
      </w:r>
      <w:r w:rsidR="003718AE" w:rsidRPr="00F7263B">
        <w:rPr>
          <w:sz w:val="20"/>
          <w:szCs w:val="20"/>
        </w:rPr>
        <w:t xml:space="preserve">government </w:t>
      </w:r>
      <w:r w:rsidRPr="00F7263B">
        <w:rPr>
          <w:sz w:val="20"/>
          <w:szCs w:val="20"/>
        </w:rPr>
        <w:t xml:space="preserve">has also declared that it follows a zero-tolerance policy toward corruption.  The FEACC has received political support at the highest level in the country.  Since 2007, all the nine </w:t>
      </w:r>
      <w:r w:rsidR="003718AE" w:rsidRPr="00F7263B">
        <w:rPr>
          <w:sz w:val="20"/>
          <w:szCs w:val="20"/>
        </w:rPr>
        <w:t xml:space="preserve">regional governments </w:t>
      </w:r>
      <w:r w:rsidRPr="00F7263B">
        <w:rPr>
          <w:sz w:val="20"/>
          <w:szCs w:val="20"/>
        </w:rPr>
        <w:t>have established their own Regional Ethics and Anti-corruption Commission (REACC) as per the regional laws.  FEACC is responsible for coordinating efforts of Anti-corruption across regions including ULGs and preparing a national report on anti-corruption efforts across the country.</w:t>
      </w:r>
    </w:p>
    <w:p w:rsidR="00ED19B6" w:rsidRPr="00F7263B" w:rsidRDefault="00ED19B6" w:rsidP="00ED19B6">
      <w:pPr>
        <w:autoSpaceDE w:val="0"/>
        <w:autoSpaceDN w:val="0"/>
        <w:adjustRightInd w:val="0"/>
        <w:contextualSpacing/>
        <w:jc w:val="both"/>
        <w:rPr>
          <w:sz w:val="20"/>
          <w:szCs w:val="20"/>
        </w:rPr>
      </w:pPr>
    </w:p>
    <w:p w:rsidR="00ED19B6" w:rsidRPr="00F7263B" w:rsidRDefault="00015ADC" w:rsidP="00ED19B6">
      <w:pPr>
        <w:pStyle w:val="ListParagraph"/>
        <w:numPr>
          <w:ilvl w:val="0"/>
          <w:numId w:val="9"/>
        </w:numPr>
        <w:autoSpaceDE w:val="0"/>
        <w:autoSpaceDN w:val="0"/>
        <w:adjustRightInd w:val="0"/>
        <w:ind w:left="0" w:firstLine="0"/>
        <w:jc w:val="both"/>
        <w:rPr>
          <w:sz w:val="20"/>
          <w:szCs w:val="20"/>
        </w:rPr>
      </w:pPr>
      <w:r w:rsidRPr="00F7263B">
        <w:rPr>
          <w:b/>
          <w:sz w:val="20"/>
          <w:szCs w:val="20"/>
        </w:rPr>
        <w:t>Complaint</w:t>
      </w:r>
      <w:r w:rsidR="003718AE" w:rsidRPr="00F7263B">
        <w:rPr>
          <w:b/>
          <w:sz w:val="20"/>
          <w:szCs w:val="20"/>
        </w:rPr>
        <w:t>s</w:t>
      </w:r>
      <w:r w:rsidRPr="00F7263B">
        <w:rPr>
          <w:b/>
          <w:sz w:val="20"/>
          <w:szCs w:val="20"/>
        </w:rPr>
        <w:t xml:space="preserve"> handling mechanisms</w:t>
      </w:r>
      <w:r w:rsidRPr="00F7263B">
        <w:rPr>
          <w:sz w:val="20"/>
          <w:szCs w:val="20"/>
        </w:rPr>
        <w:t xml:space="preserve">.  </w:t>
      </w:r>
      <w:r w:rsidR="00ED19B6" w:rsidRPr="00F7263B">
        <w:rPr>
          <w:sz w:val="20"/>
          <w:szCs w:val="20"/>
        </w:rPr>
        <w:t>Complaint</w:t>
      </w:r>
      <w:r w:rsidR="003718AE" w:rsidRPr="00F7263B">
        <w:rPr>
          <w:sz w:val="20"/>
          <w:szCs w:val="20"/>
        </w:rPr>
        <w:t>s</w:t>
      </w:r>
      <w:r w:rsidR="00ED19B6" w:rsidRPr="00F7263B">
        <w:rPr>
          <w:sz w:val="20"/>
          <w:szCs w:val="20"/>
        </w:rPr>
        <w:t xml:space="preserve"> handling mechanisms are in place at all level</w:t>
      </w:r>
      <w:r w:rsidR="003718AE" w:rsidRPr="00F7263B">
        <w:rPr>
          <w:sz w:val="20"/>
          <w:szCs w:val="20"/>
        </w:rPr>
        <w:t>s</w:t>
      </w:r>
      <w:r w:rsidR="00ED19B6" w:rsidRPr="00F7263B">
        <w:rPr>
          <w:sz w:val="20"/>
          <w:szCs w:val="20"/>
        </w:rPr>
        <w:t xml:space="preserve"> of government</w:t>
      </w:r>
      <w:r w:rsidR="003718AE" w:rsidRPr="00F7263B">
        <w:rPr>
          <w:sz w:val="20"/>
          <w:szCs w:val="20"/>
        </w:rPr>
        <w:t>,</w:t>
      </w:r>
      <w:r w:rsidR="00ED19B6" w:rsidRPr="00F7263B">
        <w:rPr>
          <w:sz w:val="20"/>
          <w:szCs w:val="20"/>
        </w:rPr>
        <w:t xml:space="preserve"> as per the requirement of </w:t>
      </w:r>
      <w:r w:rsidR="003718AE" w:rsidRPr="00F7263B">
        <w:rPr>
          <w:sz w:val="20"/>
          <w:szCs w:val="20"/>
        </w:rPr>
        <w:t>two</w:t>
      </w:r>
      <w:r w:rsidR="00A2314D">
        <w:rPr>
          <w:sz w:val="20"/>
          <w:szCs w:val="20"/>
        </w:rPr>
        <w:t xml:space="preserve"> </w:t>
      </w:r>
      <w:r w:rsidR="003718AE" w:rsidRPr="00F7263B">
        <w:rPr>
          <w:sz w:val="20"/>
          <w:szCs w:val="20"/>
        </w:rPr>
        <w:t>n</w:t>
      </w:r>
      <w:r w:rsidR="00ED19B6" w:rsidRPr="00F7263B">
        <w:rPr>
          <w:sz w:val="20"/>
          <w:szCs w:val="20"/>
        </w:rPr>
        <w:t xml:space="preserve">ational </w:t>
      </w:r>
      <w:r w:rsidR="003718AE" w:rsidRPr="00F7263B">
        <w:rPr>
          <w:sz w:val="20"/>
          <w:szCs w:val="20"/>
        </w:rPr>
        <w:t>p</w:t>
      </w:r>
      <w:r w:rsidR="00ED19B6" w:rsidRPr="00F7263B">
        <w:rPr>
          <w:sz w:val="20"/>
          <w:szCs w:val="20"/>
        </w:rPr>
        <w:t>roclamations (433/2005 and 434/2005)</w:t>
      </w:r>
      <w:r w:rsidR="003718AE" w:rsidRPr="00F7263B">
        <w:rPr>
          <w:sz w:val="20"/>
          <w:szCs w:val="20"/>
        </w:rPr>
        <w:t>,</w:t>
      </w:r>
      <w:r w:rsidR="00ED19B6" w:rsidRPr="00F7263B">
        <w:rPr>
          <w:sz w:val="20"/>
          <w:szCs w:val="20"/>
        </w:rPr>
        <w:t xml:space="preserve"> and institutional level operational guidelines.  These proclamations clearly define the procedures to follow </w:t>
      </w:r>
      <w:r w:rsidR="003718AE" w:rsidRPr="00F7263B">
        <w:rPr>
          <w:sz w:val="20"/>
          <w:szCs w:val="20"/>
        </w:rPr>
        <w:t>for suspected</w:t>
      </w:r>
      <w:r w:rsidR="00A2314D">
        <w:rPr>
          <w:sz w:val="20"/>
          <w:szCs w:val="20"/>
        </w:rPr>
        <w:t xml:space="preserve"> </w:t>
      </w:r>
      <w:r w:rsidR="00ED19B6" w:rsidRPr="00F7263B">
        <w:rPr>
          <w:sz w:val="20"/>
          <w:szCs w:val="20"/>
        </w:rPr>
        <w:t xml:space="preserve">corruption </w:t>
      </w:r>
      <w:r w:rsidR="00ED19B6" w:rsidRPr="00F7263B">
        <w:rPr>
          <w:sz w:val="20"/>
          <w:szCs w:val="20"/>
        </w:rPr>
        <w:lastRenderedPageBreak/>
        <w:t xml:space="preserve">offences as well as for administrative complaints related to the Program. </w:t>
      </w:r>
      <w:r w:rsidR="00BB67B6" w:rsidRPr="00F7263B">
        <w:rPr>
          <w:sz w:val="20"/>
          <w:szCs w:val="20"/>
        </w:rPr>
        <w:t>There are a number ways engag</w:t>
      </w:r>
      <w:r w:rsidR="003718AE" w:rsidRPr="00F7263B">
        <w:rPr>
          <w:sz w:val="20"/>
          <w:szCs w:val="20"/>
        </w:rPr>
        <w:t xml:space="preserve">ing </w:t>
      </w:r>
      <w:r w:rsidR="00BB67B6" w:rsidRPr="00F7263B">
        <w:rPr>
          <w:sz w:val="20"/>
          <w:szCs w:val="20"/>
        </w:rPr>
        <w:t>citizens in complaint</w:t>
      </w:r>
      <w:r w:rsidR="001552B6" w:rsidRPr="00F7263B">
        <w:rPr>
          <w:sz w:val="20"/>
          <w:szCs w:val="20"/>
        </w:rPr>
        <w:t>s</w:t>
      </w:r>
      <w:r w:rsidR="00BB67B6" w:rsidRPr="00F7263B">
        <w:rPr>
          <w:sz w:val="20"/>
          <w:szCs w:val="20"/>
        </w:rPr>
        <w:t xml:space="preserve"> handling, </w:t>
      </w:r>
      <w:r w:rsidR="001552B6" w:rsidRPr="00F7263B">
        <w:rPr>
          <w:sz w:val="20"/>
          <w:szCs w:val="20"/>
        </w:rPr>
        <w:t xml:space="preserve">and in promoting </w:t>
      </w:r>
      <w:r w:rsidR="00BB67B6" w:rsidRPr="00F7263B">
        <w:rPr>
          <w:sz w:val="20"/>
          <w:szCs w:val="20"/>
        </w:rPr>
        <w:t>transparency</w:t>
      </w:r>
      <w:r w:rsidR="001552B6" w:rsidRPr="00F7263B">
        <w:rPr>
          <w:sz w:val="20"/>
          <w:szCs w:val="20"/>
        </w:rPr>
        <w:t>.</w:t>
      </w:r>
      <w:r w:rsidR="00A2314D">
        <w:rPr>
          <w:sz w:val="20"/>
          <w:szCs w:val="20"/>
        </w:rPr>
        <w:t xml:space="preserve"> </w:t>
      </w:r>
      <w:r w:rsidR="00BB67B6" w:rsidRPr="00F7263B">
        <w:rPr>
          <w:sz w:val="20"/>
          <w:szCs w:val="20"/>
        </w:rPr>
        <w:t>At the grassroots</w:t>
      </w:r>
      <w:r w:rsidR="001552B6" w:rsidRPr="00F7263B">
        <w:rPr>
          <w:sz w:val="20"/>
          <w:szCs w:val="20"/>
        </w:rPr>
        <w:t xml:space="preserve"> level</w:t>
      </w:r>
      <w:r w:rsidR="00BB67B6" w:rsidRPr="00F7263B">
        <w:rPr>
          <w:sz w:val="20"/>
          <w:szCs w:val="20"/>
        </w:rPr>
        <w:t>, citizens have experience in forming community groups,</w:t>
      </w:r>
      <w:r w:rsidR="001552B6" w:rsidRPr="00F7263B">
        <w:rPr>
          <w:sz w:val="20"/>
          <w:szCs w:val="20"/>
        </w:rPr>
        <w:t xml:space="preserve"> or in appointing </w:t>
      </w:r>
      <w:r w:rsidR="00BB67B6" w:rsidRPr="00F7263B">
        <w:rPr>
          <w:sz w:val="20"/>
          <w:szCs w:val="20"/>
        </w:rPr>
        <w:t>committee</w:t>
      </w:r>
      <w:r w:rsidR="001552B6" w:rsidRPr="00F7263B">
        <w:rPr>
          <w:sz w:val="20"/>
          <w:szCs w:val="20"/>
        </w:rPr>
        <w:t>s</w:t>
      </w:r>
      <w:r w:rsidR="00BB67B6" w:rsidRPr="00F7263B">
        <w:rPr>
          <w:sz w:val="20"/>
          <w:szCs w:val="20"/>
        </w:rPr>
        <w:t xml:space="preserve"> or representative</w:t>
      </w:r>
      <w:r w:rsidR="001552B6" w:rsidRPr="00F7263B">
        <w:rPr>
          <w:sz w:val="20"/>
          <w:szCs w:val="20"/>
        </w:rPr>
        <w:t>s</w:t>
      </w:r>
      <w:r w:rsidR="00BB67B6" w:rsidRPr="00F7263B">
        <w:rPr>
          <w:sz w:val="20"/>
          <w:szCs w:val="20"/>
        </w:rPr>
        <w:t xml:space="preserve"> to liaison with </w:t>
      </w:r>
      <w:r w:rsidR="001552B6" w:rsidRPr="00F7263B">
        <w:rPr>
          <w:sz w:val="20"/>
          <w:szCs w:val="20"/>
        </w:rPr>
        <w:t xml:space="preserve">government </w:t>
      </w:r>
      <w:r w:rsidR="00BB67B6" w:rsidRPr="00F7263B">
        <w:rPr>
          <w:sz w:val="20"/>
          <w:szCs w:val="20"/>
        </w:rPr>
        <w:t xml:space="preserve">and seek solutions. </w:t>
      </w:r>
      <w:r w:rsidR="001552B6" w:rsidRPr="00F7263B">
        <w:rPr>
          <w:sz w:val="20"/>
          <w:szCs w:val="20"/>
        </w:rPr>
        <w:t xml:space="preserve"> Some </w:t>
      </w:r>
      <w:r w:rsidR="00BB67B6" w:rsidRPr="00F7263B">
        <w:rPr>
          <w:sz w:val="20"/>
          <w:szCs w:val="20"/>
        </w:rPr>
        <w:t>ULGs have create</w:t>
      </w:r>
      <w:r w:rsidR="001552B6" w:rsidRPr="00F7263B">
        <w:rPr>
          <w:sz w:val="20"/>
          <w:szCs w:val="20"/>
        </w:rPr>
        <w:t>d</w:t>
      </w:r>
      <w:r w:rsidR="00BB67B6" w:rsidRPr="00F7263B">
        <w:rPr>
          <w:sz w:val="20"/>
          <w:szCs w:val="20"/>
        </w:rPr>
        <w:t xml:space="preserve"> forum</w:t>
      </w:r>
      <w:r w:rsidR="001552B6" w:rsidRPr="00F7263B">
        <w:rPr>
          <w:sz w:val="20"/>
          <w:szCs w:val="20"/>
        </w:rPr>
        <w:t>s</w:t>
      </w:r>
      <w:r w:rsidR="00A2314D">
        <w:rPr>
          <w:sz w:val="20"/>
          <w:szCs w:val="20"/>
        </w:rPr>
        <w:t xml:space="preserve"> </w:t>
      </w:r>
      <w:r w:rsidR="001552B6" w:rsidRPr="00F7263B">
        <w:rPr>
          <w:sz w:val="20"/>
          <w:szCs w:val="20"/>
        </w:rPr>
        <w:t xml:space="preserve">to promote dialogue between citizens and service </w:t>
      </w:r>
      <w:r w:rsidR="00BB67B6" w:rsidRPr="00F7263B">
        <w:rPr>
          <w:sz w:val="20"/>
          <w:szCs w:val="20"/>
        </w:rPr>
        <w:t>providers</w:t>
      </w:r>
      <w:r w:rsidR="001552B6" w:rsidRPr="00F7263B">
        <w:rPr>
          <w:sz w:val="20"/>
          <w:szCs w:val="20"/>
        </w:rPr>
        <w:t xml:space="preserve">, and for </w:t>
      </w:r>
      <w:r w:rsidR="00BB67B6" w:rsidRPr="00F7263B">
        <w:rPr>
          <w:sz w:val="20"/>
          <w:szCs w:val="20"/>
        </w:rPr>
        <w:t xml:space="preserve">joint monitoring and assessment </w:t>
      </w:r>
      <w:r w:rsidR="001552B6" w:rsidRPr="00F7263B">
        <w:rPr>
          <w:sz w:val="20"/>
          <w:szCs w:val="20"/>
        </w:rPr>
        <w:t xml:space="preserve">of </w:t>
      </w:r>
      <w:r w:rsidR="00BB67B6" w:rsidRPr="00F7263B">
        <w:rPr>
          <w:sz w:val="20"/>
          <w:szCs w:val="20"/>
        </w:rPr>
        <w:t>performance.</w:t>
      </w:r>
      <w:r w:rsidR="00A2314D">
        <w:rPr>
          <w:sz w:val="20"/>
          <w:szCs w:val="20"/>
        </w:rPr>
        <w:t xml:space="preserve"> </w:t>
      </w:r>
      <w:r w:rsidR="00ED19B6" w:rsidRPr="00F7263B">
        <w:rPr>
          <w:sz w:val="20"/>
          <w:szCs w:val="20"/>
        </w:rPr>
        <w:t xml:space="preserve">Although the system of complaints handling is very well established in Ethiopia, </w:t>
      </w:r>
      <w:r w:rsidR="001D67D6" w:rsidRPr="00F7263B">
        <w:rPr>
          <w:sz w:val="20"/>
          <w:szCs w:val="20"/>
        </w:rPr>
        <w:t>the M</w:t>
      </w:r>
      <w:r w:rsidR="00ED19B6" w:rsidRPr="00F7263B">
        <w:rPr>
          <w:sz w:val="20"/>
          <w:szCs w:val="20"/>
        </w:rPr>
        <w:t>UDHCo and the regional and local governments will take full responsibility in ensuring that the Program beneficiaries are regularly informed about the complaint</w:t>
      </w:r>
      <w:r w:rsidR="001552B6" w:rsidRPr="00F7263B">
        <w:rPr>
          <w:sz w:val="20"/>
          <w:szCs w:val="20"/>
        </w:rPr>
        <w:t>s</w:t>
      </w:r>
      <w:r w:rsidR="00ED19B6" w:rsidRPr="00F7263B">
        <w:rPr>
          <w:sz w:val="20"/>
          <w:szCs w:val="20"/>
        </w:rPr>
        <w:t xml:space="preserve"> system</w:t>
      </w:r>
      <w:r w:rsidR="001552B6" w:rsidRPr="00F7263B">
        <w:rPr>
          <w:sz w:val="20"/>
          <w:szCs w:val="20"/>
        </w:rPr>
        <w:t xml:space="preserve">—an </w:t>
      </w:r>
      <w:r w:rsidR="00ED19B6" w:rsidRPr="00F7263B">
        <w:rPr>
          <w:sz w:val="20"/>
          <w:szCs w:val="20"/>
        </w:rPr>
        <w:t>important requirement that will help in ensuring the program meets its development objectives.</w:t>
      </w:r>
    </w:p>
    <w:p w:rsidR="00ED19B6" w:rsidRPr="00F7263B" w:rsidRDefault="00ED19B6" w:rsidP="00ED19B6">
      <w:pPr>
        <w:autoSpaceDE w:val="0"/>
        <w:autoSpaceDN w:val="0"/>
        <w:adjustRightInd w:val="0"/>
        <w:contextualSpacing/>
        <w:jc w:val="both"/>
        <w:rPr>
          <w:sz w:val="20"/>
          <w:szCs w:val="20"/>
        </w:rPr>
      </w:pPr>
    </w:p>
    <w:p w:rsidR="00ED19B6" w:rsidRPr="00F7263B" w:rsidRDefault="00ED19B6" w:rsidP="00ED19B6">
      <w:pPr>
        <w:pStyle w:val="ListParagraph"/>
        <w:numPr>
          <w:ilvl w:val="0"/>
          <w:numId w:val="9"/>
        </w:numPr>
        <w:autoSpaceDE w:val="0"/>
        <w:autoSpaceDN w:val="0"/>
        <w:adjustRightInd w:val="0"/>
        <w:ind w:left="0" w:firstLine="0"/>
        <w:jc w:val="both"/>
        <w:rPr>
          <w:sz w:val="20"/>
          <w:szCs w:val="20"/>
        </w:rPr>
      </w:pPr>
      <w:r w:rsidRPr="00F7263B">
        <w:rPr>
          <w:b/>
          <w:sz w:val="20"/>
          <w:szCs w:val="20"/>
        </w:rPr>
        <w:t>Complaints regarding the Program</w:t>
      </w:r>
      <w:r w:rsidR="006A44CC" w:rsidRPr="00F7263B">
        <w:rPr>
          <w:b/>
          <w:sz w:val="20"/>
          <w:szCs w:val="20"/>
        </w:rPr>
        <w:t xml:space="preserve">.  </w:t>
      </w:r>
      <w:r w:rsidR="006A44CC" w:rsidRPr="00F7263B">
        <w:rPr>
          <w:sz w:val="20"/>
          <w:szCs w:val="20"/>
        </w:rPr>
        <w:t>These</w:t>
      </w:r>
      <w:r w:rsidRPr="00F7263B">
        <w:rPr>
          <w:sz w:val="20"/>
          <w:szCs w:val="20"/>
        </w:rPr>
        <w:t xml:space="preserve"> can be received from internal or external clients through various channels</w:t>
      </w:r>
      <w:r w:rsidR="006A44CC" w:rsidRPr="00F7263B">
        <w:rPr>
          <w:sz w:val="20"/>
          <w:szCs w:val="20"/>
        </w:rPr>
        <w:t xml:space="preserve">, </w:t>
      </w:r>
      <w:r w:rsidR="001552B6" w:rsidRPr="00F7263B">
        <w:rPr>
          <w:sz w:val="20"/>
          <w:szCs w:val="20"/>
        </w:rPr>
        <w:t>includ</w:t>
      </w:r>
      <w:r w:rsidR="006A44CC" w:rsidRPr="00F7263B">
        <w:rPr>
          <w:sz w:val="20"/>
          <w:szCs w:val="20"/>
        </w:rPr>
        <w:t>ing</w:t>
      </w:r>
      <w:r w:rsidR="00A2314D">
        <w:rPr>
          <w:sz w:val="20"/>
          <w:szCs w:val="20"/>
        </w:rPr>
        <w:t xml:space="preserve"> </w:t>
      </w:r>
      <w:r w:rsidR="006A44CC" w:rsidRPr="00F7263B">
        <w:rPr>
          <w:sz w:val="20"/>
          <w:szCs w:val="20"/>
        </w:rPr>
        <w:t xml:space="preserve">in person </w:t>
      </w:r>
      <w:r w:rsidR="001552B6" w:rsidRPr="00F7263B">
        <w:rPr>
          <w:sz w:val="20"/>
          <w:szCs w:val="20"/>
        </w:rPr>
        <w:t xml:space="preserve">or in </w:t>
      </w:r>
      <w:r w:rsidRPr="00F7263B">
        <w:rPr>
          <w:sz w:val="20"/>
          <w:szCs w:val="20"/>
        </w:rPr>
        <w:t>writ</w:t>
      </w:r>
      <w:r w:rsidR="001552B6" w:rsidRPr="00F7263B">
        <w:rPr>
          <w:sz w:val="20"/>
          <w:szCs w:val="20"/>
        </w:rPr>
        <w:t>ing</w:t>
      </w:r>
      <w:r w:rsidR="006A44CC" w:rsidRPr="00F7263B">
        <w:rPr>
          <w:sz w:val="20"/>
          <w:szCs w:val="20"/>
        </w:rPr>
        <w:t>.</w:t>
      </w:r>
      <w:r w:rsidR="00A2314D">
        <w:rPr>
          <w:sz w:val="20"/>
          <w:szCs w:val="20"/>
        </w:rPr>
        <w:t xml:space="preserve"> </w:t>
      </w:r>
      <w:r w:rsidRPr="00F7263B">
        <w:rPr>
          <w:sz w:val="20"/>
          <w:szCs w:val="20"/>
        </w:rPr>
        <w:t xml:space="preserve">At the ULG level, complaints are lodged </w:t>
      </w:r>
      <w:r w:rsidR="001552B6" w:rsidRPr="00F7263B">
        <w:rPr>
          <w:sz w:val="20"/>
          <w:szCs w:val="20"/>
        </w:rPr>
        <w:t>in</w:t>
      </w:r>
      <w:r w:rsidRPr="00F7263B">
        <w:rPr>
          <w:sz w:val="20"/>
          <w:szCs w:val="20"/>
        </w:rPr>
        <w:t xml:space="preserve">the </w:t>
      </w:r>
      <w:r w:rsidR="001552B6" w:rsidRPr="00F7263B">
        <w:rPr>
          <w:sz w:val="20"/>
          <w:szCs w:val="20"/>
        </w:rPr>
        <w:t xml:space="preserve">city complaint handling body, in the </w:t>
      </w:r>
      <w:r w:rsidR="00782051" w:rsidRPr="00F7263B">
        <w:rPr>
          <w:sz w:val="20"/>
          <w:szCs w:val="20"/>
        </w:rPr>
        <w:t>unit consisting of ethics liaison u</w:t>
      </w:r>
      <w:r w:rsidRPr="00F7263B">
        <w:rPr>
          <w:sz w:val="20"/>
          <w:szCs w:val="20"/>
        </w:rPr>
        <w:t xml:space="preserve">nit officers, </w:t>
      </w:r>
      <w:r w:rsidR="001552B6" w:rsidRPr="00F7263B">
        <w:rPr>
          <w:sz w:val="20"/>
          <w:szCs w:val="20"/>
        </w:rPr>
        <w:t>with</w:t>
      </w:r>
      <w:r w:rsidR="00A2314D">
        <w:rPr>
          <w:sz w:val="20"/>
          <w:szCs w:val="20"/>
        </w:rPr>
        <w:t xml:space="preserve"> </w:t>
      </w:r>
      <w:r w:rsidRPr="00F7263B">
        <w:rPr>
          <w:sz w:val="20"/>
          <w:szCs w:val="20"/>
        </w:rPr>
        <w:t xml:space="preserve">the police, </w:t>
      </w:r>
      <w:r w:rsidR="001552B6" w:rsidRPr="00F7263B">
        <w:rPr>
          <w:sz w:val="20"/>
          <w:szCs w:val="20"/>
        </w:rPr>
        <w:t xml:space="preserve">with </w:t>
      </w:r>
      <w:r w:rsidRPr="00F7263B">
        <w:rPr>
          <w:sz w:val="20"/>
          <w:szCs w:val="20"/>
        </w:rPr>
        <w:t>other delegated bodies</w:t>
      </w:r>
      <w:r w:rsidR="001552B6" w:rsidRPr="00F7263B">
        <w:rPr>
          <w:sz w:val="20"/>
          <w:szCs w:val="20"/>
        </w:rPr>
        <w:t>,</w:t>
      </w:r>
      <w:r w:rsidRPr="00F7263B">
        <w:rPr>
          <w:sz w:val="20"/>
          <w:szCs w:val="20"/>
        </w:rPr>
        <w:t xml:space="preserve"> or directly </w:t>
      </w:r>
      <w:r w:rsidR="001552B6" w:rsidRPr="00F7263B">
        <w:rPr>
          <w:sz w:val="20"/>
          <w:szCs w:val="20"/>
        </w:rPr>
        <w:t>with</w:t>
      </w:r>
      <w:r w:rsidRPr="00F7263B">
        <w:rPr>
          <w:sz w:val="20"/>
          <w:szCs w:val="20"/>
        </w:rPr>
        <w:t xml:space="preserve"> REACC.</w:t>
      </w:r>
      <w:r w:rsidR="001552B6" w:rsidRPr="00F7263B">
        <w:rPr>
          <w:sz w:val="20"/>
          <w:szCs w:val="20"/>
        </w:rPr>
        <w:t xml:space="preserve"> I</w:t>
      </w:r>
      <w:r w:rsidR="001552B6" w:rsidRPr="00F7263B">
        <w:rPr>
          <w:rFonts w:eastAsiaTheme="minorHAnsi"/>
          <w:color w:val="000000"/>
          <w:sz w:val="20"/>
          <w:szCs w:val="20"/>
        </w:rPr>
        <w:t xml:space="preserve">nformation on fraud and corruption and complaints regarding the ProgramComplaints lodged at the ULG level will be compiled and </w:t>
      </w:r>
      <w:r w:rsidR="00BB67B6" w:rsidRPr="00F7263B">
        <w:rPr>
          <w:rFonts w:eastAsiaTheme="minorHAnsi"/>
          <w:color w:val="000000"/>
          <w:sz w:val="20"/>
          <w:szCs w:val="20"/>
        </w:rPr>
        <w:t xml:space="preserve">at the Regional level and shared with </w:t>
      </w:r>
      <w:r w:rsidR="001552B6" w:rsidRPr="00F7263B">
        <w:rPr>
          <w:rFonts w:eastAsiaTheme="minorHAnsi"/>
          <w:color w:val="000000"/>
          <w:sz w:val="20"/>
          <w:szCs w:val="20"/>
        </w:rPr>
        <w:t>FEACC.  FEACC</w:t>
      </w:r>
      <w:r w:rsidR="00BB67B6" w:rsidRPr="00F7263B">
        <w:rPr>
          <w:rFonts w:eastAsiaTheme="minorHAnsi"/>
          <w:color w:val="000000"/>
          <w:sz w:val="20"/>
          <w:szCs w:val="20"/>
        </w:rPr>
        <w:t xml:space="preserve"> will</w:t>
      </w:r>
      <w:r w:rsidR="001552B6" w:rsidRPr="00F7263B">
        <w:rPr>
          <w:rFonts w:eastAsiaTheme="minorHAnsi"/>
          <w:color w:val="000000"/>
          <w:sz w:val="20"/>
          <w:szCs w:val="20"/>
        </w:rPr>
        <w:t xml:space="preserve"> share the reports twice a year </w:t>
      </w:r>
      <w:r w:rsidR="00BB67B6" w:rsidRPr="00F7263B">
        <w:rPr>
          <w:rFonts w:eastAsiaTheme="minorHAnsi"/>
          <w:color w:val="000000"/>
          <w:sz w:val="20"/>
          <w:szCs w:val="20"/>
        </w:rPr>
        <w:t>with the Bank</w:t>
      </w:r>
      <w:r w:rsidR="00DE0175" w:rsidRPr="00F7263B">
        <w:rPr>
          <w:rFonts w:eastAsiaTheme="minorHAnsi"/>
          <w:color w:val="000000"/>
          <w:sz w:val="20"/>
          <w:szCs w:val="20"/>
        </w:rPr>
        <w:t>.</w:t>
      </w:r>
    </w:p>
    <w:p w:rsidR="00ED19B6" w:rsidRPr="00F7263B" w:rsidRDefault="00ED19B6" w:rsidP="00ED19B6">
      <w:pPr>
        <w:autoSpaceDE w:val="0"/>
        <w:autoSpaceDN w:val="0"/>
        <w:adjustRightInd w:val="0"/>
        <w:contextualSpacing/>
        <w:jc w:val="both"/>
        <w:rPr>
          <w:sz w:val="20"/>
          <w:szCs w:val="20"/>
        </w:rPr>
      </w:pPr>
    </w:p>
    <w:p w:rsidR="00ED19B6" w:rsidRPr="00F7263B" w:rsidRDefault="00ED19B6" w:rsidP="00ED19B6">
      <w:pPr>
        <w:pStyle w:val="ListParagraph"/>
        <w:numPr>
          <w:ilvl w:val="0"/>
          <w:numId w:val="9"/>
        </w:numPr>
        <w:autoSpaceDE w:val="0"/>
        <w:autoSpaceDN w:val="0"/>
        <w:adjustRightInd w:val="0"/>
        <w:ind w:left="0" w:firstLine="0"/>
        <w:jc w:val="both"/>
        <w:rPr>
          <w:sz w:val="20"/>
          <w:szCs w:val="20"/>
        </w:rPr>
      </w:pPr>
      <w:r w:rsidRPr="00F7263B">
        <w:rPr>
          <w:b/>
          <w:sz w:val="20"/>
          <w:szCs w:val="20"/>
        </w:rPr>
        <w:t>Complaint</w:t>
      </w:r>
      <w:r w:rsidR="00DE0175" w:rsidRPr="00F7263B">
        <w:rPr>
          <w:b/>
          <w:sz w:val="20"/>
          <w:szCs w:val="20"/>
        </w:rPr>
        <w:t>s</w:t>
      </w:r>
      <w:r w:rsidRPr="00F7263B">
        <w:rPr>
          <w:b/>
          <w:sz w:val="20"/>
          <w:szCs w:val="20"/>
        </w:rPr>
        <w:t xml:space="preserve"> handling related to procurement.</w:t>
      </w:r>
      <w:r w:rsidR="00A2314D">
        <w:rPr>
          <w:b/>
          <w:sz w:val="20"/>
          <w:szCs w:val="20"/>
        </w:rPr>
        <w:t xml:space="preserve"> </w:t>
      </w:r>
      <w:r w:rsidRPr="00F7263B">
        <w:rPr>
          <w:sz w:val="20"/>
          <w:szCs w:val="20"/>
        </w:rPr>
        <w:t xml:space="preserve">The federal procurement proclamation </w:t>
      </w:r>
      <w:r w:rsidR="00DE0175" w:rsidRPr="00F7263B">
        <w:rPr>
          <w:sz w:val="20"/>
          <w:szCs w:val="20"/>
        </w:rPr>
        <w:t>established the</w:t>
      </w:r>
      <w:r w:rsidRPr="00F7263B">
        <w:rPr>
          <w:sz w:val="20"/>
          <w:szCs w:val="20"/>
        </w:rPr>
        <w:t xml:space="preserve"> “Board for Review a</w:t>
      </w:r>
      <w:r w:rsidR="002D4A9F" w:rsidRPr="00F7263B">
        <w:rPr>
          <w:sz w:val="20"/>
          <w:szCs w:val="20"/>
        </w:rPr>
        <w:t>nd Resolution of Complaints in P</w:t>
      </w:r>
      <w:r w:rsidRPr="00F7263B">
        <w:rPr>
          <w:sz w:val="20"/>
          <w:szCs w:val="20"/>
        </w:rPr>
        <w:t xml:space="preserve">ublic </w:t>
      </w:r>
      <w:r w:rsidR="002D4A9F" w:rsidRPr="00F7263B">
        <w:rPr>
          <w:sz w:val="20"/>
          <w:szCs w:val="20"/>
        </w:rPr>
        <w:t>P</w:t>
      </w:r>
      <w:r w:rsidRPr="00F7263B">
        <w:rPr>
          <w:sz w:val="20"/>
          <w:szCs w:val="20"/>
        </w:rPr>
        <w:t>rocurement</w:t>
      </w:r>
      <w:r w:rsidR="00DE0175" w:rsidRPr="00F7263B">
        <w:rPr>
          <w:sz w:val="20"/>
          <w:szCs w:val="20"/>
        </w:rPr>
        <w:t>,</w:t>
      </w:r>
      <w:r w:rsidRPr="00F7263B">
        <w:rPr>
          <w:sz w:val="20"/>
          <w:szCs w:val="20"/>
        </w:rPr>
        <w:t xml:space="preserve">” and instituted the board with five members.  A complaints review unit in </w:t>
      </w:r>
      <w:r w:rsidR="00DE0175" w:rsidRPr="00F7263B">
        <w:rPr>
          <w:sz w:val="20"/>
          <w:szCs w:val="20"/>
        </w:rPr>
        <w:t xml:space="preserve">the </w:t>
      </w:r>
      <w:r w:rsidR="00782051" w:rsidRPr="00F7263B">
        <w:rPr>
          <w:sz w:val="20"/>
          <w:szCs w:val="20"/>
        </w:rPr>
        <w:t>public procurement agency</w:t>
      </w:r>
      <w:r w:rsidRPr="00F7263B">
        <w:rPr>
          <w:sz w:val="20"/>
          <w:szCs w:val="20"/>
        </w:rPr>
        <w:t xml:space="preserve"> receives and compiles complaints and presents </w:t>
      </w:r>
      <w:r w:rsidR="00DE0175" w:rsidRPr="00F7263B">
        <w:rPr>
          <w:sz w:val="20"/>
          <w:szCs w:val="20"/>
        </w:rPr>
        <w:t xml:space="preserve">them </w:t>
      </w:r>
      <w:r w:rsidRPr="00F7263B">
        <w:rPr>
          <w:sz w:val="20"/>
          <w:szCs w:val="20"/>
        </w:rPr>
        <w:t>to the board</w:t>
      </w:r>
      <w:r w:rsidR="00DE0175" w:rsidRPr="00F7263B">
        <w:rPr>
          <w:sz w:val="20"/>
          <w:szCs w:val="20"/>
        </w:rPr>
        <w:t xml:space="preserve">. It also </w:t>
      </w:r>
      <w:r w:rsidRPr="00F7263B">
        <w:rPr>
          <w:sz w:val="20"/>
          <w:szCs w:val="20"/>
        </w:rPr>
        <w:t>receive</w:t>
      </w:r>
      <w:r w:rsidR="00DE0175" w:rsidRPr="00F7263B">
        <w:rPr>
          <w:sz w:val="20"/>
          <w:szCs w:val="20"/>
        </w:rPr>
        <w:t>s</w:t>
      </w:r>
      <w:r w:rsidRPr="00F7263B">
        <w:rPr>
          <w:sz w:val="20"/>
          <w:szCs w:val="20"/>
        </w:rPr>
        <w:t xml:space="preserve"> offence reports from </w:t>
      </w:r>
      <w:r w:rsidR="00782051" w:rsidRPr="00F7263B">
        <w:rPr>
          <w:sz w:val="20"/>
          <w:szCs w:val="20"/>
        </w:rPr>
        <w:t>procuring e</w:t>
      </w:r>
      <w:r w:rsidRPr="00F7263B">
        <w:rPr>
          <w:sz w:val="20"/>
          <w:szCs w:val="20"/>
        </w:rPr>
        <w:t xml:space="preserve">ntities against suppliers.  The </w:t>
      </w:r>
      <w:r w:rsidR="00DE0175" w:rsidRPr="00F7263B">
        <w:rPr>
          <w:sz w:val="20"/>
          <w:szCs w:val="20"/>
        </w:rPr>
        <w:t xml:space="preserve">board </w:t>
      </w:r>
      <w:r w:rsidRPr="00F7263B">
        <w:rPr>
          <w:sz w:val="20"/>
          <w:szCs w:val="20"/>
        </w:rPr>
        <w:t xml:space="preserve">refers any procurement complaints perceived to involve fraud and corruption to FEACC or </w:t>
      </w:r>
      <w:r w:rsidR="00DE0175" w:rsidRPr="00F7263B">
        <w:rPr>
          <w:sz w:val="20"/>
          <w:szCs w:val="20"/>
        </w:rPr>
        <w:t xml:space="preserve">to </w:t>
      </w:r>
      <w:r w:rsidRPr="00F7263B">
        <w:rPr>
          <w:sz w:val="20"/>
          <w:szCs w:val="20"/>
        </w:rPr>
        <w:t>REACC</w:t>
      </w:r>
      <w:r w:rsidR="00EE165A" w:rsidRPr="00F7263B">
        <w:rPr>
          <w:sz w:val="20"/>
          <w:szCs w:val="20"/>
        </w:rPr>
        <w:t>, or to both,</w:t>
      </w:r>
      <w:r w:rsidRPr="00F7263B">
        <w:rPr>
          <w:sz w:val="20"/>
          <w:szCs w:val="20"/>
        </w:rPr>
        <w:t xml:space="preserve"> for investigation.</w:t>
      </w:r>
    </w:p>
    <w:p w:rsidR="00ED19B6" w:rsidRPr="00F7263B" w:rsidRDefault="00ED19B6" w:rsidP="00ED19B6">
      <w:pPr>
        <w:autoSpaceDE w:val="0"/>
        <w:autoSpaceDN w:val="0"/>
        <w:adjustRightInd w:val="0"/>
        <w:contextualSpacing/>
        <w:jc w:val="both"/>
        <w:rPr>
          <w:sz w:val="20"/>
          <w:szCs w:val="20"/>
        </w:rPr>
      </w:pPr>
    </w:p>
    <w:p w:rsidR="00A75A89" w:rsidRPr="00F7263B" w:rsidRDefault="00C37C76" w:rsidP="003F32C6">
      <w:pPr>
        <w:pStyle w:val="ListParagraph"/>
        <w:numPr>
          <w:ilvl w:val="0"/>
          <w:numId w:val="9"/>
        </w:numPr>
        <w:autoSpaceDE w:val="0"/>
        <w:autoSpaceDN w:val="0"/>
        <w:adjustRightInd w:val="0"/>
        <w:ind w:left="0" w:firstLine="0"/>
        <w:jc w:val="both"/>
        <w:rPr>
          <w:sz w:val="20"/>
          <w:szCs w:val="20"/>
        </w:rPr>
      </w:pPr>
      <w:r w:rsidRPr="00F7263B">
        <w:rPr>
          <w:b/>
          <w:sz w:val="20"/>
          <w:szCs w:val="20"/>
        </w:rPr>
        <w:t>R</w:t>
      </w:r>
      <w:r w:rsidR="00ED19B6" w:rsidRPr="00F7263B">
        <w:rPr>
          <w:b/>
          <w:sz w:val="20"/>
          <w:szCs w:val="20"/>
        </w:rPr>
        <w:t>evised procurement legislation</w:t>
      </w:r>
      <w:r w:rsidR="00EE165A" w:rsidRPr="00F7263B">
        <w:rPr>
          <w:b/>
          <w:sz w:val="20"/>
          <w:szCs w:val="20"/>
        </w:rPr>
        <w:t xml:space="preserve"> and</w:t>
      </w:r>
      <w:r w:rsidR="00ED19B6" w:rsidRPr="00F7263B">
        <w:rPr>
          <w:b/>
          <w:sz w:val="20"/>
          <w:szCs w:val="20"/>
        </w:rPr>
        <w:t xml:space="preserve"> directives of each regional state</w:t>
      </w:r>
      <w:r w:rsidR="006A44CC" w:rsidRPr="00F7263B">
        <w:rPr>
          <w:b/>
          <w:sz w:val="20"/>
          <w:szCs w:val="20"/>
        </w:rPr>
        <w:t>.</w:t>
      </w:r>
      <w:r w:rsidR="00A2314D">
        <w:rPr>
          <w:b/>
          <w:sz w:val="20"/>
          <w:szCs w:val="20"/>
        </w:rPr>
        <w:t xml:space="preserve"> </w:t>
      </w:r>
      <w:r w:rsidR="006A44CC" w:rsidRPr="00F7263B">
        <w:rPr>
          <w:sz w:val="20"/>
          <w:szCs w:val="20"/>
        </w:rPr>
        <w:t xml:space="preserve">These </w:t>
      </w:r>
      <w:r w:rsidR="00ED19B6" w:rsidRPr="00F7263B">
        <w:rPr>
          <w:sz w:val="20"/>
          <w:szCs w:val="20"/>
        </w:rPr>
        <w:t>provide mechanism</w:t>
      </w:r>
      <w:r w:rsidRPr="00F7263B">
        <w:rPr>
          <w:sz w:val="20"/>
          <w:szCs w:val="20"/>
        </w:rPr>
        <w:t>s</w:t>
      </w:r>
      <w:r w:rsidR="00ED19B6" w:rsidRPr="00F7263B">
        <w:rPr>
          <w:sz w:val="20"/>
          <w:szCs w:val="20"/>
        </w:rPr>
        <w:t xml:space="preserve"> for submitting complaints </w:t>
      </w:r>
      <w:r w:rsidR="00EE165A" w:rsidRPr="00F7263B">
        <w:rPr>
          <w:sz w:val="20"/>
          <w:szCs w:val="20"/>
        </w:rPr>
        <w:t xml:space="preserve">with which </w:t>
      </w:r>
      <w:r w:rsidRPr="00F7263B">
        <w:rPr>
          <w:sz w:val="20"/>
          <w:szCs w:val="20"/>
        </w:rPr>
        <w:t>ULGs</w:t>
      </w:r>
      <w:r w:rsidR="00A2314D">
        <w:rPr>
          <w:sz w:val="20"/>
          <w:szCs w:val="20"/>
        </w:rPr>
        <w:t xml:space="preserve"> </w:t>
      </w:r>
      <w:r w:rsidR="00ED19B6" w:rsidRPr="00F7263B">
        <w:rPr>
          <w:sz w:val="20"/>
          <w:szCs w:val="20"/>
        </w:rPr>
        <w:t>are required to comply</w:t>
      </w:r>
      <w:r w:rsidR="00EE165A" w:rsidRPr="00F7263B">
        <w:rPr>
          <w:sz w:val="20"/>
          <w:szCs w:val="20"/>
        </w:rPr>
        <w:t>.</w:t>
      </w:r>
      <w:r w:rsidR="00A2314D">
        <w:rPr>
          <w:sz w:val="20"/>
          <w:szCs w:val="20"/>
        </w:rPr>
        <w:t xml:space="preserve"> </w:t>
      </w:r>
      <w:r w:rsidR="00ED19B6" w:rsidRPr="00F7263B">
        <w:rPr>
          <w:sz w:val="20"/>
          <w:szCs w:val="20"/>
        </w:rPr>
        <w:t xml:space="preserve">Complaints from suppliers or bidders can be </w:t>
      </w:r>
      <w:r w:rsidRPr="00F7263B">
        <w:rPr>
          <w:sz w:val="20"/>
          <w:szCs w:val="20"/>
        </w:rPr>
        <w:t>submitted to</w:t>
      </w:r>
      <w:r w:rsidR="00A2314D">
        <w:rPr>
          <w:sz w:val="20"/>
          <w:szCs w:val="20"/>
        </w:rPr>
        <w:t xml:space="preserve"> </w:t>
      </w:r>
      <w:r w:rsidR="00ED19B6" w:rsidRPr="00F7263B">
        <w:rPr>
          <w:sz w:val="20"/>
          <w:szCs w:val="20"/>
        </w:rPr>
        <w:t>the procuring entity</w:t>
      </w:r>
      <w:r w:rsidRPr="00F7263B">
        <w:rPr>
          <w:sz w:val="20"/>
          <w:szCs w:val="20"/>
        </w:rPr>
        <w:t>;</w:t>
      </w:r>
      <w:r w:rsidR="00ED19B6" w:rsidRPr="00F7263B">
        <w:rPr>
          <w:sz w:val="20"/>
          <w:szCs w:val="20"/>
        </w:rPr>
        <w:t xml:space="preserve"> the head of the procuring entity responds to </w:t>
      </w:r>
      <w:r w:rsidR="00A75A89" w:rsidRPr="00F7263B">
        <w:rPr>
          <w:sz w:val="20"/>
          <w:szCs w:val="20"/>
        </w:rPr>
        <w:t xml:space="preserve">person making the </w:t>
      </w:r>
      <w:r w:rsidR="00ED19B6" w:rsidRPr="00F7263B">
        <w:rPr>
          <w:sz w:val="20"/>
          <w:szCs w:val="20"/>
        </w:rPr>
        <w:t>complain</w:t>
      </w:r>
      <w:r w:rsidR="00A75A89" w:rsidRPr="00F7263B">
        <w:rPr>
          <w:sz w:val="20"/>
          <w:szCs w:val="20"/>
        </w:rPr>
        <w:t>t</w:t>
      </w:r>
      <w:r w:rsidR="00ED19B6" w:rsidRPr="00F7263B">
        <w:rPr>
          <w:sz w:val="20"/>
          <w:szCs w:val="20"/>
        </w:rPr>
        <w:t xml:space="preserve">.  If the </w:t>
      </w:r>
      <w:r w:rsidRPr="00F7263B">
        <w:rPr>
          <w:sz w:val="20"/>
          <w:szCs w:val="20"/>
        </w:rPr>
        <w:t>person lodging the complaint</w:t>
      </w:r>
      <w:r w:rsidR="00A2314D">
        <w:rPr>
          <w:sz w:val="20"/>
          <w:szCs w:val="20"/>
        </w:rPr>
        <w:t xml:space="preserve"> </w:t>
      </w:r>
      <w:r w:rsidR="00ED19B6" w:rsidRPr="00F7263B">
        <w:rPr>
          <w:sz w:val="20"/>
          <w:szCs w:val="20"/>
        </w:rPr>
        <w:t xml:space="preserve">is not satisfied, </w:t>
      </w:r>
      <w:r w:rsidRPr="00F7263B">
        <w:rPr>
          <w:sz w:val="20"/>
          <w:szCs w:val="20"/>
        </w:rPr>
        <w:t xml:space="preserve">he or </w:t>
      </w:r>
      <w:r w:rsidR="00ED19B6" w:rsidRPr="00F7263B">
        <w:rPr>
          <w:sz w:val="20"/>
          <w:szCs w:val="20"/>
        </w:rPr>
        <w:t>sh</w:t>
      </w:r>
      <w:r w:rsidRPr="00F7263B">
        <w:rPr>
          <w:sz w:val="20"/>
          <w:szCs w:val="20"/>
        </w:rPr>
        <w:t>e</w:t>
      </w:r>
      <w:r w:rsidR="00ED19B6" w:rsidRPr="00F7263B">
        <w:rPr>
          <w:sz w:val="20"/>
          <w:szCs w:val="20"/>
        </w:rPr>
        <w:t xml:space="preserve"> will appeal the case to the procurement complaint review board (</w:t>
      </w:r>
      <w:r w:rsidRPr="00F7263B">
        <w:rPr>
          <w:sz w:val="20"/>
          <w:szCs w:val="20"/>
        </w:rPr>
        <w:t xml:space="preserve">the </w:t>
      </w:r>
      <w:r w:rsidR="00ED19B6" w:rsidRPr="00F7263B">
        <w:rPr>
          <w:sz w:val="20"/>
          <w:szCs w:val="20"/>
        </w:rPr>
        <w:t>majority of the board members are public officials and from procuring agencies)</w:t>
      </w:r>
      <w:r w:rsidRPr="00F7263B">
        <w:rPr>
          <w:sz w:val="20"/>
          <w:szCs w:val="20"/>
        </w:rPr>
        <w:t>,</w:t>
      </w:r>
      <w:r w:rsidR="00ED19B6" w:rsidRPr="00F7263B">
        <w:rPr>
          <w:sz w:val="20"/>
          <w:szCs w:val="20"/>
        </w:rPr>
        <w:t xml:space="preserve"> and </w:t>
      </w:r>
      <w:r w:rsidRPr="00F7263B">
        <w:rPr>
          <w:sz w:val="20"/>
          <w:szCs w:val="20"/>
        </w:rPr>
        <w:t xml:space="preserve">then may </w:t>
      </w:r>
      <w:r w:rsidR="00ED19B6" w:rsidRPr="00F7263B">
        <w:rPr>
          <w:sz w:val="20"/>
          <w:szCs w:val="20"/>
        </w:rPr>
        <w:t>take the matter to the courts</w:t>
      </w:r>
      <w:r w:rsidRPr="00F7263B">
        <w:rPr>
          <w:sz w:val="20"/>
          <w:szCs w:val="20"/>
        </w:rPr>
        <w:t xml:space="preserve"> if not satisfied</w:t>
      </w:r>
      <w:r w:rsidR="00ED19B6" w:rsidRPr="00F7263B">
        <w:rPr>
          <w:sz w:val="20"/>
          <w:szCs w:val="20"/>
        </w:rPr>
        <w:t xml:space="preserve">.  The head of BoFED or the head of </w:t>
      </w:r>
      <w:r w:rsidR="00645198" w:rsidRPr="00F7263B">
        <w:rPr>
          <w:sz w:val="20"/>
          <w:szCs w:val="20"/>
        </w:rPr>
        <w:t xml:space="preserve">the </w:t>
      </w:r>
      <w:r w:rsidR="00ED19B6" w:rsidRPr="00F7263B">
        <w:rPr>
          <w:sz w:val="20"/>
          <w:szCs w:val="20"/>
        </w:rPr>
        <w:t xml:space="preserve">economic and social development </w:t>
      </w:r>
      <w:r w:rsidR="00645198" w:rsidRPr="00F7263B">
        <w:rPr>
          <w:sz w:val="20"/>
          <w:szCs w:val="20"/>
        </w:rPr>
        <w:t xml:space="preserve">department </w:t>
      </w:r>
      <w:r w:rsidR="00ED19B6" w:rsidRPr="00F7263B">
        <w:rPr>
          <w:sz w:val="20"/>
          <w:szCs w:val="20"/>
        </w:rPr>
        <w:t xml:space="preserve">gives final approval of the recommendation of the </w:t>
      </w:r>
      <w:r w:rsidR="00A75A89" w:rsidRPr="00F7263B">
        <w:rPr>
          <w:sz w:val="20"/>
          <w:szCs w:val="20"/>
        </w:rPr>
        <w:t xml:space="preserve">board </w:t>
      </w:r>
      <w:r w:rsidR="00ED19B6" w:rsidRPr="00F7263B">
        <w:rPr>
          <w:sz w:val="20"/>
          <w:szCs w:val="20"/>
        </w:rPr>
        <w:t xml:space="preserve">or committee.  </w:t>
      </w:r>
    </w:p>
    <w:p w:rsidR="00A75A89" w:rsidRPr="00F7263B" w:rsidRDefault="00A75A89" w:rsidP="00254260">
      <w:pPr>
        <w:pStyle w:val="ListParagraph"/>
        <w:rPr>
          <w:sz w:val="20"/>
          <w:szCs w:val="20"/>
          <w:highlight w:val="yellow"/>
        </w:rPr>
      </w:pPr>
    </w:p>
    <w:p w:rsidR="00ED19B6" w:rsidRPr="00F7263B" w:rsidRDefault="00ED19B6" w:rsidP="003F32C6">
      <w:pPr>
        <w:pStyle w:val="ListParagraph"/>
        <w:numPr>
          <w:ilvl w:val="0"/>
          <w:numId w:val="9"/>
        </w:numPr>
        <w:autoSpaceDE w:val="0"/>
        <w:autoSpaceDN w:val="0"/>
        <w:adjustRightInd w:val="0"/>
        <w:ind w:left="0" w:firstLine="0"/>
        <w:jc w:val="both"/>
        <w:rPr>
          <w:sz w:val="20"/>
          <w:szCs w:val="20"/>
        </w:rPr>
      </w:pPr>
      <w:r w:rsidRPr="00F7263B">
        <w:rPr>
          <w:b/>
          <w:sz w:val="20"/>
          <w:szCs w:val="20"/>
        </w:rPr>
        <w:t>If the complaint review board/committee suspects the case is related to fraud and corruption, then the case is directed to the REACC or FEACC</w:t>
      </w:r>
      <w:r w:rsidRPr="00F7263B">
        <w:rPr>
          <w:sz w:val="20"/>
          <w:szCs w:val="20"/>
        </w:rPr>
        <w:t>.  Any bidder, procu</w:t>
      </w:r>
      <w:r w:rsidR="00782051" w:rsidRPr="00F7263B">
        <w:rPr>
          <w:sz w:val="20"/>
          <w:szCs w:val="20"/>
        </w:rPr>
        <w:t xml:space="preserve">ring entity, </w:t>
      </w:r>
      <w:r w:rsidR="00043AE7" w:rsidRPr="00F7263B">
        <w:rPr>
          <w:sz w:val="20"/>
          <w:szCs w:val="20"/>
        </w:rPr>
        <w:t xml:space="preserve">or </w:t>
      </w:r>
      <w:r w:rsidR="00782051" w:rsidRPr="00F7263B">
        <w:rPr>
          <w:sz w:val="20"/>
          <w:szCs w:val="20"/>
        </w:rPr>
        <w:t>citizen</w:t>
      </w:r>
      <w:r w:rsidR="00043AE7" w:rsidRPr="00F7263B">
        <w:rPr>
          <w:sz w:val="20"/>
          <w:szCs w:val="20"/>
        </w:rPr>
        <w:t>,</w:t>
      </w:r>
      <w:r w:rsidR="00782051" w:rsidRPr="00F7263B">
        <w:rPr>
          <w:sz w:val="20"/>
          <w:szCs w:val="20"/>
        </w:rPr>
        <w:t xml:space="preserve"> including ethics unit officers,</w:t>
      </w:r>
      <w:r w:rsidR="00043AE7" w:rsidRPr="00F7263B">
        <w:rPr>
          <w:sz w:val="20"/>
          <w:szCs w:val="20"/>
        </w:rPr>
        <w:t xml:space="preserve"> and</w:t>
      </w:r>
      <w:r w:rsidR="00782051" w:rsidRPr="00F7263B">
        <w:rPr>
          <w:sz w:val="20"/>
          <w:szCs w:val="20"/>
        </w:rPr>
        <w:t xml:space="preserve"> f</w:t>
      </w:r>
      <w:r w:rsidRPr="00F7263B">
        <w:rPr>
          <w:sz w:val="20"/>
          <w:szCs w:val="20"/>
        </w:rPr>
        <w:t>ederal and regional auditor generals</w:t>
      </w:r>
      <w:r w:rsidR="00043AE7" w:rsidRPr="00F7263B">
        <w:rPr>
          <w:sz w:val="20"/>
          <w:szCs w:val="20"/>
        </w:rPr>
        <w:t>,</w:t>
      </w:r>
      <w:r w:rsidRPr="00F7263B">
        <w:rPr>
          <w:sz w:val="20"/>
          <w:szCs w:val="20"/>
        </w:rPr>
        <w:t xml:space="preserve"> can lodge procurement related complaints to REACC or FEACC.  </w:t>
      </w:r>
      <w:r w:rsidR="00043AE7" w:rsidRPr="00F7263B">
        <w:rPr>
          <w:sz w:val="20"/>
          <w:szCs w:val="20"/>
        </w:rPr>
        <w:t>In addition,</w:t>
      </w:r>
      <w:r w:rsidRPr="00F7263B">
        <w:rPr>
          <w:sz w:val="20"/>
          <w:szCs w:val="20"/>
        </w:rPr>
        <w:t xml:space="preserve"> as mentioned above, the ethics liaison unit officer of each entity report fraud and corruption related cases.  Although the </w:t>
      </w:r>
      <w:r w:rsidR="00043AE7" w:rsidRPr="00F7263B">
        <w:rPr>
          <w:sz w:val="20"/>
          <w:szCs w:val="20"/>
        </w:rPr>
        <w:t>anti</w:t>
      </w:r>
      <w:r w:rsidRPr="00F7263B">
        <w:rPr>
          <w:sz w:val="20"/>
          <w:szCs w:val="20"/>
        </w:rPr>
        <w:t>-</w:t>
      </w:r>
      <w:r w:rsidR="00043AE7" w:rsidRPr="00F7263B">
        <w:rPr>
          <w:sz w:val="20"/>
          <w:szCs w:val="20"/>
        </w:rPr>
        <w:t xml:space="preserve">corruption </w:t>
      </w:r>
      <w:r w:rsidRPr="00F7263B">
        <w:rPr>
          <w:sz w:val="20"/>
          <w:szCs w:val="20"/>
        </w:rPr>
        <w:t>law in Ethiopia makes provision for people to complain directly to the FEACC and REACC</w:t>
      </w:r>
      <w:r w:rsidR="00043AE7" w:rsidRPr="00F7263B">
        <w:rPr>
          <w:sz w:val="20"/>
          <w:szCs w:val="20"/>
        </w:rPr>
        <w:t>,</w:t>
      </w:r>
      <w:r w:rsidRPr="00F7263B">
        <w:rPr>
          <w:sz w:val="20"/>
          <w:szCs w:val="20"/>
        </w:rPr>
        <w:t xml:space="preserve"> if they </w:t>
      </w:r>
      <w:r w:rsidR="00043AE7" w:rsidRPr="00F7263B">
        <w:rPr>
          <w:sz w:val="20"/>
          <w:szCs w:val="20"/>
        </w:rPr>
        <w:t>suspect</w:t>
      </w:r>
      <w:r w:rsidRPr="00F7263B">
        <w:rPr>
          <w:sz w:val="20"/>
          <w:szCs w:val="20"/>
        </w:rPr>
        <w:t xml:space="preserve">a case of fraud and corruption, the Program </w:t>
      </w:r>
      <w:r w:rsidR="00043AE7" w:rsidRPr="00F7263B">
        <w:rPr>
          <w:sz w:val="20"/>
          <w:szCs w:val="20"/>
        </w:rPr>
        <w:t xml:space="preserve">coordinators </w:t>
      </w:r>
      <w:r w:rsidRPr="00F7263B">
        <w:rPr>
          <w:sz w:val="20"/>
          <w:szCs w:val="20"/>
        </w:rPr>
        <w:t xml:space="preserve">will emphasize this point to all the procuring entities as part of the </w:t>
      </w:r>
      <w:r w:rsidR="0062080D" w:rsidRPr="00F7263B">
        <w:rPr>
          <w:sz w:val="20"/>
          <w:szCs w:val="20"/>
        </w:rPr>
        <w:t>P</w:t>
      </w:r>
      <w:r w:rsidRPr="00F7263B">
        <w:rPr>
          <w:sz w:val="20"/>
          <w:szCs w:val="20"/>
        </w:rPr>
        <w:t xml:space="preserve">rogram’s information dissemination.  </w:t>
      </w:r>
    </w:p>
    <w:p w:rsidR="00895DC3" w:rsidRPr="00F7263B" w:rsidRDefault="00895DC3" w:rsidP="00895DC3">
      <w:pPr>
        <w:pStyle w:val="ListParagraph"/>
        <w:autoSpaceDE w:val="0"/>
        <w:autoSpaceDN w:val="0"/>
        <w:adjustRightInd w:val="0"/>
        <w:ind w:left="0"/>
        <w:jc w:val="both"/>
        <w:rPr>
          <w:sz w:val="20"/>
          <w:szCs w:val="20"/>
        </w:rPr>
      </w:pPr>
    </w:p>
    <w:p w:rsidR="00892664" w:rsidRPr="00F7263B" w:rsidRDefault="00043AE7" w:rsidP="00D92D63">
      <w:pPr>
        <w:pStyle w:val="ListParagraph"/>
        <w:numPr>
          <w:ilvl w:val="0"/>
          <w:numId w:val="9"/>
        </w:numPr>
        <w:autoSpaceDE w:val="0"/>
        <w:autoSpaceDN w:val="0"/>
        <w:adjustRightInd w:val="0"/>
        <w:ind w:left="0" w:firstLine="0"/>
        <w:jc w:val="both"/>
        <w:rPr>
          <w:sz w:val="20"/>
          <w:szCs w:val="20"/>
        </w:rPr>
      </w:pPr>
      <w:r w:rsidRPr="00F7263B">
        <w:rPr>
          <w:rFonts w:cs="Times New Roman"/>
          <w:b/>
          <w:sz w:val="20"/>
          <w:szCs w:val="20"/>
        </w:rPr>
        <w:t>F</w:t>
      </w:r>
      <w:r w:rsidR="008A0497" w:rsidRPr="00F7263B">
        <w:rPr>
          <w:rFonts w:cs="Times New Roman"/>
          <w:b/>
          <w:sz w:val="20"/>
          <w:szCs w:val="20"/>
        </w:rPr>
        <w:t>raud and corruption risks</w:t>
      </w:r>
      <w:r w:rsidR="00892664" w:rsidRPr="00F7263B">
        <w:rPr>
          <w:rFonts w:cs="Times New Roman"/>
          <w:b/>
          <w:sz w:val="20"/>
          <w:szCs w:val="20"/>
        </w:rPr>
        <w:t xml:space="preserve"> associated with fiduciary risk</w:t>
      </w:r>
      <w:r w:rsidRPr="00F7263B">
        <w:rPr>
          <w:rFonts w:cs="Times New Roman"/>
          <w:b/>
          <w:sz w:val="20"/>
          <w:szCs w:val="20"/>
        </w:rPr>
        <w:t>.</w:t>
      </w:r>
      <w:r w:rsidR="00A2314D">
        <w:rPr>
          <w:rFonts w:cs="Times New Roman"/>
          <w:b/>
          <w:sz w:val="20"/>
          <w:szCs w:val="20"/>
        </w:rPr>
        <w:t xml:space="preserve"> </w:t>
      </w:r>
      <w:r w:rsidRPr="00F7263B">
        <w:rPr>
          <w:rFonts w:cs="Times New Roman"/>
          <w:sz w:val="20"/>
          <w:szCs w:val="20"/>
        </w:rPr>
        <w:t>To address these risks</w:t>
      </w:r>
      <w:r w:rsidR="00892664" w:rsidRPr="00F7263B">
        <w:rPr>
          <w:rFonts w:cs="Times New Roman"/>
          <w:sz w:val="20"/>
          <w:szCs w:val="20"/>
        </w:rPr>
        <w:t xml:space="preserve">, </w:t>
      </w:r>
      <w:r w:rsidR="008A0497" w:rsidRPr="00F7263B">
        <w:rPr>
          <w:rFonts w:cs="Times New Roman"/>
          <w:sz w:val="20"/>
          <w:szCs w:val="20"/>
        </w:rPr>
        <w:t xml:space="preserve">the proposed </w:t>
      </w:r>
      <w:r w:rsidR="00892664" w:rsidRPr="00F7263B">
        <w:rPr>
          <w:rFonts w:cs="Times New Roman"/>
          <w:sz w:val="20"/>
          <w:szCs w:val="20"/>
        </w:rPr>
        <w:t xml:space="preserve">ULGDP II will be aligned to the </w:t>
      </w:r>
      <w:r w:rsidR="008A0497" w:rsidRPr="00F7263B">
        <w:rPr>
          <w:rFonts w:cs="Times New Roman"/>
          <w:sz w:val="20"/>
          <w:szCs w:val="20"/>
        </w:rPr>
        <w:t xml:space="preserve">Bank’s </w:t>
      </w:r>
      <w:r w:rsidR="00892664" w:rsidRPr="00F7263B">
        <w:rPr>
          <w:rFonts w:cs="Times New Roman"/>
          <w:sz w:val="20"/>
          <w:szCs w:val="20"/>
        </w:rPr>
        <w:t>Anti-Corruption Guidelines</w:t>
      </w:r>
      <w:r w:rsidR="00591BA5" w:rsidRPr="00F7263B">
        <w:rPr>
          <w:rFonts w:cs="Times New Roman"/>
          <w:sz w:val="20"/>
          <w:szCs w:val="20"/>
        </w:rPr>
        <w:t xml:space="preserve">. </w:t>
      </w:r>
      <w:r w:rsidR="00892664" w:rsidRPr="00F7263B">
        <w:rPr>
          <w:rFonts w:cs="Times New Roman"/>
          <w:sz w:val="20"/>
          <w:szCs w:val="20"/>
        </w:rPr>
        <w:t xml:space="preserve">The </w:t>
      </w:r>
      <w:r w:rsidR="008A0497" w:rsidRPr="00F7263B">
        <w:rPr>
          <w:rFonts w:cs="Times New Roman"/>
          <w:sz w:val="20"/>
          <w:szCs w:val="20"/>
        </w:rPr>
        <w:t>memorandum of understanding</w:t>
      </w:r>
      <w:r w:rsidR="00892664" w:rsidRPr="00F7263B">
        <w:rPr>
          <w:rFonts w:cs="Times New Roman"/>
          <w:sz w:val="20"/>
          <w:szCs w:val="20"/>
        </w:rPr>
        <w:t xml:space="preserve"> signed between the Bank's Integrity Vice Presidency </w:t>
      </w:r>
      <w:r w:rsidRPr="00F7263B">
        <w:rPr>
          <w:rFonts w:cs="Times New Roman"/>
          <w:sz w:val="20"/>
          <w:szCs w:val="20"/>
        </w:rPr>
        <w:t xml:space="preserve">and </w:t>
      </w:r>
      <w:r w:rsidR="00892664" w:rsidRPr="00F7263B">
        <w:rPr>
          <w:rFonts w:cs="Times New Roman"/>
          <w:sz w:val="20"/>
          <w:szCs w:val="20"/>
        </w:rPr>
        <w:t>FEACC on October 3, 2011 provides a framework for cooperation and sharing of information on fraud and corruption allegations, investigations and actions taken on the Program, including on procurement</w:t>
      </w:r>
      <w:r w:rsidR="00591BA5" w:rsidRPr="00F7263B">
        <w:rPr>
          <w:rFonts w:cs="Times New Roman"/>
          <w:sz w:val="20"/>
          <w:szCs w:val="20"/>
        </w:rPr>
        <w:t xml:space="preserve">.  </w:t>
      </w:r>
      <w:r w:rsidR="00892664" w:rsidRPr="00F7263B">
        <w:rPr>
          <w:rFonts w:cs="Times New Roman"/>
          <w:sz w:val="20"/>
          <w:szCs w:val="20"/>
        </w:rPr>
        <w:t xml:space="preserve">The </w:t>
      </w:r>
      <w:r w:rsidR="00EA4D7D" w:rsidRPr="00F7263B">
        <w:rPr>
          <w:rFonts w:cs="Times New Roman"/>
          <w:sz w:val="20"/>
          <w:szCs w:val="20"/>
        </w:rPr>
        <w:t>memorandum of understanding</w:t>
      </w:r>
      <w:r w:rsidR="00892664" w:rsidRPr="00F7263B">
        <w:rPr>
          <w:rFonts w:cs="Times New Roman"/>
          <w:sz w:val="20"/>
          <w:szCs w:val="20"/>
        </w:rPr>
        <w:t xml:space="preserve"> will provide the Bank and </w:t>
      </w:r>
      <w:r w:rsidR="00EA4D7D" w:rsidRPr="00F7263B">
        <w:rPr>
          <w:rFonts w:cs="Times New Roman"/>
          <w:sz w:val="20"/>
          <w:szCs w:val="20"/>
        </w:rPr>
        <w:t>its Integrity Vice Presidency</w:t>
      </w:r>
      <w:r w:rsidR="00892664" w:rsidRPr="00F7263B">
        <w:rPr>
          <w:rFonts w:cs="Times New Roman"/>
          <w:sz w:val="20"/>
          <w:szCs w:val="20"/>
        </w:rPr>
        <w:t xml:space="preserve"> with a foundation for expanding the existing working relationship to cover future cooperative investigations under the Program when needed, and for helping to ensure that the Government of Ethiopia and the FEACC can implement their commitments under the Anti-Corruption Guidelines</w:t>
      </w:r>
      <w:r w:rsidR="00591BA5" w:rsidRPr="00F7263B">
        <w:rPr>
          <w:rFonts w:cs="Times New Roman"/>
          <w:sz w:val="20"/>
          <w:szCs w:val="20"/>
        </w:rPr>
        <w:t xml:space="preserve">.  </w:t>
      </w:r>
      <w:r w:rsidR="00892664" w:rsidRPr="00F7263B">
        <w:rPr>
          <w:rFonts w:cs="Times New Roman"/>
          <w:sz w:val="20"/>
          <w:szCs w:val="20"/>
        </w:rPr>
        <w:t xml:space="preserve">The </w:t>
      </w:r>
      <w:r w:rsidRPr="00F7263B">
        <w:rPr>
          <w:rFonts w:cs="Times New Roman"/>
          <w:sz w:val="20"/>
          <w:szCs w:val="20"/>
        </w:rPr>
        <w:t xml:space="preserve">government </w:t>
      </w:r>
      <w:r w:rsidR="00892664" w:rsidRPr="00F7263B">
        <w:rPr>
          <w:rFonts w:cs="Times New Roman"/>
          <w:sz w:val="20"/>
          <w:szCs w:val="20"/>
        </w:rPr>
        <w:t>also committed to use the Bank’s debarment list to ensure that persons or entities debarred or suspended by the Bank are not awarded a contract under the Program during the period of such debarment or suspension</w:t>
      </w:r>
      <w:r w:rsidR="00F32FD5" w:rsidRPr="00F7263B">
        <w:rPr>
          <w:rFonts w:cs="Times New Roman"/>
          <w:sz w:val="20"/>
          <w:szCs w:val="20"/>
        </w:rPr>
        <w:t>.</w:t>
      </w:r>
      <w:r w:rsidR="00397FE3" w:rsidRPr="00F7263B">
        <w:rPr>
          <w:rFonts w:cs="Times New Roman"/>
          <w:sz w:val="20"/>
          <w:szCs w:val="20"/>
        </w:rPr>
        <w:t xml:space="preserve">  Annex 5 contains detailed information on how the ULGDP II addresses the issue of fraud of corruption.</w:t>
      </w:r>
    </w:p>
    <w:p w:rsidR="00F83B4A" w:rsidRPr="00F7263B" w:rsidRDefault="00F83B4A" w:rsidP="00556F1B">
      <w:pPr>
        <w:pStyle w:val="ListParagraph"/>
        <w:autoSpaceDE w:val="0"/>
        <w:autoSpaceDN w:val="0"/>
        <w:adjustRightInd w:val="0"/>
        <w:ind w:left="0"/>
        <w:jc w:val="both"/>
        <w:rPr>
          <w:sz w:val="20"/>
          <w:szCs w:val="20"/>
        </w:rPr>
      </w:pPr>
    </w:p>
    <w:p w:rsidR="005C0D32" w:rsidRPr="00F7263B" w:rsidRDefault="00043AE7" w:rsidP="00D92D63">
      <w:pPr>
        <w:pStyle w:val="ListParagraph"/>
        <w:numPr>
          <w:ilvl w:val="0"/>
          <w:numId w:val="9"/>
        </w:numPr>
        <w:autoSpaceDE w:val="0"/>
        <w:autoSpaceDN w:val="0"/>
        <w:adjustRightInd w:val="0"/>
        <w:ind w:left="0" w:firstLine="0"/>
        <w:jc w:val="both"/>
        <w:rPr>
          <w:rFonts w:cs="Times New Roman"/>
          <w:sz w:val="20"/>
          <w:szCs w:val="20"/>
        </w:rPr>
      </w:pPr>
      <w:r w:rsidRPr="00F7263B">
        <w:rPr>
          <w:b/>
          <w:sz w:val="20"/>
          <w:szCs w:val="20"/>
        </w:rPr>
        <w:t>Overall fiduciary risk.</w:t>
      </w:r>
      <w:r w:rsidRPr="00F7263B">
        <w:rPr>
          <w:sz w:val="20"/>
          <w:szCs w:val="20"/>
        </w:rPr>
        <w:t xml:space="preserve">  For these reasons described above,</w:t>
      </w:r>
      <w:r w:rsidRPr="00F7263B">
        <w:rPr>
          <w:b/>
          <w:i/>
          <w:sz w:val="20"/>
          <w:szCs w:val="20"/>
        </w:rPr>
        <w:t xml:space="preserve"> the fiduciary risk assessed for t</w:t>
      </w:r>
      <w:r w:rsidR="00AD3CD0" w:rsidRPr="00F7263B">
        <w:rPr>
          <w:b/>
          <w:i/>
          <w:sz w:val="20"/>
          <w:szCs w:val="20"/>
        </w:rPr>
        <w:t xml:space="preserve">his operation is classified as </w:t>
      </w:r>
      <w:r w:rsidRPr="00F7263B">
        <w:rPr>
          <w:b/>
          <w:i/>
          <w:sz w:val="20"/>
          <w:szCs w:val="20"/>
        </w:rPr>
        <w:t>substantial.</w:t>
      </w:r>
      <w:r w:rsidR="00F83B4A" w:rsidRPr="00F7263B">
        <w:rPr>
          <w:sz w:val="20"/>
          <w:szCs w:val="20"/>
        </w:rPr>
        <w:t xml:space="preserve">Overall, the fiduciary assessment concludes that the </w:t>
      </w:r>
      <w:r w:rsidRPr="00F7263B">
        <w:rPr>
          <w:sz w:val="20"/>
          <w:szCs w:val="20"/>
        </w:rPr>
        <w:t xml:space="preserve">ULGDP II’s </w:t>
      </w:r>
      <w:r w:rsidR="00F83B4A" w:rsidRPr="00F7263B">
        <w:rPr>
          <w:sz w:val="20"/>
          <w:szCs w:val="20"/>
        </w:rPr>
        <w:t>financial management and procurement systems are adequate to provide reasonable assurance that the financing proceeds will be used for intended purposes, with due attention to principles of economy, efficiency, effectiveness, transparency and accountability, and for safeguarding Program assets once the proposed mitigation measures have been implemented</w:t>
      </w:r>
      <w:r w:rsidR="00591BA5" w:rsidRPr="00F7263B">
        <w:rPr>
          <w:sz w:val="20"/>
          <w:szCs w:val="20"/>
        </w:rPr>
        <w:t xml:space="preserve">.  </w:t>
      </w:r>
      <w:r w:rsidR="00F83B4A" w:rsidRPr="00F7263B">
        <w:rPr>
          <w:sz w:val="20"/>
          <w:szCs w:val="20"/>
        </w:rPr>
        <w:t>Appropriate systems to handle the risks of fraud and corruption, including effective complaint-handling mechanisms, have been agreed on and established</w:t>
      </w:r>
      <w:r w:rsidR="00591BA5" w:rsidRPr="00F7263B">
        <w:rPr>
          <w:sz w:val="20"/>
          <w:szCs w:val="20"/>
        </w:rPr>
        <w:t xml:space="preserve">.  </w:t>
      </w:r>
      <w:r w:rsidR="00F83B4A" w:rsidRPr="00F7263B">
        <w:rPr>
          <w:sz w:val="20"/>
          <w:szCs w:val="20"/>
        </w:rPr>
        <w:t>An action plan for mitigation of risks has been included in the main report of the fiduciary assessment.</w:t>
      </w:r>
    </w:p>
    <w:p w:rsidR="005C0D32" w:rsidRPr="00F7263B" w:rsidRDefault="005C0D32" w:rsidP="00895DC3">
      <w:pPr>
        <w:pStyle w:val="ListParagraph"/>
        <w:autoSpaceDE w:val="0"/>
        <w:autoSpaceDN w:val="0"/>
        <w:adjustRightInd w:val="0"/>
        <w:ind w:left="0"/>
        <w:jc w:val="both"/>
        <w:rPr>
          <w:rFonts w:cs="Times New Roman"/>
          <w:sz w:val="20"/>
          <w:szCs w:val="20"/>
        </w:rPr>
      </w:pPr>
    </w:p>
    <w:p w:rsidR="003D39E3" w:rsidRPr="00F7263B" w:rsidRDefault="001D2940" w:rsidP="00556F1B">
      <w:pPr>
        <w:pStyle w:val="Heading2"/>
        <w:jc w:val="both"/>
        <w:rPr>
          <w:sz w:val="20"/>
          <w:szCs w:val="20"/>
        </w:rPr>
      </w:pPr>
      <w:bookmarkStart w:id="30" w:name="_Toc380167581"/>
      <w:r w:rsidRPr="00F7263B">
        <w:rPr>
          <w:sz w:val="20"/>
          <w:szCs w:val="20"/>
        </w:rPr>
        <w:lastRenderedPageBreak/>
        <w:t>Environmental and Social Effects</w:t>
      </w:r>
      <w:bookmarkEnd w:id="30"/>
    </w:p>
    <w:p w:rsidR="003D39E3" w:rsidRPr="00F7263B" w:rsidRDefault="003D39E3" w:rsidP="00556F1B">
      <w:pPr>
        <w:pStyle w:val="ListParagraph"/>
        <w:autoSpaceDE w:val="0"/>
        <w:autoSpaceDN w:val="0"/>
        <w:adjustRightInd w:val="0"/>
        <w:ind w:left="0"/>
        <w:jc w:val="both"/>
        <w:rPr>
          <w:rFonts w:cs="Times New Roman"/>
          <w:sz w:val="20"/>
          <w:szCs w:val="20"/>
        </w:rPr>
      </w:pPr>
    </w:p>
    <w:p w:rsidR="00BE46E6" w:rsidRPr="00F7263B" w:rsidRDefault="00BE46E6"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In accordance with the requirements outlined in the OP</w:t>
      </w:r>
      <w:r w:rsidR="00382E0F" w:rsidRPr="00F7263B">
        <w:rPr>
          <w:rFonts w:cs="Times New Roman"/>
          <w:b/>
          <w:sz w:val="20"/>
          <w:szCs w:val="20"/>
        </w:rPr>
        <w:t>/BP</w:t>
      </w:r>
      <w:r w:rsidRPr="00F7263B">
        <w:rPr>
          <w:rFonts w:cs="Times New Roman"/>
          <w:b/>
          <w:sz w:val="20"/>
          <w:szCs w:val="20"/>
        </w:rPr>
        <w:t>9.0, an Environment and So</w:t>
      </w:r>
      <w:r w:rsidR="00F370C2" w:rsidRPr="00F7263B">
        <w:rPr>
          <w:rFonts w:cs="Times New Roman"/>
          <w:b/>
          <w:sz w:val="20"/>
          <w:szCs w:val="20"/>
        </w:rPr>
        <w:t>cial Systems Assessment (ESSA) h</w:t>
      </w:r>
      <w:r w:rsidRPr="00F7263B">
        <w:rPr>
          <w:rFonts w:cs="Times New Roman"/>
          <w:b/>
          <w:sz w:val="20"/>
          <w:szCs w:val="20"/>
        </w:rPr>
        <w:t xml:space="preserve">as </w:t>
      </w:r>
      <w:r w:rsidR="00F370C2" w:rsidRPr="00F7263B">
        <w:rPr>
          <w:rFonts w:cs="Times New Roman"/>
          <w:b/>
          <w:sz w:val="20"/>
          <w:szCs w:val="20"/>
        </w:rPr>
        <w:t xml:space="preserve">been </w:t>
      </w:r>
      <w:r w:rsidRPr="00F7263B">
        <w:rPr>
          <w:rFonts w:cs="Times New Roman"/>
          <w:b/>
          <w:sz w:val="20"/>
          <w:szCs w:val="20"/>
        </w:rPr>
        <w:t>undertaken</w:t>
      </w:r>
      <w:r w:rsidR="00591BA5" w:rsidRPr="00F7263B">
        <w:rPr>
          <w:rFonts w:cs="Times New Roman"/>
          <w:sz w:val="20"/>
          <w:szCs w:val="20"/>
        </w:rPr>
        <w:t xml:space="preserve">.  </w:t>
      </w:r>
      <w:r w:rsidR="00F370C2" w:rsidRPr="00F7263B">
        <w:rPr>
          <w:rFonts w:cs="Times New Roman"/>
          <w:sz w:val="20"/>
          <w:szCs w:val="20"/>
        </w:rPr>
        <w:t xml:space="preserve">This </w:t>
      </w:r>
      <w:r w:rsidRPr="00F7263B">
        <w:rPr>
          <w:rFonts w:cs="Times New Roman"/>
          <w:sz w:val="20"/>
          <w:szCs w:val="20"/>
        </w:rPr>
        <w:t xml:space="preserve">included a comprehensive review of systems and procedures followed by </w:t>
      </w:r>
      <w:r w:rsidR="00821460" w:rsidRPr="00F7263B">
        <w:rPr>
          <w:rFonts w:cs="Times New Roman"/>
          <w:sz w:val="20"/>
          <w:szCs w:val="20"/>
        </w:rPr>
        <w:t>MUDHCo</w:t>
      </w:r>
      <w:r w:rsidRPr="00F7263B">
        <w:rPr>
          <w:rFonts w:cs="Times New Roman"/>
          <w:sz w:val="20"/>
          <w:szCs w:val="20"/>
        </w:rPr>
        <w:t>, regional</w:t>
      </w:r>
      <w:r w:rsidR="00F370C2" w:rsidRPr="00F7263B">
        <w:rPr>
          <w:rFonts w:cs="Times New Roman"/>
          <w:sz w:val="20"/>
          <w:szCs w:val="20"/>
        </w:rPr>
        <w:t>,</w:t>
      </w:r>
      <w:r w:rsidRPr="00F7263B">
        <w:rPr>
          <w:rFonts w:cs="Times New Roman"/>
          <w:sz w:val="20"/>
          <w:szCs w:val="20"/>
        </w:rPr>
        <w:t xml:space="preserve"> and </w:t>
      </w:r>
      <w:r w:rsidR="00043AE7" w:rsidRPr="00F7263B">
        <w:rPr>
          <w:rFonts w:cs="Times New Roman"/>
          <w:sz w:val="20"/>
          <w:szCs w:val="20"/>
        </w:rPr>
        <w:t>ULGs</w:t>
      </w:r>
      <w:r w:rsidRPr="00F7263B">
        <w:rPr>
          <w:rFonts w:cs="Times New Roman"/>
          <w:sz w:val="20"/>
          <w:szCs w:val="20"/>
        </w:rPr>
        <w:t xml:space="preserve"> to address social and environmental issues associated with the ULGDP II</w:t>
      </w:r>
      <w:r w:rsidR="00591BA5" w:rsidRPr="00F7263B">
        <w:rPr>
          <w:rFonts w:cs="Times New Roman"/>
          <w:sz w:val="20"/>
          <w:szCs w:val="20"/>
        </w:rPr>
        <w:t xml:space="preserve">.  </w:t>
      </w:r>
      <w:r w:rsidRPr="00F7263B">
        <w:rPr>
          <w:rFonts w:cs="Times New Roman"/>
          <w:sz w:val="20"/>
          <w:szCs w:val="20"/>
        </w:rPr>
        <w:t xml:space="preserve">The ESSA report </w:t>
      </w:r>
      <w:r w:rsidR="0076131A" w:rsidRPr="00F7263B">
        <w:rPr>
          <w:rFonts w:cs="Times New Roman"/>
          <w:sz w:val="20"/>
          <w:szCs w:val="20"/>
        </w:rPr>
        <w:t>provides an assessment of the</w:t>
      </w:r>
      <w:r w:rsidRPr="00F7263B">
        <w:rPr>
          <w:rFonts w:cs="Times New Roman"/>
          <w:sz w:val="20"/>
          <w:szCs w:val="20"/>
        </w:rPr>
        <w:t xml:space="preserve"> extent to which the existing program procedures for social and environment conform to the core principals of environmental and social sustainability, outlined in OP</w:t>
      </w:r>
      <w:r w:rsidR="00991003" w:rsidRPr="00F7263B">
        <w:rPr>
          <w:rFonts w:cs="Times New Roman"/>
          <w:sz w:val="20"/>
          <w:szCs w:val="20"/>
        </w:rPr>
        <w:t xml:space="preserve">/BP </w:t>
      </w:r>
      <w:r w:rsidRPr="00F7263B">
        <w:rPr>
          <w:rFonts w:cs="Times New Roman"/>
          <w:sz w:val="20"/>
          <w:szCs w:val="20"/>
        </w:rPr>
        <w:t>9.0</w:t>
      </w:r>
      <w:r w:rsidR="00043AE7" w:rsidRPr="00F7263B">
        <w:rPr>
          <w:rFonts w:cs="Times New Roman"/>
          <w:sz w:val="20"/>
          <w:szCs w:val="20"/>
        </w:rPr>
        <w:t xml:space="preserve">. </w:t>
      </w:r>
      <w:r w:rsidR="0076131A" w:rsidRPr="00F7263B">
        <w:rPr>
          <w:rFonts w:cs="Times New Roman"/>
          <w:sz w:val="20"/>
          <w:szCs w:val="20"/>
        </w:rPr>
        <w:t xml:space="preserve">It also </w:t>
      </w:r>
      <w:r w:rsidRPr="00F7263B">
        <w:rPr>
          <w:rFonts w:cs="Times New Roman"/>
          <w:sz w:val="20"/>
          <w:szCs w:val="20"/>
        </w:rPr>
        <w:t>recommends an action plan to address shortfalls.</w:t>
      </w:r>
    </w:p>
    <w:p w:rsidR="00D9654F" w:rsidRPr="00F7263B" w:rsidRDefault="00D9654F" w:rsidP="00556F1B">
      <w:pPr>
        <w:pStyle w:val="ListParagraph"/>
        <w:autoSpaceDE w:val="0"/>
        <w:autoSpaceDN w:val="0"/>
        <w:adjustRightInd w:val="0"/>
        <w:ind w:left="0"/>
        <w:jc w:val="both"/>
        <w:rPr>
          <w:rFonts w:cs="Times New Roman"/>
          <w:sz w:val="20"/>
          <w:szCs w:val="20"/>
        </w:rPr>
      </w:pPr>
    </w:p>
    <w:p w:rsidR="006E6935" w:rsidRPr="00F7263B" w:rsidRDefault="00D9654F" w:rsidP="00D92D63">
      <w:pPr>
        <w:pStyle w:val="ListParagraph"/>
        <w:numPr>
          <w:ilvl w:val="0"/>
          <w:numId w:val="9"/>
        </w:numPr>
        <w:autoSpaceDE w:val="0"/>
        <w:autoSpaceDN w:val="0"/>
        <w:adjustRightInd w:val="0"/>
        <w:ind w:left="0" w:firstLine="0"/>
        <w:jc w:val="both"/>
        <w:rPr>
          <w:rFonts w:cs="Times New Roman"/>
          <w:sz w:val="20"/>
          <w:szCs w:val="20"/>
          <w:lang w:val="en-GB"/>
        </w:rPr>
      </w:pPr>
      <w:r w:rsidRPr="00F7263B">
        <w:rPr>
          <w:rFonts w:cs="Times New Roman"/>
          <w:b/>
          <w:sz w:val="20"/>
          <w:szCs w:val="20"/>
        </w:rPr>
        <w:t>The ESSA confirms that Ethiopia has</w:t>
      </w:r>
      <w:r w:rsidR="00AD3CD0" w:rsidRPr="00F7263B">
        <w:rPr>
          <w:rFonts w:cs="Times New Roman"/>
          <w:b/>
          <w:sz w:val="20"/>
          <w:szCs w:val="20"/>
        </w:rPr>
        <w:t xml:space="preserve"> an</w:t>
      </w:r>
      <w:r w:rsidRPr="00F7263B">
        <w:rPr>
          <w:rFonts w:cs="Times New Roman"/>
          <w:b/>
          <w:sz w:val="20"/>
          <w:szCs w:val="20"/>
        </w:rPr>
        <w:t xml:space="preserve"> adequate legal framework for environmental and social management in the urban sector</w:t>
      </w:r>
      <w:r w:rsidR="00591BA5" w:rsidRPr="00F7263B">
        <w:rPr>
          <w:rFonts w:cs="Times New Roman"/>
          <w:sz w:val="20"/>
          <w:szCs w:val="20"/>
        </w:rPr>
        <w:t xml:space="preserve">.  </w:t>
      </w:r>
      <w:r w:rsidRPr="00F7263B">
        <w:rPr>
          <w:rFonts w:cs="Times New Roman"/>
          <w:sz w:val="20"/>
          <w:szCs w:val="20"/>
        </w:rPr>
        <w:t>Specifically, the country</w:t>
      </w:r>
      <w:r w:rsidR="00A2314D">
        <w:rPr>
          <w:rFonts w:cs="Times New Roman"/>
          <w:sz w:val="20"/>
          <w:szCs w:val="20"/>
        </w:rPr>
        <w:t xml:space="preserve"> </w:t>
      </w:r>
      <w:r w:rsidRPr="00F7263B">
        <w:rPr>
          <w:rFonts w:cs="Times New Roman"/>
          <w:sz w:val="20"/>
          <w:szCs w:val="20"/>
        </w:rPr>
        <w:t>has a robust set of environment and social regulations,a functioning court system, and accountability provisions integrated into system</w:t>
      </w:r>
      <w:r w:rsidR="00591BA5" w:rsidRPr="00F7263B">
        <w:rPr>
          <w:rFonts w:cs="Times New Roman"/>
          <w:sz w:val="20"/>
          <w:szCs w:val="20"/>
        </w:rPr>
        <w:t xml:space="preserve">.  </w:t>
      </w:r>
      <w:r w:rsidRPr="00F7263B">
        <w:rPr>
          <w:rFonts w:cs="Times New Roman"/>
          <w:sz w:val="20"/>
          <w:szCs w:val="20"/>
        </w:rPr>
        <w:t xml:space="preserve">However, the quality </w:t>
      </w:r>
      <w:r w:rsidR="00AD3CD0" w:rsidRPr="00F7263B">
        <w:rPr>
          <w:rFonts w:cs="Times New Roman"/>
          <w:sz w:val="20"/>
          <w:szCs w:val="20"/>
        </w:rPr>
        <w:t xml:space="preserve">of </w:t>
      </w:r>
      <w:r w:rsidRPr="00F7263B">
        <w:rPr>
          <w:rFonts w:cs="Times New Roman"/>
          <w:sz w:val="20"/>
          <w:szCs w:val="20"/>
        </w:rPr>
        <w:t>implementation and the effectiveness of existing provisions of the environment and social regulations are very uneven</w:t>
      </w:r>
      <w:r w:rsidR="00591BA5" w:rsidRPr="00F7263B">
        <w:rPr>
          <w:rFonts w:cs="Times New Roman"/>
          <w:sz w:val="20"/>
          <w:szCs w:val="20"/>
        </w:rPr>
        <w:t xml:space="preserve">.  </w:t>
      </w:r>
      <w:r w:rsidRPr="00F7263B">
        <w:rPr>
          <w:rFonts w:cs="Times New Roman"/>
          <w:sz w:val="20"/>
          <w:szCs w:val="20"/>
        </w:rPr>
        <w:t xml:space="preserve">An assessment of environmental and social regulations, policies and procedures, including institutional capacity and practices indicate a </w:t>
      </w:r>
      <w:r w:rsidRPr="00F7263B">
        <w:rPr>
          <w:rFonts w:cs="Times New Roman"/>
          <w:b/>
          <w:i/>
          <w:sz w:val="20"/>
          <w:szCs w:val="20"/>
        </w:rPr>
        <w:t>moderate level of environment and social risks</w:t>
      </w:r>
      <w:r w:rsidRPr="00F7263B">
        <w:rPr>
          <w:rFonts w:cs="Times New Roman"/>
          <w:sz w:val="20"/>
          <w:szCs w:val="20"/>
        </w:rPr>
        <w:t xml:space="preserve"> associated with the program design and implementation</w:t>
      </w:r>
      <w:r w:rsidR="00591BA5" w:rsidRPr="00F7263B">
        <w:rPr>
          <w:rFonts w:cs="Times New Roman"/>
          <w:sz w:val="20"/>
          <w:szCs w:val="20"/>
        </w:rPr>
        <w:t xml:space="preserve">.  </w:t>
      </w:r>
      <w:r w:rsidRPr="00F7263B">
        <w:rPr>
          <w:rFonts w:cs="Times New Roman"/>
          <w:sz w:val="20"/>
          <w:szCs w:val="20"/>
        </w:rPr>
        <w:t xml:space="preserve">Many of the risks relate to implementation, including lack of application of standard procedures for risk screening and </w:t>
      </w:r>
      <w:r w:rsidR="002F3F09" w:rsidRPr="00F7263B">
        <w:rPr>
          <w:rFonts w:cs="Times New Roman"/>
          <w:sz w:val="20"/>
          <w:szCs w:val="20"/>
        </w:rPr>
        <w:t xml:space="preserve">for </w:t>
      </w:r>
      <w:r w:rsidRPr="00F7263B">
        <w:rPr>
          <w:rFonts w:cs="Times New Roman"/>
          <w:sz w:val="20"/>
          <w:szCs w:val="20"/>
        </w:rPr>
        <w:t>implementation of mitigation measures among ULGs, lack of coordination among various agencies, and lack of technical capacity and resources</w:t>
      </w:r>
      <w:r w:rsidR="00591BA5" w:rsidRPr="00F7263B">
        <w:rPr>
          <w:rFonts w:cs="Times New Roman"/>
          <w:sz w:val="20"/>
          <w:szCs w:val="20"/>
        </w:rPr>
        <w:t xml:space="preserve">.  </w:t>
      </w:r>
    </w:p>
    <w:p w:rsidR="00895DC3" w:rsidRPr="00F7263B" w:rsidRDefault="00895DC3" w:rsidP="00254260">
      <w:pPr>
        <w:pStyle w:val="ListParagraph"/>
        <w:autoSpaceDE w:val="0"/>
        <w:autoSpaceDN w:val="0"/>
        <w:adjustRightInd w:val="0"/>
        <w:ind w:left="0"/>
        <w:jc w:val="both"/>
        <w:rPr>
          <w:rFonts w:cs="Times New Roman"/>
          <w:sz w:val="20"/>
          <w:szCs w:val="20"/>
          <w:lang w:val="en-GB"/>
        </w:rPr>
      </w:pPr>
    </w:p>
    <w:p w:rsidR="00D9654F" w:rsidRPr="00F7263B" w:rsidRDefault="00D9654F" w:rsidP="00D92D63">
      <w:pPr>
        <w:pStyle w:val="ListParagraph"/>
        <w:numPr>
          <w:ilvl w:val="0"/>
          <w:numId w:val="9"/>
        </w:numPr>
        <w:autoSpaceDE w:val="0"/>
        <w:autoSpaceDN w:val="0"/>
        <w:adjustRightInd w:val="0"/>
        <w:ind w:left="0" w:firstLine="0"/>
        <w:jc w:val="both"/>
        <w:rPr>
          <w:rFonts w:cs="Times New Roman"/>
          <w:sz w:val="20"/>
          <w:szCs w:val="20"/>
          <w:lang w:val="en-GB"/>
        </w:rPr>
      </w:pPr>
      <w:r w:rsidRPr="00F7263B">
        <w:rPr>
          <w:rFonts w:cs="Times New Roman"/>
          <w:b/>
          <w:sz w:val="20"/>
          <w:szCs w:val="20"/>
        </w:rPr>
        <w:t>Given significant variation in the capacity of participating ULGs for environment and social management of risks, the ESSA identified the following three key areas for strengthening</w:t>
      </w:r>
      <w:r w:rsidRPr="00F7263B">
        <w:rPr>
          <w:rFonts w:cs="Times New Roman"/>
          <w:sz w:val="20"/>
          <w:szCs w:val="20"/>
        </w:rPr>
        <w:t>:</w:t>
      </w:r>
    </w:p>
    <w:p w:rsidR="00BE46E6" w:rsidRPr="00F7263B" w:rsidRDefault="00BE46E6" w:rsidP="00254260">
      <w:pPr>
        <w:pStyle w:val="ListParagraph"/>
        <w:autoSpaceDE w:val="0"/>
        <w:autoSpaceDN w:val="0"/>
        <w:adjustRightInd w:val="0"/>
        <w:ind w:left="0"/>
        <w:jc w:val="both"/>
        <w:rPr>
          <w:rFonts w:cs="Times New Roman"/>
          <w:sz w:val="20"/>
          <w:szCs w:val="20"/>
          <w:lang w:val="en-GB"/>
        </w:rPr>
      </w:pPr>
    </w:p>
    <w:p w:rsidR="006E7278" w:rsidRPr="00F7263B" w:rsidRDefault="00EF2A5D" w:rsidP="00827BD7">
      <w:pPr>
        <w:pStyle w:val="NoSpacing"/>
        <w:numPr>
          <w:ilvl w:val="0"/>
          <w:numId w:val="23"/>
        </w:numPr>
        <w:ind w:left="1260"/>
        <w:jc w:val="both"/>
        <w:rPr>
          <w:rFonts w:ascii="Times New Roman" w:hAnsi="Times New Roman" w:cs="Times New Roman"/>
          <w:sz w:val="20"/>
          <w:szCs w:val="20"/>
        </w:rPr>
      </w:pPr>
      <w:r w:rsidRPr="00F7263B">
        <w:rPr>
          <w:rFonts w:ascii="Times New Roman" w:hAnsi="Times New Roman" w:cs="Times New Roman"/>
          <w:i/>
          <w:sz w:val="20"/>
          <w:szCs w:val="20"/>
          <w:lang w:val="en-GB"/>
        </w:rPr>
        <w:t>Institutional arrangements</w:t>
      </w:r>
      <w:r w:rsidR="00591BA5" w:rsidRPr="00F7263B">
        <w:rPr>
          <w:rFonts w:ascii="Times New Roman" w:hAnsi="Times New Roman" w:cs="Times New Roman"/>
          <w:i/>
          <w:sz w:val="20"/>
          <w:szCs w:val="20"/>
          <w:lang w:val="en-GB"/>
        </w:rPr>
        <w:t xml:space="preserve">.  </w:t>
      </w:r>
      <w:r w:rsidRPr="00F7263B">
        <w:rPr>
          <w:rFonts w:ascii="Times New Roman" w:hAnsi="Times New Roman" w:cs="Times New Roman"/>
          <w:sz w:val="20"/>
          <w:szCs w:val="20"/>
        </w:rPr>
        <w:t>The institutional arrangements for program implementation will be strengthened based on the experiences from ULGDP</w:t>
      </w:r>
      <w:r w:rsidR="00591BA5" w:rsidRPr="00F7263B">
        <w:rPr>
          <w:rFonts w:ascii="Times New Roman" w:hAnsi="Times New Roman" w:cs="Times New Roman"/>
          <w:sz w:val="20"/>
          <w:szCs w:val="20"/>
        </w:rPr>
        <w:t xml:space="preserve">.  </w:t>
      </w:r>
      <w:r w:rsidRPr="00F7263B">
        <w:rPr>
          <w:rFonts w:ascii="Times New Roman" w:hAnsi="Times New Roman" w:cs="Times New Roman"/>
          <w:sz w:val="20"/>
          <w:szCs w:val="20"/>
        </w:rPr>
        <w:t xml:space="preserve">There will be a clear division of tasks and responsibilities between federal, regional, and </w:t>
      </w:r>
      <w:r w:rsidR="00465D6A" w:rsidRPr="00F7263B">
        <w:rPr>
          <w:rFonts w:ascii="Times New Roman" w:hAnsi="Times New Roman" w:cs="Times New Roman"/>
          <w:sz w:val="20"/>
          <w:szCs w:val="20"/>
        </w:rPr>
        <w:t>ULGs</w:t>
      </w:r>
      <w:r w:rsidRPr="00F7263B">
        <w:rPr>
          <w:rFonts w:ascii="Times New Roman" w:hAnsi="Times New Roman" w:cs="Times New Roman"/>
          <w:sz w:val="20"/>
          <w:szCs w:val="20"/>
        </w:rPr>
        <w:t>, consistent with existing legal provisions, regulations and guidelines</w:t>
      </w:r>
      <w:r w:rsidR="00591BA5" w:rsidRPr="00F7263B">
        <w:rPr>
          <w:rFonts w:ascii="Times New Roman" w:hAnsi="Times New Roman" w:cs="Times New Roman"/>
          <w:sz w:val="20"/>
          <w:szCs w:val="20"/>
        </w:rPr>
        <w:t xml:space="preserve">.  </w:t>
      </w:r>
    </w:p>
    <w:p w:rsidR="00EF2A5D" w:rsidRPr="00F7263B" w:rsidRDefault="00EF2A5D" w:rsidP="00EA4D7D">
      <w:pPr>
        <w:pStyle w:val="NoSpacing"/>
        <w:ind w:left="1260"/>
        <w:jc w:val="both"/>
        <w:rPr>
          <w:rFonts w:ascii="Times New Roman" w:hAnsi="Times New Roman" w:cs="Times New Roman"/>
          <w:sz w:val="20"/>
          <w:szCs w:val="20"/>
          <w:lang w:val="en-GB"/>
        </w:rPr>
      </w:pPr>
    </w:p>
    <w:p w:rsidR="006E7278" w:rsidRPr="00F7263B" w:rsidRDefault="00D9654F" w:rsidP="00827BD7">
      <w:pPr>
        <w:pStyle w:val="NoSpacing"/>
        <w:numPr>
          <w:ilvl w:val="0"/>
          <w:numId w:val="23"/>
        </w:numPr>
        <w:ind w:left="1260"/>
        <w:jc w:val="both"/>
        <w:rPr>
          <w:rFonts w:ascii="Times New Roman" w:hAnsi="Times New Roman" w:cs="Times New Roman"/>
          <w:sz w:val="20"/>
          <w:szCs w:val="20"/>
          <w:lang w:val="en-GB"/>
        </w:rPr>
      </w:pPr>
      <w:r w:rsidRPr="00F7263B">
        <w:rPr>
          <w:rFonts w:ascii="Times New Roman" w:hAnsi="Times New Roman" w:cs="Times New Roman"/>
          <w:i/>
          <w:sz w:val="20"/>
          <w:szCs w:val="20"/>
          <w:lang w:val="en-GB"/>
        </w:rPr>
        <w:t>Defining an environmental and social management s</w:t>
      </w:r>
      <w:r w:rsidR="00BE46E6" w:rsidRPr="00F7263B">
        <w:rPr>
          <w:rFonts w:ascii="Times New Roman" w:hAnsi="Times New Roman" w:cs="Times New Roman"/>
          <w:i/>
          <w:sz w:val="20"/>
          <w:szCs w:val="20"/>
          <w:lang w:val="en-GB"/>
        </w:rPr>
        <w:t>ystem at city level</w:t>
      </w:r>
      <w:r w:rsidR="00591BA5" w:rsidRPr="00F7263B">
        <w:rPr>
          <w:rFonts w:ascii="Times New Roman" w:hAnsi="Times New Roman" w:cs="Times New Roman"/>
          <w:i/>
          <w:sz w:val="20"/>
          <w:szCs w:val="20"/>
          <w:lang w:val="en-GB"/>
        </w:rPr>
        <w:t xml:space="preserve">.  </w:t>
      </w:r>
      <w:r w:rsidR="00BE46E6" w:rsidRPr="00F7263B">
        <w:rPr>
          <w:rFonts w:ascii="Times New Roman" w:hAnsi="Times New Roman" w:cs="Times New Roman"/>
          <w:sz w:val="20"/>
          <w:szCs w:val="20"/>
        </w:rPr>
        <w:t xml:space="preserve">Under </w:t>
      </w:r>
      <w:r w:rsidRPr="00F7263B">
        <w:rPr>
          <w:rFonts w:ascii="Times New Roman" w:hAnsi="Times New Roman" w:cs="Times New Roman"/>
          <w:sz w:val="20"/>
          <w:szCs w:val="20"/>
        </w:rPr>
        <w:t xml:space="preserve">the </w:t>
      </w:r>
      <w:r w:rsidR="00BE46E6" w:rsidRPr="00F7263B">
        <w:rPr>
          <w:rFonts w:ascii="Times New Roman" w:hAnsi="Times New Roman" w:cs="Times New Roman"/>
          <w:sz w:val="20"/>
          <w:szCs w:val="20"/>
        </w:rPr>
        <w:t xml:space="preserve">ULGDP II, </w:t>
      </w:r>
      <w:r w:rsidRPr="00F7263B">
        <w:rPr>
          <w:rFonts w:ascii="Times New Roman" w:hAnsi="Times New Roman" w:cs="Times New Roman"/>
          <w:sz w:val="20"/>
          <w:szCs w:val="20"/>
        </w:rPr>
        <w:t xml:space="preserve">as a minimum condition, </w:t>
      </w:r>
      <w:r w:rsidR="00BE46E6" w:rsidRPr="00F7263B">
        <w:rPr>
          <w:rFonts w:ascii="Times New Roman" w:hAnsi="Times New Roman" w:cs="Times New Roman"/>
          <w:sz w:val="20"/>
          <w:szCs w:val="20"/>
        </w:rPr>
        <w:t xml:space="preserve">ULGs must demonstrate that they have established a functional system for environmental and social management </w:t>
      </w:r>
      <w:r w:rsidRPr="00F7263B">
        <w:rPr>
          <w:rFonts w:ascii="Times New Roman" w:hAnsi="Times New Roman" w:cs="Times New Roman"/>
          <w:sz w:val="20"/>
          <w:szCs w:val="20"/>
        </w:rPr>
        <w:t>that</w:t>
      </w:r>
      <w:r w:rsidR="00BE46E6" w:rsidRPr="00F7263B">
        <w:rPr>
          <w:rFonts w:ascii="Times New Roman" w:hAnsi="Times New Roman" w:cs="Times New Roman"/>
          <w:sz w:val="20"/>
          <w:szCs w:val="20"/>
        </w:rPr>
        <w:t xml:space="preserve"> outline</w:t>
      </w:r>
      <w:r w:rsidRPr="00F7263B">
        <w:rPr>
          <w:rFonts w:ascii="Times New Roman" w:hAnsi="Times New Roman" w:cs="Times New Roman"/>
          <w:sz w:val="20"/>
          <w:szCs w:val="20"/>
        </w:rPr>
        <w:t>s</w:t>
      </w:r>
      <w:r w:rsidR="00BE46E6" w:rsidRPr="00F7263B">
        <w:rPr>
          <w:rFonts w:ascii="Times New Roman" w:hAnsi="Times New Roman" w:cs="Times New Roman"/>
          <w:sz w:val="20"/>
          <w:szCs w:val="20"/>
        </w:rPr>
        <w:t xml:space="preserve"> specific roles and responsibilities for environmental and social risk screening, due diligence and regulatory requirements, consultation and coordination with other local and regional agencies, technical tools for implementation and monitoring, </w:t>
      </w:r>
      <w:r w:rsidRPr="00F7263B">
        <w:rPr>
          <w:rFonts w:ascii="Times New Roman" w:hAnsi="Times New Roman" w:cs="Times New Roman"/>
          <w:sz w:val="20"/>
          <w:szCs w:val="20"/>
        </w:rPr>
        <w:t xml:space="preserve">a </w:t>
      </w:r>
      <w:r w:rsidR="00BE46E6" w:rsidRPr="00F7263B">
        <w:rPr>
          <w:rFonts w:ascii="Times New Roman" w:hAnsi="Times New Roman" w:cs="Times New Roman"/>
          <w:sz w:val="20"/>
          <w:szCs w:val="20"/>
        </w:rPr>
        <w:t>staffing and capacity building plan</w:t>
      </w:r>
      <w:r w:rsidRPr="00F7263B">
        <w:rPr>
          <w:rFonts w:ascii="Times New Roman" w:hAnsi="Times New Roman" w:cs="Times New Roman"/>
          <w:sz w:val="20"/>
          <w:szCs w:val="20"/>
        </w:rPr>
        <w:t>, and the like</w:t>
      </w:r>
      <w:r w:rsidR="00591BA5" w:rsidRPr="00F7263B">
        <w:rPr>
          <w:rFonts w:ascii="Times New Roman" w:hAnsi="Times New Roman" w:cs="Times New Roman"/>
          <w:sz w:val="20"/>
          <w:szCs w:val="20"/>
        </w:rPr>
        <w:t xml:space="preserve">.  </w:t>
      </w:r>
      <w:r w:rsidR="00BE46E6" w:rsidRPr="00F7263B">
        <w:rPr>
          <w:rFonts w:ascii="Times New Roman" w:hAnsi="Times New Roman" w:cs="Times New Roman"/>
          <w:sz w:val="20"/>
          <w:szCs w:val="20"/>
        </w:rPr>
        <w:t>After the first year, ULGs will be required to demonstrate that all projects are screened for impacts</w:t>
      </w:r>
      <w:r w:rsidR="00465D6A" w:rsidRPr="00F7263B">
        <w:rPr>
          <w:rFonts w:ascii="Times New Roman" w:hAnsi="Times New Roman" w:cs="Times New Roman"/>
          <w:sz w:val="20"/>
          <w:szCs w:val="20"/>
        </w:rPr>
        <w:t xml:space="preserve">,that </w:t>
      </w:r>
      <w:r w:rsidR="00BE46E6" w:rsidRPr="00F7263B">
        <w:rPr>
          <w:rFonts w:ascii="Times New Roman" w:hAnsi="Times New Roman" w:cs="Times New Roman"/>
          <w:sz w:val="20"/>
          <w:szCs w:val="20"/>
        </w:rPr>
        <w:t>mitigation measures</w:t>
      </w:r>
      <w:r w:rsidR="00465D6A" w:rsidRPr="00F7263B">
        <w:rPr>
          <w:rFonts w:ascii="Times New Roman" w:hAnsi="Times New Roman" w:cs="Times New Roman"/>
          <w:sz w:val="20"/>
          <w:szCs w:val="20"/>
        </w:rPr>
        <w:t xml:space="preserve"> are</w:t>
      </w:r>
      <w:r w:rsidRPr="00F7263B">
        <w:rPr>
          <w:rFonts w:ascii="Times New Roman" w:hAnsi="Times New Roman" w:cs="Times New Roman"/>
          <w:sz w:val="20"/>
          <w:szCs w:val="20"/>
        </w:rPr>
        <w:t xml:space="preserve"> defined</w:t>
      </w:r>
      <w:r w:rsidR="00BE46E6" w:rsidRPr="00F7263B">
        <w:rPr>
          <w:rFonts w:ascii="Times New Roman" w:hAnsi="Times New Roman" w:cs="Times New Roman"/>
          <w:sz w:val="20"/>
          <w:szCs w:val="20"/>
        </w:rPr>
        <w:t xml:space="preserve">, and that all projects have environmental approvals from the </w:t>
      </w:r>
      <w:r w:rsidRPr="00F7263B">
        <w:rPr>
          <w:rFonts w:ascii="Times New Roman" w:hAnsi="Times New Roman" w:cs="Times New Roman"/>
          <w:sz w:val="20"/>
          <w:szCs w:val="20"/>
        </w:rPr>
        <w:t>REPAs</w:t>
      </w:r>
      <w:r w:rsidR="00BE46E6" w:rsidRPr="00F7263B">
        <w:rPr>
          <w:rFonts w:ascii="Times New Roman" w:hAnsi="Times New Roman" w:cs="Times New Roman"/>
          <w:sz w:val="20"/>
          <w:szCs w:val="20"/>
        </w:rPr>
        <w:t xml:space="preserve"> prior to initiating works</w:t>
      </w:r>
      <w:r w:rsidR="00591BA5" w:rsidRPr="00F7263B">
        <w:rPr>
          <w:rFonts w:ascii="Times New Roman" w:hAnsi="Times New Roman" w:cs="Times New Roman"/>
          <w:sz w:val="20"/>
          <w:szCs w:val="20"/>
        </w:rPr>
        <w:t xml:space="preserve">.  </w:t>
      </w:r>
    </w:p>
    <w:p w:rsidR="00BE46E6" w:rsidRPr="00F7263B" w:rsidRDefault="00BE46E6" w:rsidP="00EA4D7D">
      <w:pPr>
        <w:pStyle w:val="NoSpacing"/>
        <w:ind w:left="1260"/>
        <w:jc w:val="both"/>
        <w:rPr>
          <w:rFonts w:ascii="Times New Roman" w:hAnsi="Times New Roman" w:cs="Times New Roman"/>
          <w:sz w:val="20"/>
          <w:szCs w:val="20"/>
          <w:lang w:val="en-GB"/>
        </w:rPr>
      </w:pPr>
    </w:p>
    <w:p w:rsidR="006E7278" w:rsidRPr="00F7263B" w:rsidRDefault="002113C5" w:rsidP="00827BD7">
      <w:pPr>
        <w:pStyle w:val="NoSpacing"/>
        <w:numPr>
          <w:ilvl w:val="0"/>
          <w:numId w:val="23"/>
        </w:numPr>
        <w:ind w:left="1260"/>
        <w:jc w:val="both"/>
        <w:rPr>
          <w:rFonts w:ascii="Times New Roman" w:hAnsi="Times New Roman" w:cs="Times New Roman"/>
          <w:sz w:val="20"/>
          <w:szCs w:val="20"/>
          <w:lang w:val="en-GB"/>
        </w:rPr>
      </w:pPr>
      <w:r w:rsidRPr="00F7263B">
        <w:rPr>
          <w:rFonts w:ascii="Times New Roman" w:hAnsi="Times New Roman" w:cs="Times New Roman"/>
          <w:i/>
          <w:sz w:val="20"/>
          <w:szCs w:val="20"/>
          <w:lang w:val="en-GB"/>
        </w:rPr>
        <w:t>Technical guidance and capacity b</w:t>
      </w:r>
      <w:r w:rsidR="00BE46E6" w:rsidRPr="00F7263B">
        <w:rPr>
          <w:rFonts w:ascii="Times New Roman" w:hAnsi="Times New Roman" w:cs="Times New Roman"/>
          <w:i/>
          <w:sz w:val="20"/>
          <w:szCs w:val="20"/>
          <w:lang w:val="en-GB"/>
        </w:rPr>
        <w:t>uilding</w:t>
      </w:r>
      <w:r w:rsidR="00591BA5" w:rsidRPr="00F7263B">
        <w:rPr>
          <w:rFonts w:ascii="Times New Roman" w:hAnsi="Times New Roman" w:cs="Times New Roman"/>
          <w:i/>
          <w:sz w:val="20"/>
          <w:szCs w:val="20"/>
          <w:lang w:val="en-GB"/>
        </w:rPr>
        <w:t xml:space="preserve">.  </w:t>
      </w:r>
      <w:r w:rsidR="00BE46E6" w:rsidRPr="00F7263B">
        <w:rPr>
          <w:rFonts w:ascii="Times New Roman" w:hAnsi="Times New Roman" w:cs="Times New Roman"/>
          <w:sz w:val="20"/>
          <w:szCs w:val="20"/>
          <w:lang w:val="en-GB"/>
        </w:rPr>
        <w:t>U</w:t>
      </w:r>
      <w:r w:rsidR="00BE46E6" w:rsidRPr="00F7263B">
        <w:rPr>
          <w:rFonts w:ascii="Times New Roman" w:hAnsi="Times New Roman" w:cs="Times New Roman"/>
          <w:sz w:val="20"/>
          <w:szCs w:val="20"/>
        </w:rPr>
        <w:t xml:space="preserve">LGs can benefit significantly from sector specific technical guidelines that integrate environmental and social requirements for </w:t>
      </w:r>
      <w:r w:rsidRPr="00F7263B">
        <w:rPr>
          <w:rFonts w:ascii="Times New Roman" w:hAnsi="Times New Roman" w:cs="Times New Roman"/>
          <w:sz w:val="20"/>
          <w:szCs w:val="20"/>
        </w:rPr>
        <w:t>activities</w:t>
      </w:r>
      <w:r w:rsidR="00BE46E6" w:rsidRPr="00F7263B">
        <w:rPr>
          <w:rFonts w:ascii="Times New Roman" w:hAnsi="Times New Roman" w:cs="Times New Roman"/>
          <w:sz w:val="20"/>
          <w:szCs w:val="20"/>
        </w:rPr>
        <w:t xml:space="preserve"> such as road </w:t>
      </w:r>
      <w:r w:rsidRPr="00F7263B">
        <w:rPr>
          <w:rFonts w:ascii="Times New Roman" w:hAnsi="Times New Roman" w:cs="Times New Roman"/>
          <w:sz w:val="20"/>
          <w:szCs w:val="20"/>
        </w:rPr>
        <w:t>construction</w:t>
      </w:r>
      <w:r w:rsidR="00BE46E6" w:rsidRPr="00F7263B">
        <w:rPr>
          <w:rFonts w:ascii="Times New Roman" w:hAnsi="Times New Roman" w:cs="Times New Roman"/>
          <w:sz w:val="20"/>
          <w:szCs w:val="20"/>
        </w:rPr>
        <w:t xml:space="preserve">, waste management, </w:t>
      </w:r>
      <w:r w:rsidRPr="00F7263B">
        <w:rPr>
          <w:rFonts w:ascii="Times New Roman" w:hAnsi="Times New Roman" w:cs="Times New Roman"/>
          <w:sz w:val="20"/>
          <w:szCs w:val="20"/>
        </w:rPr>
        <w:t xml:space="preserve">management of </w:t>
      </w:r>
      <w:r w:rsidR="00BE46E6" w:rsidRPr="00F7263B">
        <w:rPr>
          <w:rFonts w:ascii="Times New Roman" w:hAnsi="Times New Roman" w:cs="Times New Roman"/>
          <w:sz w:val="20"/>
          <w:szCs w:val="20"/>
        </w:rPr>
        <w:t xml:space="preserve">slaughter houses, </w:t>
      </w:r>
      <w:r w:rsidRPr="00F7263B">
        <w:rPr>
          <w:rFonts w:ascii="Times New Roman" w:hAnsi="Times New Roman" w:cs="Times New Roman"/>
          <w:sz w:val="20"/>
          <w:szCs w:val="20"/>
        </w:rPr>
        <w:t xml:space="preserve">provision of </w:t>
      </w:r>
      <w:r w:rsidR="00BE46E6" w:rsidRPr="00F7263B">
        <w:rPr>
          <w:rFonts w:ascii="Times New Roman" w:hAnsi="Times New Roman" w:cs="Times New Roman"/>
          <w:sz w:val="20"/>
          <w:szCs w:val="20"/>
        </w:rPr>
        <w:t>water supply</w:t>
      </w:r>
      <w:r w:rsidRPr="00F7263B">
        <w:rPr>
          <w:rFonts w:ascii="Times New Roman" w:hAnsi="Times New Roman" w:cs="Times New Roman"/>
          <w:sz w:val="20"/>
          <w:szCs w:val="20"/>
        </w:rPr>
        <w:t>, and others</w:t>
      </w:r>
      <w:r w:rsidR="00591BA5" w:rsidRPr="00F7263B">
        <w:rPr>
          <w:rFonts w:ascii="Times New Roman" w:hAnsi="Times New Roman" w:cs="Times New Roman"/>
          <w:sz w:val="20"/>
          <w:szCs w:val="20"/>
        </w:rPr>
        <w:t xml:space="preserve">.  </w:t>
      </w:r>
      <w:r w:rsidRPr="00F7263B">
        <w:rPr>
          <w:rFonts w:ascii="Times New Roman" w:hAnsi="Times New Roman" w:cs="Times New Roman"/>
          <w:sz w:val="20"/>
          <w:szCs w:val="20"/>
        </w:rPr>
        <w:t xml:space="preserve">The </w:t>
      </w:r>
      <w:r w:rsidR="00821460" w:rsidRPr="00F7263B">
        <w:rPr>
          <w:rFonts w:ascii="Times New Roman" w:hAnsi="Times New Roman" w:cs="Times New Roman"/>
          <w:sz w:val="20"/>
          <w:szCs w:val="20"/>
        </w:rPr>
        <w:t>MUDHCo</w:t>
      </w:r>
      <w:r w:rsidR="00BE46E6" w:rsidRPr="00F7263B">
        <w:rPr>
          <w:rFonts w:ascii="Times New Roman" w:hAnsi="Times New Roman" w:cs="Times New Roman"/>
          <w:sz w:val="20"/>
          <w:szCs w:val="20"/>
        </w:rPr>
        <w:t xml:space="preserve"> is compiling </w:t>
      </w:r>
      <w:r w:rsidRPr="00F7263B">
        <w:rPr>
          <w:rFonts w:ascii="Times New Roman" w:hAnsi="Times New Roman" w:cs="Times New Roman"/>
          <w:sz w:val="20"/>
          <w:szCs w:val="20"/>
        </w:rPr>
        <w:t>such</w:t>
      </w:r>
      <w:r w:rsidR="00BE46E6" w:rsidRPr="00F7263B">
        <w:rPr>
          <w:rFonts w:ascii="Times New Roman" w:hAnsi="Times New Roman" w:cs="Times New Roman"/>
          <w:sz w:val="20"/>
          <w:szCs w:val="20"/>
        </w:rPr>
        <w:t xml:space="preserve"> guidelines to be shared with the ULGs</w:t>
      </w:r>
      <w:r w:rsidR="00591BA5" w:rsidRPr="00F7263B">
        <w:rPr>
          <w:rFonts w:ascii="Times New Roman" w:hAnsi="Times New Roman" w:cs="Times New Roman"/>
          <w:sz w:val="20"/>
          <w:szCs w:val="20"/>
        </w:rPr>
        <w:t xml:space="preserve">.  </w:t>
      </w:r>
    </w:p>
    <w:p w:rsidR="00BE46E6" w:rsidRPr="00F7263B" w:rsidRDefault="00BE46E6" w:rsidP="00EA4D7D">
      <w:pPr>
        <w:pStyle w:val="NoSpacing"/>
        <w:ind w:left="1260"/>
        <w:jc w:val="both"/>
        <w:rPr>
          <w:rFonts w:ascii="Times New Roman" w:hAnsi="Times New Roman" w:cs="Times New Roman"/>
          <w:sz w:val="20"/>
          <w:szCs w:val="20"/>
          <w:lang w:val="en-GB"/>
        </w:rPr>
      </w:pPr>
    </w:p>
    <w:p w:rsidR="006E7278" w:rsidRPr="00F7263B" w:rsidRDefault="00AF1290" w:rsidP="00827BD7">
      <w:pPr>
        <w:pStyle w:val="NoSpacing"/>
        <w:numPr>
          <w:ilvl w:val="0"/>
          <w:numId w:val="23"/>
        </w:numPr>
        <w:ind w:left="1260"/>
        <w:jc w:val="both"/>
        <w:rPr>
          <w:rFonts w:ascii="Times New Roman" w:hAnsi="Times New Roman" w:cs="Times New Roman"/>
          <w:bCs/>
          <w:sz w:val="20"/>
          <w:szCs w:val="20"/>
          <w:lang w:val="en-GB"/>
        </w:rPr>
      </w:pPr>
      <w:r w:rsidRPr="00F7263B">
        <w:rPr>
          <w:rFonts w:ascii="Times New Roman" w:hAnsi="Times New Roman" w:cs="Times New Roman"/>
          <w:i/>
          <w:sz w:val="20"/>
          <w:szCs w:val="20"/>
          <w:lang w:val="en-GB"/>
        </w:rPr>
        <w:t>Addressing r</w:t>
      </w:r>
      <w:r w:rsidR="00BE46E6" w:rsidRPr="00F7263B">
        <w:rPr>
          <w:rFonts w:ascii="Times New Roman" w:hAnsi="Times New Roman" w:cs="Times New Roman"/>
          <w:i/>
          <w:sz w:val="20"/>
          <w:szCs w:val="20"/>
          <w:lang w:val="en-GB"/>
        </w:rPr>
        <w:t xml:space="preserve">esource </w:t>
      </w:r>
      <w:r w:rsidRPr="00F7263B">
        <w:rPr>
          <w:rFonts w:ascii="Times New Roman" w:hAnsi="Times New Roman" w:cs="Times New Roman"/>
          <w:i/>
          <w:sz w:val="20"/>
          <w:szCs w:val="20"/>
          <w:lang w:val="en-GB"/>
        </w:rPr>
        <w:t>c</w:t>
      </w:r>
      <w:r w:rsidR="00BE46E6" w:rsidRPr="00F7263B">
        <w:rPr>
          <w:rFonts w:ascii="Times New Roman" w:hAnsi="Times New Roman" w:cs="Times New Roman"/>
          <w:i/>
          <w:sz w:val="20"/>
          <w:szCs w:val="20"/>
          <w:lang w:val="en-GB"/>
        </w:rPr>
        <w:t>onstraints</w:t>
      </w:r>
      <w:r w:rsidR="00591BA5" w:rsidRPr="00F7263B">
        <w:rPr>
          <w:rFonts w:ascii="Times New Roman" w:hAnsi="Times New Roman" w:cs="Times New Roman"/>
          <w:i/>
          <w:sz w:val="20"/>
          <w:szCs w:val="20"/>
          <w:lang w:val="en-GB"/>
        </w:rPr>
        <w:t xml:space="preserve">.  </w:t>
      </w:r>
      <w:r w:rsidR="00BE46E6" w:rsidRPr="00F7263B">
        <w:rPr>
          <w:rFonts w:ascii="Times New Roman" w:hAnsi="Times New Roman" w:cs="Times New Roman"/>
          <w:sz w:val="20"/>
          <w:szCs w:val="20"/>
          <w:lang w:val="en-GB"/>
        </w:rPr>
        <w:t xml:space="preserve">This area includes measures to overcome constraints with respect to human and </w:t>
      </w:r>
      <w:r w:rsidRPr="00F7263B">
        <w:rPr>
          <w:rFonts w:ascii="Times New Roman" w:hAnsi="Times New Roman" w:cs="Times New Roman"/>
          <w:sz w:val="20"/>
          <w:szCs w:val="20"/>
          <w:lang w:val="en-GB"/>
        </w:rPr>
        <w:t>financial</w:t>
      </w:r>
      <w:r w:rsidR="00BE46E6" w:rsidRPr="00F7263B">
        <w:rPr>
          <w:rFonts w:ascii="Times New Roman" w:hAnsi="Times New Roman" w:cs="Times New Roman"/>
          <w:sz w:val="20"/>
          <w:szCs w:val="20"/>
          <w:lang w:val="en-GB"/>
        </w:rPr>
        <w:t xml:space="preserve"> resources, through the Program incentive structure, as well as capacity building and training</w:t>
      </w:r>
      <w:r w:rsidR="00591BA5" w:rsidRPr="00F7263B">
        <w:rPr>
          <w:rFonts w:ascii="Times New Roman" w:hAnsi="Times New Roman" w:cs="Times New Roman"/>
          <w:sz w:val="20"/>
          <w:szCs w:val="20"/>
          <w:lang w:val="en-GB"/>
        </w:rPr>
        <w:t xml:space="preserve">.  </w:t>
      </w:r>
    </w:p>
    <w:p w:rsidR="00EE7AE2" w:rsidRPr="00F7263B" w:rsidRDefault="00EE7AE2" w:rsidP="00EE7AE2">
      <w:pPr>
        <w:pStyle w:val="ListParagraph"/>
        <w:rPr>
          <w:rFonts w:cs="Times New Roman"/>
          <w:bCs/>
          <w:sz w:val="20"/>
          <w:szCs w:val="20"/>
          <w:lang w:val="en-GB"/>
        </w:rPr>
      </w:pPr>
    </w:p>
    <w:p w:rsidR="00D25157" w:rsidRPr="00F7263B" w:rsidRDefault="00D25157"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 xml:space="preserve">A public consultation meeting </w:t>
      </w:r>
      <w:r w:rsidR="00EF2A5D" w:rsidRPr="00F7263B">
        <w:rPr>
          <w:rFonts w:cs="Times New Roman"/>
          <w:b/>
          <w:sz w:val="20"/>
          <w:szCs w:val="20"/>
        </w:rPr>
        <w:t xml:space="preserve">was held </w:t>
      </w:r>
      <w:r w:rsidRPr="00F7263B">
        <w:rPr>
          <w:rFonts w:cs="Times New Roman"/>
          <w:b/>
          <w:sz w:val="20"/>
          <w:szCs w:val="20"/>
        </w:rPr>
        <w:t>to discuss with various stakeholders the key findings and proposed recommendations</w:t>
      </w:r>
      <w:r w:rsidR="00EF2A5D" w:rsidRPr="00F7263B">
        <w:rPr>
          <w:rFonts w:cs="Times New Roman"/>
          <w:b/>
          <w:sz w:val="20"/>
          <w:szCs w:val="20"/>
        </w:rPr>
        <w:t xml:space="preserve"> of ESSA</w:t>
      </w:r>
      <w:r w:rsidR="00591BA5" w:rsidRPr="00F7263B">
        <w:rPr>
          <w:rFonts w:cs="Times New Roman"/>
          <w:b/>
          <w:sz w:val="20"/>
          <w:szCs w:val="20"/>
        </w:rPr>
        <w:t>.</w:t>
      </w:r>
      <w:r w:rsidR="00A2314D">
        <w:rPr>
          <w:rFonts w:cs="Times New Roman"/>
          <w:b/>
          <w:sz w:val="20"/>
          <w:szCs w:val="20"/>
        </w:rPr>
        <w:t xml:space="preserve"> </w:t>
      </w:r>
      <w:r w:rsidRPr="00F7263B">
        <w:rPr>
          <w:rFonts w:cs="Times New Roman"/>
          <w:sz w:val="20"/>
          <w:szCs w:val="20"/>
        </w:rPr>
        <w:t>Key points raised by</w:t>
      </w:r>
      <w:r w:rsidR="007F6CC2" w:rsidRPr="00F7263B">
        <w:rPr>
          <w:rFonts w:cs="Times New Roman"/>
          <w:sz w:val="20"/>
          <w:szCs w:val="20"/>
        </w:rPr>
        <w:t xml:space="preserve"> participants pertained to </w:t>
      </w:r>
      <w:r w:rsidR="00965CC0" w:rsidRPr="00F7263B">
        <w:rPr>
          <w:rFonts w:cs="Times New Roman"/>
          <w:sz w:val="20"/>
          <w:szCs w:val="20"/>
        </w:rPr>
        <w:t xml:space="preserve">the </w:t>
      </w:r>
      <w:r w:rsidR="007F6CC2" w:rsidRPr="00F7263B">
        <w:rPr>
          <w:rFonts w:cs="Times New Roman"/>
          <w:sz w:val="20"/>
          <w:szCs w:val="20"/>
        </w:rPr>
        <w:t>design of the program,</w:t>
      </w:r>
      <w:r w:rsidRPr="00F7263B">
        <w:rPr>
          <w:rFonts w:cs="Times New Roman"/>
          <w:sz w:val="20"/>
          <w:szCs w:val="20"/>
        </w:rPr>
        <w:t xml:space="preserve"> process</w:t>
      </w:r>
      <w:r w:rsidR="007F6CC2" w:rsidRPr="00F7263B">
        <w:rPr>
          <w:rFonts w:cs="Times New Roman"/>
          <w:sz w:val="20"/>
          <w:szCs w:val="20"/>
        </w:rPr>
        <w:t>es</w:t>
      </w:r>
      <w:r w:rsidRPr="00F7263B">
        <w:rPr>
          <w:rFonts w:cs="Times New Roman"/>
          <w:sz w:val="20"/>
          <w:szCs w:val="20"/>
        </w:rPr>
        <w:t xml:space="preserve"> required </w:t>
      </w:r>
      <w:r w:rsidR="00965CC0" w:rsidRPr="00F7263B">
        <w:rPr>
          <w:rFonts w:cs="Times New Roman"/>
          <w:sz w:val="20"/>
          <w:szCs w:val="20"/>
        </w:rPr>
        <w:t>to</w:t>
      </w:r>
      <w:r w:rsidR="00A2314D">
        <w:rPr>
          <w:rFonts w:cs="Times New Roman"/>
          <w:sz w:val="20"/>
          <w:szCs w:val="20"/>
        </w:rPr>
        <w:t xml:space="preserve"> </w:t>
      </w:r>
      <w:r w:rsidRPr="00F7263B">
        <w:rPr>
          <w:rFonts w:cs="Times New Roman"/>
          <w:sz w:val="20"/>
          <w:szCs w:val="20"/>
        </w:rPr>
        <w:t>access funding</w:t>
      </w:r>
      <w:r w:rsidR="007F6CC2" w:rsidRPr="00F7263B">
        <w:rPr>
          <w:rFonts w:cs="Times New Roman"/>
          <w:sz w:val="20"/>
          <w:szCs w:val="20"/>
        </w:rPr>
        <w:t>,</w:t>
      </w:r>
      <w:r w:rsidRPr="00F7263B">
        <w:rPr>
          <w:rFonts w:cs="Times New Roman"/>
          <w:sz w:val="20"/>
          <w:szCs w:val="20"/>
        </w:rPr>
        <w:t xml:space="preserve"> areas to improve environmental and social management at </w:t>
      </w:r>
      <w:r w:rsidR="00965CC0" w:rsidRPr="00F7263B">
        <w:rPr>
          <w:rFonts w:cs="Times New Roman"/>
          <w:sz w:val="20"/>
          <w:szCs w:val="20"/>
        </w:rPr>
        <w:t>city</w:t>
      </w:r>
      <w:r w:rsidRPr="00F7263B">
        <w:rPr>
          <w:rFonts w:cs="Times New Roman"/>
          <w:sz w:val="20"/>
          <w:szCs w:val="20"/>
        </w:rPr>
        <w:t xml:space="preserve"> and regional level</w:t>
      </w:r>
      <w:r w:rsidR="007F6CC2" w:rsidRPr="00F7263B">
        <w:rPr>
          <w:rFonts w:cs="Times New Roman"/>
          <w:sz w:val="20"/>
          <w:szCs w:val="20"/>
        </w:rPr>
        <w:t>s,</w:t>
      </w:r>
      <w:r w:rsidRPr="00F7263B">
        <w:rPr>
          <w:rFonts w:cs="Times New Roman"/>
          <w:sz w:val="20"/>
          <w:szCs w:val="20"/>
        </w:rPr>
        <w:t xml:space="preserve"> issues pertaining to dealing with encroachers and squatters</w:t>
      </w:r>
      <w:r w:rsidR="007F6CC2" w:rsidRPr="00F7263B">
        <w:rPr>
          <w:rFonts w:cs="Times New Roman"/>
          <w:sz w:val="20"/>
          <w:szCs w:val="20"/>
        </w:rPr>
        <w:t>,</w:t>
      </w:r>
      <w:r w:rsidRPr="00F7263B">
        <w:rPr>
          <w:rFonts w:cs="Times New Roman"/>
          <w:sz w:val="20"/>
          <w:szCs w:val="20"/>
        </w:rPr>
        <w:t xml:space="preserve"> issues of </w:t>
      </w:r>
      <w:r w:rsidR="007F6CC2" w:rsidRPr="00F7263B">
        <w:rPr>
          <w:rFonts w:cs="Times New Roman"/>
          <w:sz w:val="20"/>
          <w:szCs w:val="20"/>
        </w:rPr>
        <w:t>environmental impact assessment</w:t>
      </w:r>
      <w:r w:rsidRPr="00F7263B">
        <w:rPr>
          <w:rFonts w:cs="Times New Roman"/>
          <w:sz w:val="20"/>
          <w:szCs w:val="20"/>
        </w:rPr>
        <w:t xml:space="preserve"> scr</w:t>
      </w:r>
      <w:r w:rsidR="007F6CC2" w:rsidRPr="00F7263B">
        <w:rPr>
          <w:rFonts w:cs="Times New Roman"/>
          <w:sz w:val="20"/>
          <w:szCs w:val="20"/>
        </w:rPr>
        <w:t>eening and scoping requirements,</w:t>
      </w:r>
      <w:r w:rsidRPr="00F7263B">
        <w:rPr>
          <w:rFonts w:cs="Times New Roman"/>
          <w:sz w:val="20"/>
          <w:szCs w:val="20"/>
        </w:rPr>
        <w:t xml:space="preserve"> challenges in monitoring and reporting</w:t>
      </w:r>
      <w:r w:rsidR="00A2314D">
        <w:rPr>
          <w:rFonts w:cs="Times New Roman"/>
          <w:sz w:val="20"/>
          <w:szCs w:val="20"/>
        </w:rPr>
        <w:t xml:space="preserve"> </w:t>
      </w:r>
      <w:r w:rsidR="007F6CC2" w:rsidRPr="00F7263B">
        <w:rPr>
          <w:rFonts w:cs="Times New Roman"/>
          <w:sz w:val="20"/>
          <w:szCs w:val="20"/>
        </w:rPr>
        <w:t xml:space="preserve">on compliance during implementation, </w:t>
      </w:r>
      <w:r w:rsidRPr="00F7263B">
        <w:rPr>
          <w:rFonts w:cs="Times New Roman"/>
          <w:sz w:val="20"/>
          <w:szCs w:val="20"/>
        </w:rPr>
        <w:t>environment and social management capacity of REPA</w:t>
      </w:r>
      <w:r w:rsidR="007F6CC2" w:rsidRPr="00F7263B">
        <w:rPr>
          <w:rFonts w:cs="Times New Roman"/>
          <w:sz w:val="20"/>
          <w:szCs w:val="20"/>
        </w:rPr>
        <w:t>s</w:t>
      </w:r>
      <w:r w:rsidRPr="00F7263B">
        <w:rPr>
          <w:rFonts w:cs="Times New Roman"/>
          <w:sz w:val="20"/>
          <w:szCs w:val="20"/>
        </w:rPr>
        <w:t xml:space="preserve"> and ULGs</w:t>
      </w:r>
      <w:r w:rsidR="007F6CC2" w:rsidRPr="00F7263B">
        <w:rPr>
          <w:rFonts w:cs="Times New Roman"/>
          <w:sz w:val="20"/>
          <w:szCs w:val="20"/>
        </w:rPr>
        <w:t>,</w:t>
      </w:r>
      <w:r w:rsidRPr="00F7263B">
        <w:rPr>
          <w:rFonts w:cs="Times New Roman"/>
          <w:sz w:val="20"/>
          <w:szCs w:val="20"/>
        </w:rPr>
        <w:t xml:space="preserve"> lack of capacity in new participating ULGs</w:t>
      </w:r>
      <w:r w:rsidR="007F6CC2" w:rsidRPr="00F7263B">
        <w:rPr>
          <w:rFonts w:cs="Times New Roman"/>
          <w:sz w:val="20"/>
          <w:szCs w:val="20"/>
        </w:rPr>
        <w:t xml:space="preserve">, and issues in dealing </w:t>
      </w:r>
      <w:r w:rsidR="00EF2A5D" w:rsidRPr="00F7263B">
        <w:rPr>
          <w:rFonts w:cs="Times New Roman"/>
          <w:sz w:val="20"/>
          <w:szCs w:val="20"/>
        </w:rPr>
        <w:t xml:space="preserve">with vulnerable </w:t>
      </w:r>
      <w:r w:rsidR="007F6CC2" w:rsidRPr="00F7263B">
        <w:rPr>
          <w:rFonts w:cs="Times New Roman"/>
          <w:sz w:val="20"/>
          <w:szCs w:val="20"/>
        </w:rPr>
        <w:t>groups</w:t>
      </w:r>
      <w:r w:rsidR="00591BA5" w:rsidRPr="00F7263B">
        <w:rPr>
          <w:rFonts w:cs="Times New Roman"/>
          <w:sz w:val="20"/>
          <w:szCs w:val="20"/>
        </w:rPr>
        <w:t xml:space="preserve">.  </w:t>
      </w:r>
      <w:r w:rsidRPr="00F7263B">
        <w:rPr>
          <w:rFonts w:cs="Times New Roman"/>
          <w:sz w:val="20"/>
          <w:szCs w:val="20"/>
        </w:rPr>
        <w:t>The meeting participants provided broad support to the program, including ESSA</w:t>
      </w:r>
      <w:r w:rsidR="007F6CC2" w:rsidRPr="00F7263B">
        <w:rPr>
          <w:rFonts w:cs="Times New Roman"/>
          <w:sz w:val="20"/>
          <w:szCs w:val="20"/>
        </w:rPr>
        <w:t>’</w:t>
      </w:r>
      <w:r w:rsidRPr="00F7263B">
        <w:rPr>
          <w:rFonts w:cs="Times New Roman"/>
          <w:sz w:val="20"/>
          <w:szCs w:val="20"/>
        </w:rPr>
        <w:t xml:space="preserve">s key findings and approach </w:t>
      </w:r>
      <w:r w:rsidR="007F6CC2" w:rsidRPr="00F7263B">
        <w:rPr>
          <w:rFonts w:cs="Times New Roman"/>
          <w:sz w:val="20"/>
          <w:szCs w:val="20"/>
        </w:rPr>
        <w:t>for future</w:t>
      </w:r>
      <w:r w:rsidRPr="00F7263B">
        <w:rPr>
          <w:rFonts w:cs="Times New Roman"/>
          <w:sz w:val="20"/>
          <w:szCs w:val="20"/>
        </w:rPr>
        <w:t xml:space="preserve"> capacity building</w:t>
      </w:r>
      <w:r w:rsidR="00591BA5" w:rsidRPr="00F7263B">
        <w:rPr>
          <w:rFonts w:cs="Times New Roman"/>
          <w:sz w:val="20"/>
          <w:szCs w:val="20"/>
        </w:rPr>
        <w:t xml:space="preserve">.  </w:t>
      </w:r>
      <w:r w:rsidRPr="00F7263B">
        <w:rPr>
          <w:rFonts w:cs="Times New Roman"/>
          <w:sz w:val="20"/>
          <w:szCs w:val="20"/>
        </w:rPr>
        <w:t>The meeting endorsed the recommended approach taken to integrate the environment and social sustai</w:t>
      </w:r>
      <w:r w:rsidR="007F6CC2" w:rsidRPr="00F7263B">
        <w:rPr>
          <w:rFonts w:cs="Times New Roman"/>
          <w:sz w:val="20"/>
          <w:szCs w:val="20"/>
        </w:rPr>
        <w:t>nability requirements into the P</w:t>
      </w:r>
      <w:r w:rsidRPr="00F7263B">
        <w:rPr>
          <w:rFonts w:cs="Times New Roman"/>
          <w:sz w:val="20"/>
          <w:szCs w:val="20"/>
        </w:rPr>
        <w:t>rogram</w:t>
      </w:r>
      <w:r w:rsidR="007F6CC2" w:rsidRPr="00F7263B">
        <w:rPr>
          <w:rFonts w:cs="Times New Roman"/>
          <w:sz w:val="20"/>
          <w:szCs w:val="20"/>
        </w:rPr>
        <w:t>’s</w:t>
      </w:r>
      <w:r w:rsidRPr="00F7263B">
        <w:rPr>
          <w:rFonts w:cs="Times New Roman"/>
          <w:sz w:val="20"/>
          <w:szCs w:val="20"/>
        </w:rPr>
        <w:t xml:space="preserve"> DLIs</w:t>
      </w:r>
      <w:r w:rsidR="007F6CC2" w:rsidRPr="00F7263B">
        <w:rPr>
          <w:rFonts w:cs="Times New Roman"/>
          <w:sz w:val="20"/>
          <w:szCs w:val="20"/>
        </w:rPr>
        <w:t>,</w:t>
      </w:r>
      <w:r w:rsidRPr="00F7263B">
        <w:rPr>
          <w:rFonts w:cs="Times New Roman"/>
          <w:sz w:val="20"/>
          <w:szCs w:val="20"/>
        </w:rPr>
        <w:t xml:space="preserve"> and </w:t>
      </w:r>
      <w:r w:rsidR="007F6CC2" w:rsidRPr="00F7263B">
        <w:rPr>
          <w:rFonts w:cs="Times New Roman"/>
          <w:sz w:val="20"/>
          <w:szCs w:val="20"/>
        </w:rPr>
        <w:t xml:space="preserve">to </w:t>
      </w:r>
      <w:r w:rsidRPr="00F7263B">
        <w:rPr>
          <w:rFonts w:cs="Times New Roman"/>
          <w:sz w:val="20"/>
          <w:szCs w:val="20"/>
        </w:rPr>
        <w:t xml:space="preserve">focus on incentives for improved performance with respect to environment and social management </w:t>
      </w:r>
      <w:r w:rsidR="00EE7AE2" w:rsidRPr="00F7263B">
        <w:rPr>
          <w:rFonts w:cs="Times New Roman"/>
          <w:sz w:val="20"/>
          <w:szCs w:val="20"/>
        </w:rPr>
        <w:t>at ULG</w:t>
      </w:r>
      <w:r w:rsidR="007F6CC2" w:rsidRPr="00F7263B">
        <w:rPr>
          <w:rFonts w:cs="Times New Roman"/>
          <w:sz w:val="20"/>
          <w:szCs w:val="20"/>
        </w:rPr>
        <w:t>s</w:t>
      </w:r>
      <w:r w:rsidR="00EE7AE2" w:rsidRPr="00F7263B">
        <w:rPr>
          <w:rFonts w:cs="Times New Roman"/>
          <w:sz w:val="20"/>
          <w:szCs w:val="20"/>
        </w:rPr>
        <w:t>, regions</w:t>
      </w:r>
      <w:r w:rsidR="007F6CC2" w:rsidRPr="00F7263B">
        <w:rPr>
          <w:rFonts w:cs="Times New Roman"/>
          <w:sz w:val="20"/>
          <w:szCs w:val="20"/>
        </w:rPr>
        <w:t>,</w:t>
      </w:r>
      <w:r w:rsidR="00EE7AE2" w:rsidRPr="00F7263B">
        <w:rPr>
          <w:rFonts w:cs="Times New Roman"/>
          <w:sz w:val="20"/>
          <w:szCs w:val="20"/>
        </w:rPr>
        <w:t xml:space="preserve"> and </w:t>
      </w:r>
      <w:r w:rsidR="00821460" w:rsidRPr="00F7263B">
        <w:rPr>
          <w:rFonts w:cs="Times New Roman"/>
          <w:sz w:val="20"/>
          <w:szCs w:val="20"/>
        </w:rPr>
        <w:t>MUDHCo</w:t>
      </w:r>
      <w:r w:rsidR="00591BA5" w:rsidRPr="00F7263B">
        <w:rPr>
          <w:rFonts w:cs="Times New Roman"/>
          <w:sz w:val="20"/>
          <w:szCs w:val="20"/>
        </w:rPr>
        <w:t xml:space="preserve">.  </w:t>
      </w:r>
    </w:p>
    <w:p w:rsidR="00D25157" w:rsidRPr="00F7263B" w:rsidRDefault="00D25157" w:rsidP="00EF2A5D">
      <w:pPr>
        <w:pStyle w:val="ListParagraph"/>
        <w:ind w:left="0"/>
        <w:rPr>
          <w:rFonts w:cs="Times New Roman"/>
          <w:sz w:val="20"/>
          <w:szCs w:val="20"/>
        </w:rPr>
      </w:pPr>
    </w:p>
    <w:p w:rsidR="00EF2A5D" w:rsidRPr="00F7263B" w:rsidRDefault="00EF2A5D" w:rsidP="00D92D63">
      <w:pPr>
        <w:pStyle w:val="ListParagraph"/>
        <w:numPr>
          <w:ilvl w:val="0"/>
          <w:numId w:val="9"/>
        </w:numPr>
        <w:autoSpaceDE w:val="0"/>
        <w:autoSpaceDN w:val="0"/>
        <w:adjustRightInd w:val="0"/>
        <w:ind w:left="0" w:firstLine="0"/>
        <w:jc w:val="both"/>
        <w:rPr>
          <w:rFonts w:cs="Times New Roman"/>
          <w:sz w:val="20"/>
          <w:szCs w:val="20"/>
          <w:lang w:val="en-GB"/>
        </w:rPr>
      </w:pPr>
      <w:r w:rsidRPr="00F7263B">
        <w:rPr>
          <w:rFonts w:cs="Times New Roman"/>
          <w:b/>
          <w:sz w:val="20"/>
          <w:szCs w:val="20"/>
        </w:rPr>
        <w:t>Activities to be financed under the ULGDP II will be same as those being financed under the ULGDP</w:t>
      </w:r>
      <w:r w:rsidR="00591BA5" w:rsidRPr="00F7263B">
        <w:rPr>
          <w:rFonts w:cs="Times New Roman"/>
          <w:b/>
          <w:sz w:val="20"/>
          <w:szCs w:val="20"/>
        </w:rPr>
        <w:t>.</w:t>
      </w:r>
      <w:r w:rsidRPr="00F7263B">
        <w:rPr>
          <w:rFonts w:cs="Times New Roman"/>
          <w:sz w:val="20"/>
          <w:szCs w:val="20"/>
        </w:rPr>
        <w:t xml:space="preserve">These include core urban infrastructure investments in roads, water supply, sanitation, solid waste, public </w:t>
      </w:r>
      <w:r w:rsidRPr="00F7263B">
        <w:rPr>
          <w:rFonts w:cs="Times New Roman"/>
          <w:sz w:val="20"/>
          <w:szCs w:val="20"/>
        </w:rPr>
        <w:lastRenderedPageBreak/>
        <w:t>parks and greenery, and street lighting</w:t>
      </w:r>
      <w:r w:rsidR="00591BA5" w:rsidRPr="00F7263B">
        <w:rPr>
          <w:rFonts w:cs="Times New Roman"/>
          <w:sz w:val="20"/>
          <w:szCs w:val="20"/>
        </w:rPr>
        <w:t xml:space="preserve">.  </w:t>
      </w:r>
      <w:r w:rsidR="00965CC0" w:rsidRPr="00F7263B">
        <w:rPr>
          <w:rFonts w:cs="Times New Roman"/>
          <w:sz w:val="20"/>
          <w:szCs w:val="20"/>
        </w:rPr>
        <w:t>To maximum gains and minimize risks, e</w:t>
      </w:r>
      <w:r w:rsidRPr="00F7263B">
        <w:rPr>
          <w:rFonts w:cs="Times New Roman"/>
          <w:sz w:val="20"/>
          <w:szCs w:val="20"/>
        </w:rPr>
        <w:t>ach city’s CIP will exclude all activities that are category “A” type of activities, as part of a well-defined investment menu under ULG responsibility.</w:t>
      </w:r>
    </w:p>
    <w:p w:rsidR="00EF2A5D" w:rsidRPr="00F7263B" w:rsidRDefault="00EF2A5D" w:rsidP="00EF2A5D">
      <w:pPr>
        <w:pStyle w:val="ListParagraph"/>
        <w:rPr>
          <w:rFonts w:cs="Times New Roman"/>
          <w:b/>
          <w:sz w:val="20"/>
          <w:szCs w:val="20"/>
        </w:rPr>
      </w:pPr>
    </w:p>
    <w:p w:rsidR="006C1CE5" w:rsidRPr="00F7263B" w:rsidRDefault="006C1CE5" w:rsidP="006C1CE5">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 xml:space="preserve">The </w:t>
      </w:r>
      <w:r w:rsidRPr="00F7263B">
        <w:rPr>
          <w:b/>
          <w:sz w:val="20"/>
          <w:szCs w:val="20"/>
        </w:rPr>
        <w:t xml:space="preserve">design of the </w:t>
      </w:r>
      <w:r w:rsidRPr="00F7263B">
        <w:rPr>
          <w:rFonts w:cs="Times New Roman"/>
          <w:b/>
          <w:sz w:val="20"/>
          <w:szCs w:val="20"/>
        </w:rPr>
        <w:t>ULGDP II address</w:t>
      </w:r>
      <w:r w:rsidRPr="00F7263B">
        <w:rPr>
          <w:b/>
          <w:sz w:val="20"/>
          <w:szCs w:val="20"/>
        </w:rPr>
        <w:t xml:space="preserve">es </w:t>
      </w:r>
      <w:r w:rsidRPr="00F7263B">
        <w:rPr>
          <w:rFonts w:cs="Times New Roman"/>
          <w:b/>
          <w:sz w:val="20"/>
          <w:szCs w:val="20"/>
        </w:rPr>
        <w:t>environmental</w:t>
      </w:r>
      <w:r w:rsidRPr="00F7263B">
        <w:rPr>
          <w:b/>
          <w:sz w:val="20"/>
          <w:szCs w:val="20"/>
        </w:rPr>
        <w:t xml:space="preserve"> and social challenges and gaps.</w:t>
      </w:r>
      <w:r w:rsidR="00A2314D">
        <w:rPr>
          <w:b/>
          <w:sz w:val="20"/>
          <w:szCs w:val="20"/>
        </w:rPr>
        <w:t xml:space="preserve"> </w:t>
      </w:r>
      <w:r w:rsidRPr="00F7263B">
        <w:rPr>
          <w:rFonts w:cs="Times New Roman"/>
          <w:sz w:val="20"/>
          <w:szCs w:val="20"/>
        </w:rPr>
        <w:t xml:space="preserve">For example, </w:t>
      </w:r>
      <w:r w:rsidRPr="00F7263B">
        <w:rPr>
          <w:sz w:val="20"/>
          <w:szCs w:val="20"/>
        </w:rPr>
        <w:t xml:space="preserve">ULGs must comply with the </w:t>
      </w:r>
      <w:r w:rsidRPr="00F7263B">
        <w:rPr>
          <w:rFonts w:cs="Times New Roman"/>
          <w:sz w:val="20"/>
          <w:szCs w:val="20"/>
        </w:rPr>
        <w:t xml:space="preserve">following </w:t>
      </w:r>
      <w:r w:rsidRPr="00F7263B">
        <w:rPr>
          <w:sz w:val="20"/>
          <w:szCs w:val="20"/>
        </w:rPr>
        <w:t>to participate in the Program</w:t>
      </w:r>
      <w:r w:rsidRPr="00F7263B">
        <w:rPr>
          <w:rFonts w:cs="Times New Roman"/>
          <w:sz w:val="20"/>
          <w:szCs w:val="20"/>
        </w:rPr>
        <w:t xml:space="preserve">: </w:t>
      </w:r>
    </w:p>
    <w:p w:rsidR="00877006" w:rsidRPr="00F7263B" w:rsidRDefault="00877006" w:rsidP="00827BD7">
      <w:pPr>
        <w:pStyle w:val="ListParagraph"/>
        <w:autoSpaceDE w:val="0"/>
        <w:autoSpaceDN w:val="0"/>
        <w:adjustRightInd w:val="0"/>
        <w:ind w:left="0"/>
        <w:jc w:val="both"/>
        <w:rPr>
          <w:rFonts w:cs="Times New Roman"/>
          <w:sz w:val="20"/>
          <w:szCs w:val="20"/>
        </w:rPr>
      </w:pPr>
    </w:p>
    <w:p w:rsidR="006C1CE5" w:rsidRPr="00F7263B" w:rsidRDefault="006C1CE5" w:rsidP="00056FC8">
      <w:pPr>
        <w:pStyle w:val="NoSpacing"/>
        <w:numPr>
          <w:ilvl w:val="0"/>
          <w:numId w:val="71"/>
        </w:numPr>
        <w:ind w:left="1170"/>
        <w:jc w:val="both"/>
        <w:rPr>
          <w:rFonts w:ascii="Times New Roman" w:hAnsi="Times New Roman" w:cs="Times New Roman"/>
          <w:sz w:val="20"/>
          <w:szCs w:val="20"/>
        </w:rPr>
      </w:pPr>
      <w:r w:rsidRPr="00F7263B">
        <w:rPr>
          <w:rFonts w:ascii="Times New Roman" w:hAnsi="Times New Roman" w:cs="Times New Roman"/>
          <w:sz w:val="20"/>
          <w:szCs w:val="20"/>
        </w:rPr>
        <w:t xml:space="preserve">Council endorsement of city level environment and social management systems document, which includes procedures for screening of subprojects for environmental and social risks, measures to minimize and mitigate such risks, </w:t>
      </w:r>
      <w:r w:rsidR="00965CC0" w:rsidRPr="00F7263B">
        <w:rPr>
          <w:rFonts w:ascii="Times New Roman" w:hAnsi="Times New Roman" w:cs="Times New Roman"/>
          <w:sz w:val="20"/>
          <w:szCs w:val="20"/>
        </w:rPr>
        <w:t xml:space="preserve">and </w:t>
      </w:r>
      <w:r w:rsidRPr="00F7263B">
        <w:rPr>
          <w:rFonts w:ascii="Times New Roman" w:hAnsi="Times New Roman" w:cs="Times New Roman"/>
          <w:sz w:val="20"/>
          <w:szCs w:val="20"/>
        </w:rPr>
        <w:t xml:space="preserve">plans for </w:t>
      </w:r>
      <w:r w:rsidR="00965CC0" w:rsidRPr="00F7263B">
        <w:rPr>
          <w:rFonts w:ascii="Times New Roman" w:hAnsi="Times New Roman" w:cs="Times New Roman"/>
          <w:sz w:val="20"/>
          <w:szCs w:val="20"/>
        </w:rPr>
        <w:t xml:space="preserve">(a) </w:t>
      </w:r>
      <w:r w:rsidRPr="00F7263B">
        <w:rPr>
          <w:rFonts w:ascii="Times New Roman" w:hAnsi="Times New Roman" w:cs="Times New Roman"/>
          <w:sz w:val="20"/>
          <w:szCs w:val="20"/>
        </w:rPr>
        <w:t xml:space="preserve">monitoring environmental and social impacts and </w:t>
      </w:r>
      <w:r w:rsidR="00965CC0" w:rsidRPr="00F7263B">
        <w:rPr>
          <w:rFonts w:ascii="Times New Roman" w:hAnsi="Times New Roman" w:cs="Times New Roman"/>
          <w:sz w:val="20"/>
          <w:szCs w:val="20"/>
        </w:rPr>
        <w:t xml:space="preserve">(b) </w:t>
      </w:r>
      <w:r w:rsidRPr="00F7263B">
        <w:rPr>
          <w:rFonts w:ascii="Times New Roman" w:hAnsi="Times New Roman" w:cs="Times New Roman"/>
          <w:sz w:val="20"/>
          <w:szCs w:val="20"/>
        </w:rPr>
        <w:t>implementation of mitigation measures.</w:t>
      </w:r>
    </w:p>
    <w:p w:rsidR="006C1CE5" w:rsidRPr="00F7263B" w:rsidRDefault="006C1CE5" w:rsidP="00056FC8">
      <w:pPr>
        <w:pStyle w:val="NoSpacing"/>
        <w:numPr>
          <w:ilvl w:val="0"/>
          <w:numId w:val="71"/>
        </w:numPr>
        <w:ind w:left="1170"/>
        <w:jc w:val="both"/>
        <w:rPr>
          <w:rFonts w:ascii="Times New Roman" w:hAnsi="Times New Roman" w:cs="Times New Roman"/>
          <w:sz w:val="20"/>
          <w:szCs w:val="20"/>
        </w:rPr>
      </w:pPr>
      <w:r w:rsidRPr="00F7263B">
        <w:rPr>
          <w:rFonts w:ascii="Times New Roman" w:hAnsi="Times New Roman" w:cs="Times New Roman"/>
          <w:sz w:val="20"/>
          <w:szCs w:val="20"/>
        </w:rPr>
        <w:t xml:space="preserve">Evidence of adequate institutional capacity and systems to properly address environmental and social risks, including appointment of an environmental and social safeguards focal person. </w:t>
      </w:r>
    </w:p>
    <w:p w:rsidR="006E7278" w:rsidRPr="00F7263B" w:rsidRDefault="006C1CE5" w:rsidP="00056FC8">
      <w:pPr>
        <w:pStyle w:val="NoSpacing"/>
        <w:numPr>
          <w:ilvl w:val="0"/>
          <w:numId w:val="71"/>
        </w:numPr>
        <w:ind w:left="1170"/>
        <w:jc w:val="both"/>
        <w:rPr>
          <w:rFonts w:ascii="Times New Roman" w:hAnsi="Times New Roman" w:cs="Times New Roman"/>
          <w:sz w:val="20"/>
          <w:szCs w:val="20"/>
        </w:rPr>
      </w:pPr>
      <w:r w:rsidRPr="00F7263B">
        <w:rPr>
          <w:rFonts w:ascii="Times New Roman" w:hAnsi="Times New Roman" w:cs="Times New Roman"/>
          <w:sz w:val="20"/>
          <w:szCs w:val="20"/>
        </w:rPr>
        <w:t>Establishment and operation of a grievance and redress system.</w:t>
      </w:r>
    </w:p>
    <w:p w:rsidR="00F07300" w:rsidRPr="00F7263B" w:rsidRDefault="00F07300" w:rsidP="00556F1B">
      <w:pPr>
        <w:pStyle w:val="NoSpacing"/>
        <w:jc w:val="both"/>
        <w:rPr>
          <w:rFonts w:ascii="Times New Roman" w:hAnsi="Times New Roman" w:cs="Times New Roman"/>
          <w:sz w:val="20"/>
          <w:szCs w:val="20"/>
        </w:rPr>
      </w:pPr>
    </w:p>
    <w:p w:rsidR="00EF2A5D" w:rsidRPr="00F7263B" w:rsidRDefault="001A09A3" w:rsidP="00D92D63">
      <w:pPr>
        <w:pStyle w:val="ListParagraph"/>
        <w:numPr>
          <w:ilvl w:val="0"/>
          <w:numId w:val="9"/>
        </w:numPr>
        <w:autoSpaceDE w:val="0"/>
        <w:autoSpaceDN w:val="0"/>
        <w:adjustRightInd w:val="0"/>
        <w:ind w:left="0" w:firstLine="0"/>
        <w:jc w:val="both"/>
        <w:rPr>
          <w:rFonts w:cs="Times New Roman"/>
          <w:sz w:val="20"/>
          <w:szCs w:val="20"/>
        </w:rPr>
      </w:pPr>
      <w:r w:rsidRPr="00F7263B">
        <w:rPr>
          <w:rFonts w:cs="Times New Roman"/>
          <w:b/>
          <w:sz w:val="20"/>
          <w:szCs w:val="20"/>
        </w:rPr>
        <w:t>T</w:t>
      </w:r>
      <w:r w:rsidR="00EF2A5D" w:rsidRPr="00F7263B">
        <w:rPr>
          <w:rFonts w:cs="Times New Roman"/>
          <w:b/>
          <w:sz w:val="20"/>
          <w:szCs w:val="20"/>
        </w:rPr>
        <w:t xml:space="preserve">he following measures </w:t>
      </w:r>
      <w:r w:rsidRPr="00F7263B">
        <w:rPr>
          <w:rFonts w:cs="Times New Roman"/>
          <w:b/>
          <w:sz w:val="20"/>
          <w:szCs w:val="20"/>
        </w:rPr>
        <w:t xml:space="preserve">have been incorporated </w:t>
      </w:r>
      <w:r w:rsidR="00EF2A5D" w:rsidRPr="00F7263B">
        <w:rPr>
          <w:rFonts w:cs="Times New Roman"/>
          <w:b/>
          <w:sz w:val="20"/>
          <w:szCs w:val="20"/>
        </w:rPr>
        <w:t xml:space="preserve">into the ULGDP II </w:t>
      </w:r>
      <w:r w:rsidR="00EF2A5D" w:rsidRPr="00F7263B">
        <w:rPr>
          <w:rFonts w:cs="Times New Roman"/>
          <w:b/>
          <w:bCs/>
          <w:sz w:val="20"/>
          <w:szCs w:val="20"/>
        </w:rPr>
        <w:t>Program Action Plan</w:t>
      </w:r>
      <w:r w:rsidR="00EF2A5D" w:rsidRPr="00F7263B">
        <w:rPr>
          <w:rFonts w:cs="Times New Roman"/>
          <w:b/>
          <w:sz w:val="20"/>
          <w:szCs w:val="20"/>
        </w:rPr>
        <w:t xml:space="preserve"> to further strengthen environmental and social safeguards:</w:t>
      </w:r>
    </w:p>
    <w:p w:rsidR="007F6CC2" w:rsidRPr="00F7263B" w:rsidRDefault="007F6CC2" w:rsidP="007F6CC2">
      <w:pPr>
        <w:pStyle w:val="ListParagraph"/>
        <w:autoSpaceDE w:val="0"/>
        <w:autoSpaceDN w:val="0"/>
        <w:adjustRightInd w:val="0"/>
        <w:ind w:left="0"/>
        <w:jc w:val="both"/>
        <w:rPr>
          <w:rFonts w:cs="Times New Roman"/>
          <w:sz w:val="20"/>
          <w:szCs w:val="20"/>
        </w:rPr>
      </w:pPr>
    </w:p>
    <w:p w:rsidR="006E7278" w:rsidRPr="00F7263B" w:rsidRDefault="00AB7470" w:rsidP="003F32C6">
      <w:pPr>
        <w:pStyle w:val="NoSpacing"/>
        <w:numPr>
          <w:ilvl w:val="0"/>
          <w:numId w:val="71"/>
        </w:numPr>
        <w:ind w:left="1170"/>
        <w:jc w:val="both"/>
        <w:rPr>
          <w:rFonts w:cs="Times New Roman"/>
          <w:sz w:val="20"/>
          <w:szCs w:val="20"/>
        </w:rPr>
      </w:pPr>
      <w:r w:rsidRPr="00F7263B">
        <w:rPr>
          <w:rFonts w:ascii="Times New Roman" w:hAnsi="Times New Roman" w:cs="Times New Roman"/>
          <w:i/>
          <w:sz w:val="20"/>
          <w:szCs w:val="20"/>
        </w:rPr>
        <w:t>Pre-requisite for environmentally and socially sensitive investments</w:t>
      </w:r>
      <w:r w:rsidR="00591BA5" w:rsidRPr="00F7263B">
        <w:rPr>
          <w:rFonts w:ascii="Times New Roman" w:hAnsi="Times New Roman" w:cs="Times New Roman"/>
          <w:i/>
          <w:sz w:val="20"/>
          <w:szCs w:val="20"/>
        </w:rPr>
        <w:t xml:space="preserve">.  </w:t>
      </w:r>
      <w:r w:rsidR="000036AB" w:rsidRPr="00F7263B">
        <w:rPr>
          <w:rFonts w:ascii="Times New Roman" w:hAnsi="Times New Roman" w:cs="Times New Roman"/>
          <w:sz w:val="20"/>
          <w:szCs w:val="20"/>
        </w:rPr>
        <w:t>Investments in sanitary</w:t>
      </w:r>
      <w:r w:rsidR="001D4D19" w:rsidRPr="00F7263B">
        <w:rPr>
          <w:rFonts w:ascii="Times New Roman" w:hAnsi="Times New Roman" w:cs="Times New Roman"/>
          <w:sz w:val="20"/>
          <w:szCs w:val="20"/>
        </w:rPr>
        <w:t xml:space="preserve"> or controlled</w:t>
      </w:r>
      <w:r w:rsidR="000036AB" w:rsidRPr="00F7263B">
        <w:rPr>
          <w:rFonts w:ascii="Times New Roman" w:hAnsi="Times New Roman" w:cs="Times New Roman"/>
          <w:sz w:val="20"/>
          <w:szCs w:val="20"/>
        </w:rPr>
        <w:t xml:space="preserve"> landfills could cause significant environmental and social concerns if not planned, screened</w:t>
      </w:r>
      <w:r w:rsidR="00877006" w:rsidRPr="00F7263B">
        <w:rPr>
          <w:rFonts w:ascii="Times New Roman" w:hAnsi="Times New Roman" w:cs="Times New Roman"/>
          <w:sz w:val="20"/>
          <w:szCs w:val="20"/>
        </w:rPr>
        <w:t>,</w:t>
      </w:r>
      <w:r w:rsidR="00A2314D">
        <w:rPr>
          <w:rFonts w:ascii="Times New Roman" w:hAnsi="Times New Roman" w:cs="Times New Roman"/>
          <w:sz w:val="20"/>
          <w:szCs w:val="20"/>
        </w:rPr>
        <w:t xml:space="preserve"> </w:t>
      </w:r>
      <w:r w:rsidR="00877006" w:rsidRPr="00F7263B">
        <w:rPr>
          <w:rFonts w:ascii="Times New Roman" w:hAnsi="Times New Roman" w:cs="Times New Roman"/>
          <w:sz w:val="20"/>
          <w:szCs w:val="20"/>
        </w:rPr>
        <w:t>and</w:t>
      </w:r>
      <w:r w:rsidR="000036AB" w:rsidRPr="00F7263B">
        <w:rPr>
          <w:rFonts w:ascii="Times New Roman" w:hAnsi="Times New Roman" w:cs="Times New Roman"/>
          <w:sz w:val="20"/>
          <w:szCs w:val="20"/>
        </w:rPr>
        <w:t xml:space="preserve"> managed properly. Experience from </w:t>
      </w:r>
      <w:r w:rsidR="001D4D19" w:rsidRPr="00F7263B">
        <w:rPr>
          <w:rFonts w:ascii="Times New Roman" w:hAnsi="Times New Roman" w:cs="Times New Roman"/>
          <w:sz w:val="20"/>
          <w:szCs w:val="20"/>
        </w:rPr>
        <w:t xml:space="preserve">the </w:t>
      </w:r>
      <w:r w:rsidR="000036AB" w:rsidRPr="00F7263B">
        <w:rPr>
          <w:rFonts w:ascii="Times New Roman" w:hAnsi="Times New Roman" w:cs="Times New Roman"/>
          <w:sz w:val="20"/>
          <w:szCs w:val="20"/>
        </w:rPr>
        <w:t>ULGDP indicate</w:t>
      </w:r>
      <w:r w:rsidR="00877006" w:rsidRPr="00F7263B">
        <w:rPr>
          <w:rFonts w:ascii="Times New Roman" w:hAnsi="Times New Roman" w:cs="Times New Roman"/>
          <w:sz w:val="20"/>
          <w:szCs w:val="20"/>
        </w:rPr>
        <w:t>s</w:t>
      </w:r>
      <w:r w:rsidR="000036AB" w:rsidRPr="00F7263B">
        <w:rPr>
          <w:rFonts w:ascii="Times New Roman" w:hAnsi="Times New Roman" w:cs="Times New Roman"/>
          <w:sz w:val="20"/>
          <w:szCs w:val="20"/>
        </w:rPr>
        <w:t xml:space="preserve"> that a preventive approach in planning landfill</w:t>
      </w:r>
      <w:r w:rsidR="00877006" w:rsidRPr="00F7263B">
        <w:rPr>
          <w:rFonts w:ascii="Times New Roman" w:hAnsi="Times New Roman" w:cs="Times New Roman"/>
          <w:sz w:val="20"/>
          <w:szCs w:val="20"/>
        </w:rPr>
        <w:t>s</w:t>
      </w:r>
      <w:r w:rsidR="000036AB" w:rsidRPr="00F7263B">
        <w:rPr>
          <w:rFonts w:ascii="Times New Roman" w:hAnsi="Times New Roman" w:cs="Times New Roman"/>
          <w:sz w:val="20"/>
          <w:szCs w:val="20"/>
        </w:rPr>
        <w:t xml:space="preserve"> has minimize</w:t>
      </w:r>
      <w:r w:rsidR="00877006" w:rsidRPr="00F7263B">
        <w:rPr>
          <w:rFonts w:ascii="Times New Roman" w:hAnsi="Times New Roman" w:cs="Times New Roman"/>
          <w:sz w:val="20"/>
          <w:szCs w:val="20"/>
        </w:rPr>
        <w:t>d</w:t>
      </w:r>
      <w:r w:rsidR="000036AB" w:rsidRPr="00F7263B">
        <w:rPr>
          <w:rFonts w:ascii="Times New Roman" w:hAnsi="Times New Roman" w:cs="Times New Roman"/>
          <w:sz w:val="20"/>
          <w:szCs w:val="20"/>
        </w:rPr>
        <w:t xml:space="preserve"> the environmental and social risks. This preventive approach follows the guideline</w:t>
      </w:r>
      <w:r w:rsidR="001D4D19" w:rsidRPr="00F7263B">
        <w:rPr>
          <w:rFonts w:ascii="Times New Roman" w:hAnsi="Times New Roman" w:cs="Times New Roman"/>
          <w:sz w:val="20"/>
          <w:szCs w:val="20"/>
        </w:rPr>
        <w:t>s</w:t>
      </w:r>
      <w:r w:rsidR="000036AB" w:rsidRPr="00F7263B">
        <w:rPr>
          <w:rFonts w:ascii="Times New Roman" w:hAnsi="Times New Roman" w:cs="Times New Roman"/>
          <w:sz w:val="20"/>
          <w:szCs w:val="20"/>
        </w:rPr>
        <w:t xml:space="preserve"> and procedures for planning solid waste management, including for final disposal of solid waste using scientifically designed landfills. The guideline</w:t>
      </w:r>
      <w:r w:rsidR="001D4D19" w:rsidRPr="00F7263B">
        <w:rPr>
          <w:rFonts w:ascii="Times New Roman" w:hAnsi="Times New Roman" w:cs="Times New Roman"/>
          <w:sz w:val="20"/>
          <w:szCs w:val="20"/>
        </w:rPr>
        <w:t>s</w:t>
      </w:r>
      <w:r w:rsidR="000036AB" w:rsidRPr="00F7263B">
        <w:rPr>
          <w:rFonts w:ascii="Times New Roman" w:hAnsi="Times New Roman" w:cs="Times New Roman"/>
          <w:sz w:val="20"/>
          <w:szCs w:val="20"/>
        </w:rPr>
        <w:t xml:space="preserve"> include requirements for identification of location which is away from habitation; has a geology that causes least environmental harm to the ground water and soil of the area; requires the landfill to have a high density polyethylene liner to prevent any leaching of polluting overflow into ground water; requires </w:t>
      </w:r>
      <w:r w:rsidR="001D4D19" w:rsidRPr="00F7263B">
        <w:rPr>
          <w:rFonts w:ascii="Times New Roman" w:hAnsi="Times New Roman" w:cs="Times New Roman"/>
          <w:sz w:val="20"/>
          <w:szCs w:val="20"/>
        </w:rPr>
        <w:t xml:space="preserve">a </w:t>
      </w:r>
      <w:r w:rsidR="000036AB" w:rsidRPr="00F7263B">
        <w:rPr>
          <w:rFonts w:ascii="Times New Roman" w:hAnsi="Times New Roman" w:cs="Times New Roman"/>
          <w:sz w:val="20"/>
          <w:szCs w:val="20"/>
        </w:rPr>
        <w:t xml:space="preserve">leachate collection and treatment system; </w:t>
      </w:r>
      <w:r w:rsidR="001D4D19" w:rsidRPr="00F7263B">
        <w:rPr>
          <w:rFonts w:ascii="Times New Roman" w:hAnsi="Times New Roman" w:cs="Times New Roman"/>
          <w:sz w:val="20"/>
          <w:szCs w:val="20"/>
        </w:rPr>
        <w:t xml:space="preserve">and </w:t>
      </w:r>
      <w:r w:rsidR="000036AB" w:rsidRPr="00F7263B">
        <w:rPr>
          <w:rFonts w:ascii="Times New Roman" w:hAnsi="Times New Roman" w:cs="Times New Roman"/>
          <w:sz w:val="20"/>
          <w:szCs w:val="20"/>
        </w:rPr>
        <w:t xml:space="preserve">requires monitoring of ground and surface water during the operation of landfill. </w:t>
      </w:r>
      <w:r w:rsidR="001B34B7" w:rsidRPr="00F7263B">
        <w:rPr>
          <w:rFonts w:ascii="Times New Roman" w:hAnsi="Times New Roman" w:cs="Times New Roman"/>
          <w:sz w:val="20"/>
          <w:szCs w:val="20"/>
        </w:rPr>
        <w:t xml:space="preserve">ULGs must also comply with the </w:t>
      </w:r>
      <w:r w:rsidR="000036AB" w:rsidRPr="00F7263B">
        <w:rPr>
          <w:rFonts w:ascii="Times New Roman" w:hAnsi="Times New Roman" w:cs="Times New Roman"/>
          <w:sz w:val="20"/>
          <w:szCs w:val="20"/>
        </w:rPr>
        <w:t xml:space="preserve">Ethiopian environmental regulations </w:t>
      </w:r>
      <w:r w:rsidR="001B34B7" w:rsidRPr="00F7263B">
        <w:rPr>
          <w:rFonts w:ascii="Times New Roman" w:hAnsi="Times New Roman" w:cs="Times New Roman"/>
          <w:sz w:val="20"/>
          <w:szCs w:val="20"/>
        </w:rPr>
        <w:t xml:space="preserve">that </w:t>
      </w:r>
      <w:r w:rsidR="000036AB" w:rsidRPr="00F7263B">
        <w:rPr>
          <w:rFonts w:ascii="Times New Roman" w:hAnsi="Times New Roman" w:cs="Times New Roman"/>
          <w:sz w:val="20"/>
          <w:szCs w:val="20"/>
        </w:rPr>
        <w:t>require</w:t>
      </w:r>
      <w:r w:rsidR="001D4D19" w:rsidRPr="00F7263B">
        <w:rPr>
          <w:rFonts w:ascii="Times New Roman" w:hAnsi="Times New Roman" w:cs="Times New Roman"/>
          <w:sz w:val="20"/>
          <w:szCs w:val="20"/>
        </w:rPr>
        <w:t xml:space="preserve"> that</w:t>
      </w:r>
      <w:r w:rsidR="000036AB" w:rsidRPr="00F7263B">
        <w:rPr>
          <w:rFonts w:ascii="Times New Roman" w:hAnsi="Times New Roman" w:cs="Times New Roman"/>
          <w:sz w:val="20"/>
          <w:szCs w:val="20"/>
        </w:rPr>
        <w:t xml:space="preserve"> an environmental and social impact assessment is undertaken for each site in consultation with the neighboring community</w:t>
      </w:r>
      <w:r w:rsidR="001B34B7" w:rsidRPr="00F7263B">
        <w:rPr>
          <w:rFonts w:ascii="Times New Roman" w:hAnsi="Times New Roman" w:cs="Times New Roman"/>
          <w:sz w:val="20"/>
          <w:szCs w:val="20"/>
        </w:rPr>
        <w:t xml:space="preserve">, submit the report to the relevant REPA, </w:t>
      </w:r>
      <w:r w:rsidR="000036AB" w:rsidRPr="00F7263B">
        <w:rPr>
          <w:rFonts w:ascii="Times New Roman" w:hAnsi="Times New Roman" w:cs="Times New Roman"/>
          <w:sz w:val="20"/>
          <w:szCs w:val="20"/>
        </w:rPr>
        <w:t xml:space="preserve">and </w:t>
      </w:r>
      <w:r w:rsidR="001B34B7" w:rsidRPr="00F7263B">
        <w:rPr>
          <w:rFonts w:ascii="Times New Roman" w:hAnsi="Times New Roman" w:cs="Times New Roman"/>
          <w:sz w:val="20"/>
          <w:szCs w:val="20"/>
        </w:rPr>
        <w:t>obtain REPAs clearance before proceeding with the subproject.</w:t>
      </w:r>
      <w:r w:rsidR="00A2314D">
        <w:rPr>
          <w:rFonts w:ascii="Times New Roman" w:hAnsi="Times New Roman" w:cs="Times New Roman"/>
          <w:sz w:val="20"/>
          <w:szCs w:val="20"/>
        </w:rPr>
        <w:t xml:space="preserve"> </w:t>
      </w:r>
      <w:r w:rsidR="001B34B7" w:rsidRPr="00F7263B">
        <w:rPr>
          <w:rFonts w:ascii="Times New Roman" w:hAnsi="Times New Roman" w:cs="Times New Roman"/>
          <w:sz w:val="20"/>
          <w:szCs w:val="20"/>
        </w:rPr>
        <w:t xml:space="preserve">In addition, </w:t>
      </w:r>
      <w:r w:rsidR="000036AB" w:rsidRPr="00F7263B">
        <w:rPr>
          <w:rFonts w:ascii="Times New Roman" w:hAnsi="Times New Roman" w:cs="Times New Roman"/>
          <w:sz w:val="20"/>
          <w:szCs w:val="20"/>
        </w:rPr>
        <w:t xml:space="preserve">under </w:t>
      </w:r>
      <w:r w:rsidR="00877006" w:rsidRPr="00F7263B">
        <w:rPr>
          <w:rFonts w:ascii="Times New Roman" w:hAnsi="Times New Roman" w:cs="Times New Roman"/>
          <w:sz w:val="20"/>
          <w:szCs w:val="20"/>
        </w:rPr>
        <w:t xml:space="preserve">the </w:t>
      </w:r>
      <w:r w:rsidR="000036AB" w:rsidRPr="00F7263B">
        <w:rPr>
          <w:rFonts w:ascii="Times New Roman" w:hAnsi="Times New Roman" w:cs="Times New Roman"/>
          <w:sz w:val="20"/>
          <w:szCs w:val="20"/>
        </w:rPr>
        <w:t xml:space="preserve">Program, ULGs </w:t>
      </w:r>
      <w:r w:rsidR="001B34B7" w:rsidRPr="00F7263B">
        <w:rPr>
          <w:rFonts w:ascii="Times New Roman" w:hAnsi="Times New Roman" w:cs="Times New Roman"/>
          <w:sz w:val="20"/>
          <w:szCs w:val="20"/>
        </w:rPr>
        <w:t>must</w:t>
      </w:r>
      <w:r w:rsidR="00A2314D">
        <w:rPr>
          <w:rFonts w:ascii="Times New Roman" w:hAnsi="Times New Roman" w:cs="Times New Roman"/>
          <w:sz w:val="20"/>
          <w:szCs w:val="20"/>
        </w:rPr>
        <w:t xml:space="preserve"> </w:t>
      </w:r>
      <w:r w:rsidR="000036AB" w:rsidRPr="00F7263B">
        <w:rPr>
          <w:rFonts w:ascii="Times New Roman" w:hAnsi="Times New Roman" w:cs="Times New Roman"/>
          <w:sz w:val="20"/>
          <w:szCs w:val="20"/>
        </w:rPr>
        <w:t>demonstrate a sound and efficient system of waste segregation, recycling, collection, transportation, and treatment before they proceed with the investment to further minimiz</w:t>
      </w:r>
      <w:r w:rsidR="001B34B7" w:rsidRPr="00F7263B">
        <w:rPr>
          <w:rFonts w:ascii="Times New Roman" w:hAnsi="Times New Roman" w:cs="Times New Roman"/>
          <w:sz w:val="20"/>
          <w:szCs w:val="20"/>
        </w:rPr>
        <w:t>e</w:t>
      </w:r>
      <w:r w:rsidR="000036AB" w:rsidRPr="00F7263B">
        <w:rPr>
          <w:rFonts w:ascii="Times New Roman" w:hAnsi="Times New Roman" w:cs="Times New Roman"/>
          <w:sz w:val="20"/>
          <w:szCs w:val="20"/>
        </w:rPr>
        <w:t xml:space="preserve"> environmental and social risks </w:t>
      </w:r>
      <w:r w:rsidR="001B34B7" w:rsidRPr="00F7263B">
        <w:rPr>
          <w:rFonts w:ascii="Times New Roman" w:hAnsi="Times New Roman" w:cs="Times New Roman"/>
          <w:sz w:val="20"/>
          <w:szCs w:val="20"/>
        </w:rPr>
        <w:t>of</w:t>
      </w:r>
      <w:r w:rsidR="00A2314D">
        <w:rPr>
          <w:rFonts w:ascii="Times New Roman" w:hAnsi="Times New Roman" w:cs="Times New Roman"/>
          <w:sz w:val="20"/>
          <w:szCs w:val="20"/>
        </w:rPr>
        <w:t xml:space="preserve"> </w:t>
      </w:r>
      <w:r w:rsidR="000036AB" w:rsidRPr="00F7263B">
        <w:rPr>
          <w:rFonts w:ascii="Times New Roman" w:hAnsi="Times New Roman" w:cs="Times New Roman"/>
          <w:sz w:val="20"/>
          <w:szCs w:val="20"/>
        </w:rPr>
        <w:t xml:space="preserve">any landfill, regardless of size. All such screening of risks will be part of the </w:t>
      </w:r>
      <w:r w:rsidR="005012F9" w:rsidRPr="00F7263B">
        <w:rPr>
          <w:rFonts w:ascii="Times New Roman" w:hAnsi="Times New Roman" w:cs="Times New Roman"/>
          <w:sz w:val="20"/>
          <w:szCs w:val="20"/>
        </w:rPr>
        <w:t>environmental and social management system (</w:t>
      </w:r>
      <w:r w:rsidR="000036AB" w:rsidRPr="00F7263B">
        <w:rPr>
          <w:rFonts w:ascii="Times New Roman" w:hAnsi="Times New Roman" w:cs="Times New Roman"/>
          <w:sz w:val="20"/>
          <w:szCs w:val="20"/>
        </w:rPr>
        <w:t>ESMS</w:t>
      </w:r>
      <w:r w:rsidR="005012F9" w:rsidRPr="00F7263B">
        <w:rPr>
          <w:rFonts w:ascii="Times New Roman" w:hAnsi="Times New Roman" w:cs="Times New Roman"/>
          <w:sz w:val="20"/>
          <w:szCs w:val="20"/>
        </w:rPr>
        <w:t>)</w:t>
      </w:r>
      <w:r w:rsidR="000036AB" w:rsidRPr="00F7263B">
        <w:rPr>
          <w:rFonts w:ascii="Times New Roman" w:hAnsi="Times New Roman" w:cs="Times New Roman"/>
          <w:sz w:val="20"/>
          <w:szCs w:val="20"/>
        </w:rPr>
        <w:t xml:space="preserve"> that </w:t>
      </w:r>
      <w:r w:rsidR="001B34B7" w:rsidRPr="00F7263B">
        <w:rPr>
          <w:rFonts w:ascii="Times New Roman" w:hAnsi="Times New Roman" w:cs="Times New Roman"/>
          <w:sz w:val="20"/>
          <w:szCs w:val="20"/>
        </w:rPr>
        <w:t>is a</w:t>
      </w:r>
      <w:r w:rsidR="000036AB" w:rsidRPr="00F7263B">
        <w:rPr>
          <w:rFonts w:ascii="Times New Roman" w:hAnsi="Times New Roman" w:cs="Times New Roman"/>
          <w:sz w:val="20"/>
          <w:szCs w:val="20"/>
        </w:rPr>
        <w:t xml:space="preserve"> Program minimum condition, and on which specific training will be provided to each ULG by a team of national and international experts. The screening procedures and implementation of environmental management planning for each site and city will be verified through an independent assessment to be undertaken annually by the </w:t>
      </w:r>
      <w:r w:rsidR="00877006" w:rsidRPr="00F7263B">
        <w:rPr>
          <w:rFonts w:ascii="Times New Roman" w:hAnsi="Times New Roman" w:cs="Times New Roman"/>
          <w:sz w:val="20"/>
          <w:szCs w:val="20"/>
        </w:rPr>
        <w:t>R</w:t>
      </w:r>
      <w:r w:rsidR="000036AB" w:rsidRPr="00F7263B">
        <w:rPr>
          <w:rFonts w:ascii="Times New Roman" w:hAnsi="Times New Roman" w:cs="Times New Roman"/>
          <w:sz w:val="20"/>
          <w:szCs w:val="20"/>
        </w:rPr>
        <w:t xml:space="preserve">EPA, and verified through another assessment, before disbursement.  </w:t>
      </w:r>
    </w:p>
    <w:p w:rsidR="002B5BD7" w:rsidRPr="00F7263B" w:rsidRDefault="002B5BD7" w:rsidP="00827BD7">
      <w:pPr>
        <w:pStyle w:val="NoSpacing"/>
        <w:ind w:left="1170"/>
        <w:jc w:val="both"/>
        <w:rPr>
          <w:rFonts w:cs="Times New Roman"/>
          <w:sz w:val="20"/>
          <w:szCs w:val="20"/>
        </w:rPr>
      </w:pPr>
    </w:p>
    <w:p w:rsidR="006E7278" w:rsidRPr="00F7263B" w:rsidRDefault="00BE46E6" w:rsidP="003F32C6">
      <w:pPr>
        <w:pStyle w:val="NoSpacing"/>
        <w:numPr>
          <w:ilvl w:val="0"/>
          <w:numId w:val="71"/>
        </w:numPr>
        <w:ind w:left="1170"/>
        <w:jc w:val="both"/>
        <w:rPr>
          <w:rFonts w:cs="Times New Roman"/>
          <w:sz w:val="20"/>
          <w:szCs w:val="20"/>
        </w:rPr>
      </w:pPr>
      <w:r w:rsidRPr="00F7263B">
        <w:rPr>
          <w:rFonts w:ascii="Times New Roman" w:hAnsi="Times New Roman" w:cs="Times New Roman"/>
          <w:i/>
          <w:sz w:val="20"/>
          <w:szCs w:val="20"/>
        </w:rPr>
        <w:t>Evidence of implementation</w:t>
      </w:r>
      <w:r w:rsidR="00591BA5" w:rsidRPr="00F7263B">
        <w:rPr>
          <w:rFonts w:ascii="Times New Roman" w:hAnsi="Times New Roman" w:cs="Times New Roman"/>
          <w:i/>
          <w:sz w:val="20"/>
          <w:szCs w:val="20"/>
        </w:rPr>
        <w:t xml:space="preserve">.  </w:t>
      </w:r>
      <w:r w:rsidR="00ED333D" w:rsidRPr="00F7263B">
        <w:rPr>
          <w:rFonts w:ascii="Times New Roman" w:hAnsi="Times New Roman" w:cs="Times New Roman"/>
          <w:sz w:val="20"/>
          <w:szCs w:val="20"/>
        </w:rPr>
        <w:t>T</w:t>
      </w:r>
      <w:r w:rsidRPr="00F7263B">
        <w:rPr>
          <w:rFonts w:ascii="Times New Roman" w:hAnsi="Times New Roman" w:cs="Times New Roman"/>
          <w:sz w:val="20"/>
          <w:szCs w:val="20"/>
        </w:rPr>
        <w:t xml:space="preserve">he ULGs will be required to generate evidence (for independent verification) that all capital projects in </w:t>
      </w:r>
      <w:r w:rsidR="00ED333D" w:rsidRPr="00F7263B">
        <w:rPr>
          <w:rFonts w:ascii="Times New Roman" w:hAnsi="Times New Roman" w:cs="Times New Roman"/>
          <w:sz w:val="20"/>
          <w:szCs w:val="20"/>
        </w:rPr>
        <w:t xml:space="preserve">the </w:t>
      </w:r>
      <w:r w:rsidRPr="00F7263B">
        <w:rPr>
          <w:rFonts w:ascii="Times New Roman" w:hAnsi="Times New Roman" w:cs="Times New Roman"/>
          <w:sz w:val="20"/>
          <w:szCs w:val="20"/>
        </w:rPr>
        <w:t xml:space="preserve">previous </w:t>
      </w:r>
      <w:r w:rsidR="00ED333D" w:rsidRPr="00F7263B">
        <w:rPr>
          <w:rFonts w:ascii="Times New Roman" w:hAnsi="Times New Roman" w:cs="Times New Roman"/>
          <w:sz w:val="20"/>
          <w:szCs w:val="20"/>
        </w:rPr>
        <w:t>fiscal year</w:t>
      </w:r>
      <w:r w:rsidRPr="00F7263B">
        <w:rPr>
          <w:rFonts w:ascii="Times New Roman" w:hAnsi="Times New Roman" w:cs="Times New Roman"/>
          <w:sz w:val="20"/>
          <w:szCs w:val="20"/>
        </w:rPr>
        <w:t xml:space="preserve"> were screened against the set of environment and social criteria in the planning stage</w:t>
      </w:r>
      <w:r w:rsidR="001B34B7" w:rsidRPr="00F7263B">
        <w:rPr>
          <w:rFonts w:ascii="Times New Roman" w:hAnsi="Times New Roman" w:cs="Times New Roman"/>
          <w:sz w:val="20"/>
          <w:szCs w:val="20"/>
        </w:rPr>
        <w:t xml:space="preserve">.  They must also show that </w:t>
      </w:r>
      <w:r w:rsidR="00F42800" w:rsidRPr="00F7263B">
        <w:rPr>
          <w:rFonts w:ascii="Times New Roman" w:hAnsi="Times New Roman" w:cs="Times New Roman"/>
          <w:sz w:val="20"/>
          <w:szCs w:val="20"/>
        </w:rPr>
        <w:t xml:space="preserve">prior to starting works (a) </w:t>
      </w:r>
      <w:r w:rsidR="001B34B7" w:rsidRPr="00F7263B">
        <w:rPr>
          <w:rFonts w:ascii="Times New Roman" w:hAnsi="Times New Roman" w:cs="Times New Roman"/>
          <w:sz w:val="20"/>
          <w:szCs w:val="20"/>
        </w:rPr>
        <w:t xml:space="preserve">they have </w:t>
      </w:r>
      <w:r w:rsidR="00F42800" w:rsidRPr="00F7263B">
        <w:rPr>
          <w:rFonts w:ascii="Times New Roman" w:hAnsi="Times New Roman" w:cs="Times New Roman"/>
          <w:sz w:val="20"/>
          <w:szCs w:val="20"/>
        </w:rPr>
        <w:t xml:space="preserve">received approval from REPA for </w:t>
      </w:r>
      <w:r w:rsidR="001B34B7" w:rsidRPr="00F7263B">
        <w:rPr>
          <w:rFonts w:ascii="Times New Roman" w:hAnsi="Times New Roman" w:cs="Times New Roman"/>
          <w:sz w:val="20"/>
          <w:szCs w:val="20"/>
        </w:rPr>
        <w:t>environmental management plans and resettlement action plans</w:t>
      </w:r>
      <w:r w:rsidR="00F42800" w:rsidRPr="00F7263B">
        <w:rPr>
          <w:rFonts w:ascii="Times New Roman" w:hAnsi="Times New Roman" w:cs="Times New Roman"/>
          <w:sz w:val="20"/>
          <w:szCs w:val="20"/>
        </w:rPr>
        <w:t xml:space="preserve"> (where relevant)</w:t>
      </w:r>
      <w:r w:rsidR="001B34B7" w:rsidRPr="00F7263B">
        <w:rPr>
          <w:rFonts w:ascii="Times New Roman" w:hAnsi="Times New Roman" w:cs="Times New Roman"/>
          <w:sz w:val="20"/>
          <w:szCs w:val="20"/>
        </w:rPr>
        <w:t xml:space="preserve">, </w:t>
      </w:r>
      <w:r w:rsidR="00F42800" w:rsidRPr="00F7263B">
        <w:rPr>
          <w:rFonts w:ascii="Times New Roman" w:hAnsi="Times New Roman" w:cs="Times New Roman"/>
          <w:sz w:val="20"/>
          <w:szCs w:val="20"/>
        </w:rPr>
        <w:t xml:space="preserve">(b) </w:t>
      </w:r>
      <w:r w:rsidR="001B34B7" w:rsidRPr="00F7263B">
        <w:rPr>
          <w:rFonts w:ascii="Times New Roman" w:hAnsi="Times New Roman" w:cs="Times New Roman"/>
          <w:sz w:val="20"/>
          <w:szCs w:val="20"/>
        </w:rPr>
        <w:t>implemented the resettlement action plans</w:t>
      </w:r>
      <w:r w:rsidR="00F42800" w:rsidRPr="00F7263B">
        <w:rPr>
          <w:rFonts w:ascii="Times New Roman" w:hAnsi="Times New Roman" w:cs="Times New Roman"/>
          <w:sz w:val="20"/>
          <w:szCs w:val="20"/>
        </w:rPr>
        <w:t xml:space="preserve">. </w:t>
      </w:r>
    </w:p>
    <w:p w:rsidR="002B5BD7" w:rsidRPr="00F7263B" w:rsidRDefault="002B5BD7" w:rsidP="00827BD7">
      <w:pPr>
        <w:pStyle w:val="NoSpacing"/>
        <w:ind w:left="1170"/>
        <w:jc w:val="both"/>
        <w:rPr>
          <w:rFonts w:cs="Times New Roman"/>
          <w:sz w:val="20"/>
          <w:szCs w:val="20"/>
        </w:rPr>
      </w:pPr>
    </w:p>
    <w:p w:rsidR="006E7278" w:rsidRPr="00F7263B" w:rsidRDefault="00BE46E6" w:rsidP="00056FC8">
      <w:pPr>
        <w:pStyle w:val="NoSpacing"/>
        <w:numPr>
          <w:ilvl w:val="0"/>
          <w:numId w:val="71"/>
        </w:numPr>
        <w:ind w:left="1170"/>
        <w:jc w:val="both"/>
        <w:rPr>
          <w:rFonts w:cs="Times New Roman"/>
          <w:sz w:val="20"/>
          <w:szCs w:val="20"/>
        </w:rPr>
      </w:pPr>
      <w:r w:rsidRPr="00F7263B">
        <w:rPr>
          <w:rFonts w:ascii="Times New Roman" w:hAnsi="Times New Roman" w:cs="Times New Roman"/>
          <w:i/>
          <w:sz w:val="20"/>
          <w:szCs w:val="20"/>
        </w:rPr>
        <w:t>Incentive</w:t>
      </w:r>
      <w:r w:rsidR="00F42800" w:rsidRPr="00F7263B">
        <w:rPr>
          <w:rFonts w:ascii="Times New Roman" w:hAnsi="Times New Roman" w:cs="Times New Roman"/>
          <w:i/>
          <w:sz w:val="20"/>
          <w:szCs w:val="20"/>
        </w:rPr>
        <w:t>s</w:t>
      </w:r>
      <w:r w:rsidRPr="00F7263B">
        <w:rPr>
          <w:rFonts w:ascii="Times New Roman" w:hAnsi="Times New Roman" w:cs="Times New Roman"/>
          <w:i/>
          <w:sz w:val="20"/>
          <w:szCs w:val="20"/>
        </w:rPr>
        <w:t xml:space="preserve"> to ULGs for being environmental responsible and socially inclusive</w:t>
      </w:r>
      <w:r w:rsidR="00591BA5" w:rsidRPr="00F7263B">
        <w:rPr>
          <w:rFonts w:ascii="Times New Roman" w:hAnsi="Times New Roman" w:cs="Times New Roman"/>
          <w:sz w:val="20"/>
          <w:szCs w:val="20"/>
        </w:rPr>
        <w:t xml:space="preserve">.  </w:t>
      </w:r>
      <w:r w:rsidRPr="00F7263B">
        <w:rPr>
          <w:rFonts w:ascii="Times New Roman" w:hAnsi="Times New Roman" w:cs="Times New Roman"/>
          <w:sz w:val="20"/>
          <w:szCs w:val="20"/>
        </w:rPr>
        <w:t xml:space="preserve">Regional </w:t>
      </w:r>
      <w:r w:rsidR="00795CB4" w:rsidRPr="00F7263B">
        <w:rPr>
          <w:rFonts w:ascii="Times New Roman" w:hAnsi="Times New Roman" w:cs="Times New Roman"/>
          <w:sz w:val="20"/>
          <w:szCs w:val="20"/>
        </w:rPr>
        <w:t>g</w:t>
      </w:r>
      <w:r w:rsidRPr="00F7263B">
        <w:rPr>
          <w:rFonts w:ascii="Times New Roman" w:hAnsi="Times New Roman" w:cs="Times New Roman"/>
          <w:sz w:val="20"/>
          <w:szCs w:val="20"/>
        </w:rPr>
        <w:t>overnment</w:t>
      </w:r>
      <w:r w:rsidR="00795CB4" w:rsidRPr="00F7263B">
        <w:rPr>
          <w:rFonts w:ascii="Times New Roman" w:hAnsi="Times New Roman" w:cs="Times New Roman"/>
          <w:sz w:val="20"/>
          <w:szCs w:val="20"/>
        </w:rPr>
        <w:t>s will be able to access Program funds</w:t>
      </w:r>
      <w:r w:rsidRPr="00F7263B">
        <w:rPr>
          <w:rFonts w:ascii="Times New Roman" w:hAnsi="Times New Roman" w:cs="Times New Roman"/>
          <w:sz w:val="20"/>
          <w:szCs w:val="20"/>
        </w:rPr>
        <w:t xml:space="preserve"> by monitoring</w:t>
      </w:r>
      <w:r w:rsidR="00795CB4" w:rsidRPr="00F7263B">
        <w:rPr>
          <w:rFonts w:ascii="Times New Roman" w:hAnsi="Times New Roman" w:cs="Times New Roman"/>
          <w:sz w:val="20"/>
          <w:szCs w:val="20"/>
        </w:rPr>
        <w:t xml:space="preserve"> verification of a functioning e</w:t>
      </w:r>
      <w:r w:rsidRPr="00F7263B">
        <w:rPr>
          <w:rFonts w:ascii="Times New Roman" w:hAnsi="Times New Roman" w:cs="Times New Roman"/>
          <w:sz w:val="20"/>
          <w:szCs w:val="20"/>
        </w:rPr>
        <w:t xml:space="preserve">nvironment and </w:t>
      </w:r>
      <w:r w:rsidR="00795CB4" w:rsidRPr="00F7263B">
        <w:rPr>
          <w:rFonts w:ascii="Times New Roman" w:hAnsi="Times New Roman" w:cs="Times New Roman"/>
          <w:sz w:val="20"/>
          <w:szCs w:val="20"/>
        </w:rPr>
        <w:t>s</w:t>
      </w:r>
      <w:r w:rsidRPr="00F7263B">
        <w:rPr>
          <w:rFonts w:ascii="Times New Roman" w:hAnsi="Times New Roman" w:cs="Times New Roman"/>
          <w:sz w:val="20"/>
          <w:szCs w:val="20"/>
        </w:rPr>
        <w:t xml:space="preserve">ocial </w:t>
      </w:r>
      <w:r w:rsidR="00795CB4" w:rsidRPr="00F7263B">
        <w:rPr>
          <w:rFonts w:ascii="Times New Roman" w:hAnsi="Times New Roman" w:cs="Times New Roman"/>
          <w:sz w:val="20"/>
          <w:szCs w:val="20"/>
        </w:rPr>
        <w:t>m</w:t>
      </w:r>
      <w:r w:rsidRPr="00F7263B">
        <w:rPr>
          <w:rFonts w:ascii="Times New Roman" w:hAnsi="Times New Roman" w:cs="Times New Roman"/>
          <w:sz w:val="20"/>
          <w:szCs w:val="20"/>
        </w:rPr>
        <w:t xml:space="preserve">anagement </w:t>
      </w:r>
      <w:r w:rsidR="00795CB4" w:rsidRPr="00F7263B">
        <w:rPr>
          <w:rFonts w:ascii="Times New Roman" w:hAnsi="Times New Roman" w:cs="Times New Roman"/>
          <w:sz w:val="20"/>
          <w:szCs w:val="20"/>
        </w:rPr>
        <w:t>system of</w:t>
      </w:r>
      <w:r w:rsidRPr="00F7263B">
        <w:rPr>
          <w:rFonts w:ascii="Times New Roman" w:hAnsi="Times New Roman" w:cs="Times New Roman"/>
          <w:sz w:val="20"/>
          <w:szCs w:val="20"/>
        </w:rPr>
        <w:t xml:space="preserve"> all ULGs under their jurisdiction.</w:t>
      </w:r>
    </w:p>
    <w:p w:rsidR="00B66636" w:rsidRPr="00F7263B" w:rsidRDefault="00B66636" w:rsidP="00556F1B">
      <w:pPr>
        <w:pStyle w:val="NoSpacing"/>
        <w:jc w:val="both"/>
        <w:rPr>
          <w:rFonts w:ascii="Times New Roman" w:hAnsi="Times New Roman" w:cs="Times New Roman"/>
          <w:sz w:val="20"/>
          <w:szCs w:val="20"/>
        </w:rPr>
      </w:pPr>
    </w:p>
    <w:p w:rsidR="00B66636" w:rsidRPr="00F7263B" w:rsidRDefault="00B66636" w:rsidP="00556F1B">
      <w:pPr>
        <w:pStyle w:val="Heading2"/>
        <w:jc w:val="both"/>
        <w:rPr>
          <w:sz w:val="20"/>
          <w:szCs w:val="20"/>
        </w:rPr>
      </w:pPr>
      <w:bookmarkStart w:id="31" w:name="_Toc380167582"/>
      <w:r w:rsidRPr="00F7263B">
        <w:rPr>
          <w:sz w:val="20"/>
          <w:szCs w:val="20"/>
        </w:rPr>
        <w:t xml:space="preserve">Integrated Risk </w:t>
      </w:r>
      <w:r w:rsidR="00F9756B" w:rsidRPr="00F7263B">
        <w:rPr>
          <w:sz w:val="20"/>
          <w:szCs w:val="20"/>
        </w:rPr>
        <w:t xml:space="preserve">Assessment </w:t>
      </w:r>
      <w:r w:rsidRPr="00F7263B">
        <w:rPr>
          <w:sz w:val="20"/>
          <w:szCs w:val="20"/>
        </w:rPr>
        <w:t>Summary</w:t>
      </w:r>
      <w:bookmarkEnd w:id="31"/>
    </w:p>
    <w:p w:rsidR="002B77E0" w:rsidRPr="00F7263B" w:rsidRDefault="002B77E0" w:rsidP="002E2843">
      <w:pPr>
        <w:pStyle w:val="NoSpacing"/>
        <w:jc w:val="both"/>
        <w:rPr>
          <w:rFonts w:ascii="Times New Roman" w:hAnsi="Times New Roman" w:cs="Times New Roman"/>
          <w:b/>
          <w:sz w:val="20"/>
          <w:szCs w:val="20"/>
        </w:rPr>
      </w:pPr>
    </w:p>
    <w:p w:rsidR="00A65578" w:rsidRPr="00F7263B" w:rsidRDefault="00A65578" w:rsidP="00D92D63">
      <w:pPr>
        <w:pStyle w:val="NoSpacing"/>
        <w:numPr>
          <w:ilvl w:val="0"/>
          <w:numId w:val="7"/>
        </w:numPr>
        <w:ind w:left="360"/>
        <w:jc w:val="both"/>
        <w:rPr>
          <w:rFonts w:ascii="Times New Roman" w:hAnsi="Times New Roman" w:cs="Times New Roman"/>
          <w:b/>
          <w:sz w:val="20"/>
          <w:szCs w:val="20"/>
        </w:rPr>
      </w:pPr>
      <w:r w:rsidRPr="00F7263B">
        <w:rPr>
          <w:rFonts w:ascii="Times New Roman" w:hAnsi="Times New Roman" w:cs="Times New Roman"/>
          <w:b/>
          <w:sz w:val="20"/>
          <w:szCs w:val="20"/>
        </w:rPr>
        <w:t>Integrated Risk Assessment Summary</w:t>
      </w:r>
    </w:p>
    <w:p w:rsidR="006D5EF1" w:rsidRPr="00F7263B" w:rsidRDefault="006D5EF1" w:rsidP="00556F1B">
      <w:pPr>
        <w:pStyle w:val="NoSpacing"/>
        <w:jc w:val="both"/>
        <w:rPr>
          <w:rFonts w:ascii="Times New Roman" w:hAnsi="Times New Roman" w:cs="Times New Roman"/>
          <w:sz w:val="20"/>
          <w:szCs w:val="20"/>
        </w:rPr>
      </w:pPr>
    </w:p>
    <w:p w:rsidR="00F45E4C" w:rsidRPr="00F7263B" w:rsidRDefault="00F45E4C" w:rsidP="00597F05">
      <w:pPr>
        <w:pStyle w:val="Caption"/>
        <w:spacing w:after="60"/>
        <w:jc w:val="both"/>
      </w:pPr>
      <w:bookmarkStart w:id="32" w:name="_Toc380087110"/>
      <w:r w:rsidRPr="00F7263B">
        <w:t xml:space="preserve">Table </w:t>
      </w:r>
      <w:r w:rsidR="00B845BE" w:rsidRPr="00F7263B">
        <w:fldChar w:fldCharType="begin"/>
      </w:r>
      <w:r w:rsidRPr="00F7263B">
        <w:instrText xml:space="preserve"> SEQ Table \* ARABIC </w:instrText>
      </w:r>
      <w:r w:rsidR="00B845BE" w:rsidRPr="00F7263B">
        <w:fldChar w:fldCharType="separate"/>
      </w:r>
      <w:r w:rsidR="00933073">
        <w:rPr>
          <w:noProof/>
        </w:rPr>
        <w:t>9</w:t>
      </w:r>
      <w:r w:rsidR="00B845BE" w:rsidRPr="00F7263B">
        <w:fldChar w:fldCharType="end"/>
      </w:r>
      <w:r w:rsidRPr="00F7263B">
        <w:t>: Integrated Risk Assessment Summary</w:t>
      </w:r>
      <w:bookmarkEnd w:id="32"/>
    </w:p>
    <w:tbl>
      <w:tblPr>
        <w:tblStyle w:val="TableGrid"/>
        <w:tblW w:w="9450" w:type="dxa"/>
        <w:tblInd w:w="108" w:type="dxa"/>
        <w:tblLook w:val="04A0" w:firstRow="1" w:lastRow="0" w:firstColumn="1" w:lastColumn="0" w:noHBand="0" w:noVBand="1"/>
      </w:tblPr>
      <w:tblGrid>
        <w:gridCol w:w="6840"/>
        <w:gridCol w:w="2610"/>
      </w:tblGrid>
      <w:tr w:rsidR="006D5EF1" w:rsidRPr="00F7263B">
        <w:tc>
          <w:tcPr>
            <w:tcW w:w="6840" w:type="dxa"/>
          </w:tcPr>
          <w:p w:rsidR="006D5EF1" w:rsidRPr="00F7263B" w:rsidRDefault="006D5EF1" w:rsidP="00556F1B">
            <w:pPr>
              <w:spacing w:before="120" w:after="120"/>
              <w:jc w:val="both"/>
              <w:rPr>
                <w:sz w:val="20"/>
                <w:szCs w:val="20"/>
              </w:rPr>
            </w:pPr>
            <w:r w:rsidRPr="00F7263B">
              <w:rPr>
                <w:rFonts w:cs="Times New Roman"/>
                <w:b/>
                <w:sz w:val="20"/>
                <w:szCs w:val="20"/>
              </w:rPr>
              <w:t>Risk</w:t>
            </w:r>
          </w:p>
        </w:tc>
        <w:tc>
          <w:tcPr>
            <w:tcW w:w="2610" w:type="dxa"/>
          </w:tcPr>
          <w:p w:rsidR="006D5EF1" w:rsidRPr="00F7263B" w:rsidRDefault="006D5EF1" w:rsidP="00556F1B">
            <w:pPr>
              <w:spacing w:before="120" w:after="120"/>
              <w:jc w:val="both"/>
              <w:rPr>
                <w:sz w:val="20"/>
                <w:szCs w:val="20"/>
              </w:rPr>
            </w:pPr>
            <w:r w:rsidRPr="00F7263B">
              <w:rPr>
                <w:rFonts w:cs="Times New Roman"/>
                <w:b/>
                <w:sz w:val="20"/>
                <w:szCs w:val="20"/>
              </w:rPr>
              <w:t>Rating</w:t>
            </w:r>
          </w:p>
        </w:tc>
      </w:tr>
      <w:tr w:rsidR="006D5EF1" w:rsidRPr="00F7263B">
        <w:trPr>
          <w:trHeight w:val="485"/>
        </w:trPr>
        <w:tc>
          <w:tcPr>
            <w:tcW w:w="6840" w:type="dxa"/>
            <w:vAlign w:val="center"/>
          </w:tcPr>
          <w:p w:rsidR="006D5EF1" w:rsidRPr="00F7263B" w:rsidRDefault="006D5EF1" w:rsidP="00AD2C6E">
            <w:pPr>
              <w:spacing w:before="120" w:after="120"/>
              <w:rPr>
                <w:sz w:val="20"/>
                <w:szCs w:val="20"/>
              </w:rPr>
            </w:pPr>
            <w:r w:rsidRPr="00F7263B">
              <w:rPr>
                <w:rFonts w:cs="Times New Roman"/>
                <w:sz w:val="20"/>
                <w:szCs w:val="20"/>
              </w:rPr>
              <w:lastRenderedPageBreak/>
              <w:t>Technical</w:t>
            </w:r>
          </w:p>
        </w:tc>
        <w:tc>
          <w:tcPr>
            <w:tcW w:w="2610" w:type="dxa"/>
            <w:vAlign w:val="center"/>
          </w:tcPr>
          <w:p w:rsidR="006D5EF1" w:rsidRPr="00F7263B" w:rsidRDefault="00C54938" w:rsidP="00AD2C6E">
            <w:pPr>
              <w:spacing w:before="120" w:after="120"/>
              <w:rPr>
                <w:sz w:val="20"/>
                <w:szCs w:val="20"/>
              </w:rPr>
            </w:pPr>
            <w:r w:rsidRPr="00F7263B">
              <w:rPr>
                <w:sz w:val="20"/>
                <w:szCs w:val="20"/>
              </w:rPr>
              <w:t>Substantial</w:t>
            </w:r>
          </w:p>
        </w:tc>
      </w:tr>
      <w:tr w:rsidR="002267A1" w:rsidRPr="00F7263B">
        <w:trPr>
          <w:trHeight w:val="341"/>
        </w:trPr>
        <w:tc>
          <w:tcPr>
            <w:tcW w:w="6840" w:type="dxa"/>
            <w:vAlign w:val="center"/>
          </w:tcPr>
          <w:p w:rsidR="002267A1" w:rsidRPr="00F7263B" w:rsidRDefault="002267A1" w:rsidP="00AD2C6E">
            <w:pPr>
              <w:pStyle w:val="NoSpacing"/>
              <w:rPr>
                <w:rFonts w:ascii="Times New Roman" w:hAnsi="Times New Roman" w:cs="Times New Roman"/>
                <w:sz w:val="20"/>
                <w:szCs w:val="20"/>
              </w:rPr>
            </w:pPr>
            <w:r w:rsidRPr="00F7263B">
              <w:rPr>
                <w:rFonts w:ascii="Times New Roman" w:hAnsi="Times New Roman" w:cs="Times New Roman"/>
                <w:sz w:val="20"/>
                <w:szCs w:val="20"/>
              </w:rPr>
              <w:t>Fiduciary</w:t>
            </w:r>
          </w:p>
        </w:tc>
        <w:tc>
          <w:tcPr>
            <w:tcW w:w="2610" w:type="dxa"/>
            <w:vAlign w:val="center"/>
          </w:tcPr>
          <w:p w:rsidR="002267A1" w:rsidRPr="00F7263B" w:rsidRDefault="002267A1" w:rsidP="00AD2C6E">
            <w:pPr>
              <w:spacing w:before="120" w:after="120"/>
              <w:rPr>
                <w:sz w:val="20"/>
                <w:szCs w:val="20"/>
              </w:rPr>
            </w:pPr>
            <w:r w:rsidRPr="00F7263B">
              <w:rPr>
                <w:sz w:val="20"/>
                <w:szCs w:val="20"/>
              </w:rPr>
              <w:t>Substantial</w:t>
            </w:r>
          </w:p>
        </w:tc>
      </w:tr>
      <w:tr w:rsidR="002267A1" w:rsidRPr="00F7263B">
        <w:tc>
          <w:tcPr>
            <w:tcW w:w="6840" w:type="dxa"/>
            <w:vAlign w:val="center"/>
          </w:tcPr>
          <w:p w:rsidR="002267A1" w:rsidRPr="00F7263B" w:rsidRDefault="002267A1" w:rsidP="00AD2C6E">
            <w:pPr>
              <w:pStyle w:val="NoSpacing"/>
              <w:spacing w:before="120" w:after="120"/>
              <w:rPr>
                <w:rFonts w:ascii="Times New Roman" w:hAnsi="Times New Roman" w:cs="Times New Roman"/>
                <w:sz w:val="20"/>
                <w:szCs w:val="20"/>
              </w:rPr>
            </w:pPr>
            <w:r w:rsidRPr="00F7263B">
              <w:rPr>
                <w:rFonts w:ascii="Times New Roman" w:hAnsi="Times New Roman" w:cs="Times New Roman"/>
                <w:sz w:val="20"/>
                <w:szCs w:val="20"/>
              </w:rPr>
              <w:t>Environmental and Social</w:t>
            </w:r>
          </w:p>
        </w:tc>
        <w:tc>
          <w:tcPr>
            <w:tcW w:w="2610" w:type="dxa"/>
            <w:vAlign w:val="center"/>
          </w:tcPr>
          <w:p w:rsidR="002267A1" w:rsidRPr="00F7263B" w:rsidRDefault="00973517" w:rsidP="00AD2C6E">
            <w:pPr>
              <w:spacing w:before="120" w:after="120"/>
              <w:rPr>
                <w:rFonts w:cs="Times New Roman"/>
                <w:b/>
                <w:sz w:val="20"/>
                <w:szCs w:val="20"/>
              </w:rPr>
            </w:pPr>
            <w:r w:rsidRPr="00F7263B">
              <w:rPr>
                <w:sz w:val="20"/>
                <w:szCs w:val="20"/>
              </w:rPr>
              <w:t>Moderate</w:t>
            </w:r>
          </w:p>
        </w:tc>
      </w:tr>
      <w:tr w:rsidR="002267A1" w:rsidRPr="00F7263B">
        <w:tc>
          <w:tcPr>
            <w:tcW w:w="6840" w:type="dxa"/>
            <w:vAlign w:val="center"/>
          </w:tcPr>
          <w:p w:rsidR="002267A1" w:rsidRPr="00F7263B" w:rsidRDefault="002267A1" w:rsidP="00AD2C6E">
            <w:pPr>
              <w:pStyle w:val="NoSpacing"/>
              <w:spacing w:before="120" w:after="120"/>
              <w:rPr>
                <w:rFonts w:ascii="Times New Roman" w:hAnsi="Times New Roman" w:cs="Times New Roman"/>
                <w:sz w:val="20"/>
                <w:szCs w:val="20"/>
              </w:rPr>
            </w:pPr>
            <w:r w:rsidRPr="00F7263B">
              <w:rPr>
                <w:rFonts w:ascii="Times New Roman" w:hAnsi="Times New Roman" w:cs="Times New Roman"/>
                <w:sz w:val="20"/>
                <w:szCs w:val="20"/>
              </w:rPr>
              <w:t>Disbursement Linked Indicators</w:t>
            </w:r>
          </w:p>
        </w:tc>
        <w:tc>
          <w:tcPr>
            <w:tcW w:w="2610" w:type="dxa"/>
            <w:vAlign w:val="center"/>
          </w:tcPr>
          <w:p w:rsidR="002267A1" w:rsidRPr="00F7263B" w:rsidRDefault="00B74452" w:rsidP="00AD2C6E">
            <w:pPr>
              <w:spacing w:before="120" w:after="120"/>
              <w:rPr>
                <w:rFonts w:cs="Times New Roman"/>
                <w:b/>
                <w:sz w:val="20"/>
                <w:szCs w:val="20"/>
              </w:rPr>
            </w:pPr>
            <w:r w:rsidRPr="00F7263B">
              <w:rPr>
                <w:sz w:val="20"/>
                <w:szCs w:val="20"/>
              </w:rPr>
              <w:t>Moderate</w:t>
            </w:r>
          </w:p>
        </w:tc>
      </w:tr>
      <w:tr w:rsidR="002267A1" w:rsidRPr="00F7263B">
        <w:trPr>
          <w:trHeight w:val="64"/>
        </w:trPr>
        <w:tc>
          <w:tcPr>
            <w:tcW w:w="6840" w:type="dxa"/>
            <w:vAlign w:val="center"/>
          </w:tcPr>
          <w:p w:rsidR="002267A1" w:rsidRPr="00F7263B" w:rsidRDefault="002267A1" w:rsidP="00AD2C6E">
            <w:pPr>
              <w:pStyle w:val="NoSpacing"/>
              <w:spacing w:before="120" w:after="120"/>
              <w:rPr>
                <w:rFonts w:ascii="Times New Roman" w:hAnsi="Times New Roman" w:cs="Times New Roman"/>
                <w:sz w:val="20"/>
                <w:szCs w:val="20"/>
              </w:rPr>
            </w:pPr>
            <w:r w:rsidRPr="00F7263B">
              <w:rPr>
                <w:rFonts w:ascii="Times New Roman" w:hAnsi="Times New Roman" w:cs="Times New Roman"/>
                <w:sz w:val="20"/>
                <w:szCs w:val="20"/>
              </w:rPr>
              <w:t>Overall Risk</w:t>
            </w:r>
          </w:p>
        </w:tc>
        <w:tc>
          <w:tcPr>
            <w:tcW w:w="2610" w:type="dxa"/>
            <w:vAlign w:val="center"/>
          </w:tcPr>
          <w:p w:rsidR="002267A1" w:rsidRPr="00F7263B" w:rsidRDefault="003A7326" w:rsidP="00AD2C6E">
            <w:pPr>
              <w:spacing w:before="120" w:after="120"/>
              <w:rPr>
                <w:rFonts w:cs="Times New Roman"/>
                <w:sz w:val="20"/>
                <w:szCs w:val="20"/>
              </w:rPr>
            </w:pPr>
            <w:r w:rsidRPr="00F7263B">
              <w:rPr>
                <w:sz w:val="20"/>
                <w:szCs w:val="20"/>
              </w:rPr>
              <w:t>Substantial</w:t>
            </w:r>
          </w:p>
        </w:tc>
      </w:tr>
    </w:tbl>
    <w:p w:rsidR="00562C97" w:rsidRPr="00F7263B" w:rsidRDefault="00562C97" w:rsidP="00556F1B">
      <w:pPr>
        <w:pStyle w:val="NoSpacing"/>
        <w:jc w:val="both"/>
        <w:rPr>
          <w:rFonts w:ascii="Times New Roman" w:hAnsi="Times New Roman" w:cs="Times New Roman"/>
          <w:sz w:val="20"/>
          <w:szCs w:val="20"/>
        </w:rPr>
      </w:pPr>
    </w:p>
    <w:p w:rsidR="004E4895" w:rsidRPr="00F7263B" w:rsidRDefault="00267C30" w:rsidP="00D92D63">
      <w:pPr>
        <w:pStyle w:val="NoSpacing"/>
        <w:numPr>
          <w:ilvl w:val="0"/>
          <w:numId w:val="7"/>
        </w:numPr>
        <w:ind w:left="360"/>
        <w:jc w:val="both"/>
        <w:rPr>
          <w:rFonts w:ascii="Times New Roman" w:hAnsi="Times New Roman" w:cs="Times New Roman"/>
          <w:b/>
          <w:sz w:val="20"/>
          <w:szCs w:val="20"/>
        </w:rPr>
      </w:pPr>
      <w:r w:rsidRPr="00F7263B">
        <w:rPr>
          <w:rFonts w:ascii="Times New Roman" w:hAnsi="Times New Roman" w:cs="Times New Roman"/>
          <w:b/>
          <w:sz w:val="20"/>
          <w:szCs w:val="20"/>
        </w:rPr>
        <w:t>Risk Rating Explanation</w:t>
      </w:r>
    </w:p>
    <w:p w:rsidR="00B66636" w:rsidRPr="00F7263B" w:rsidRDefault="00B66636" w:rsidP="00556F1B">
      <w:pPr>
        <w:pStyle w:val="NoSpacing"/>
        <w:jc w:val="both"/>
        <w:rPr>
          <w:rFonts w:ascii="Times New Roman" w:hAnsi="Times New Roman" w:cs="Times New Roman"/>
          <w:bCs/>
          <w:color w:val="000000"/>
          <w:sz w:val="20"/>
          <w:szCs w:val="20"/>
        </w:rPr>
      </w:pPr>
    </w:p>
    <w:p w:rsidR="00A06F96" w:rsidRPr="00F7263B" w:rsidRDefault="00976FE7" w:rsidP="00254260">
      <w:pPr>
        <w:pStyle w:val="ListParagraph"/>
        <w:numPr>
          <w:ilvl w:val="0"/>
          <w:numId w:val="9"/>
        </w:numPr>
        <w:autoSpaceDE w:val="0"/>
        <w:autoSpaceDN w:val="0"/>
        <w:adjustRightInd w:val="0"/>
        <w:ind w:left="0" w:firstLine="0"/>
        <w:jc w:val="both"/>
        <w:rPr>
          <w:sz w:val="20"/>
          <w:szCs w:val="20"/>
        </w:rPr>
      </w:pPr>
      <w:r w:rsidRPr="00F7263B">
        <w:rPr>
          <w:rFonts w:cs="Times New Roman"/>
          <w:bCs/>
          <w:color w:val="000000"/>
          <w:sz w:val="20"/>
          <w:szCs w:val="20"/>
        </w:rPr>
        <w:t xml:space="preserve">Although the </w:t>
      </w:r>
      <w:r w:rsidR="00821460" w:rsidRPr="00F7263B">
        <w:rPr>
          <w:rFonts w:cs="Times New Roman"/>
          <w:bCs/>
          <w:color w:val="000000"/>
          <w:sz w:val="20"/>
          <w:szCs w:val="20"/>
        </w:rPr>
        <w:t>MUDHCo</w:t>
      </w:r>
      <w:r w:rsidRPr="00F7263B">
        <w:rPr>
          <w:rFonts w:cs="Times New Roman"/>
          <w:bCs/>
          <w:color w:val="000000"/>
          <w:sz w:val="20"/>
          <w:szCs w:val="20"/>
        </w:rPr>
        <w:t xml:space="preserve">, the regional governments, and the ULGs have gained considerable experience with </w:t>
      </w:r>
      <w:r w:rsidR="000A3577" w:rsidRPr="00F7263B">
        <w:rPr>
          <w:rFonts w:cs="Times New Roman"/>
          <w:bCs/>
          <w:color w:val="000000"/>
          <w:sz w:val="20"/>
          <w:szCs w:val="20"/>
        </w:rPr>
        <w:t xml:space="preserve">managing a </w:t>
      </w:r>
      <w:r w:rsidR="00D0377C" w:rsidRPr="00F7263B">
        <w:rPr>
          <w:rFonts w:cs="Times New Roman"/>
          <w:bCs/>
          <w:color w:val="000000"/>
          <w:sz w:val="20"/>
          <w:szCs w:val="20"/>
        </w:rPr>
        <w:t>performance-based</w:t>
      </w:r>
      <w:r w:rsidRPr="00F7263B">
        <w:rPr>
          <w:rFonts w:cs="Times New Roman"/>
          <w:bCs/>
          <w:color w:val="000000"/>
          <w:sz w:val="20"/>
          <w:szCs w:val="20"/>
        </w:rPr>
        <w:t xml:space="preserve"> grant system under ULGDP, the Program risk is assessed as substantial</w:t>
      </w:r>
      <w:r w:rsidR="00005667" w:rsidRPr="00F7263B">
        <w:rPr>
          <w:rFonts w:cs="Times New Roman"/>
          <w:bCs/>
          <w:color w:val="000000"/>
          <w:sz w:val="20"/>
          <w:szCs w:val="20"/>
        </w:rPr>
        <w:t xml:space="preserve">.  </w:t>
      </w:r>
      <w:r w:rsidRPr="00F7263B">
        <w:rPr>
          <w:rFonts w:cs="Times New Roman"/>
          <w:bCs/>
          <w:color w:val="000000"/>
          <w:sz w:val="20"/>
          <w:szCs w:val="20"/>
        </w:rPr>
        <w:t xml:space="preserve">There are </w:t>
      </w:r>
      <w:r w:rsidR="000658A1" w:rsidRPr="00F7263B">
        <w:rPr>
          <w:rFonts w:cs="Times New Roman"/>
          <w:bCs/>
          <w:color w:val="000000"/>
          <w:sz w:val="20"/>
          <w:szCs w:val="20"/>
        </w:rPr>
        <w:t xml:space="preserve">four </w:t>
      </w:r>
      <w:r w:rsidRPr="00F7263B">
        <w:rPr>
          <w:rFonts w:cs="Times New Roman"/>
          <w:bCs/>
          <w:color w:val="000000"/>
          <w:sz w:val="20"/>
          <w:szCs w:val="20"/>
        </w:rPr>
        <w:t>main reasons why</w:t>
      </w:r>
      <w:r w:rsidR="00005667" w:rsidRPr="00F7263B">
        <w:rPr>
          <w:rFonts w:cs="Times New Roman"/>
          <w:bCs/>
          <w:color w:val="000000"/>
          <w:sz w:val="20"/>
          <w:szCs w:val="20"/>
        </w:rPr>
        <w:t xml:space="preserve">.  </w:t>
      </w:r>
      <w:r w:rsidRPr="00F7263B">
        <w:rPr>
          <w:rFonts w:cs="Times New Roman"/>
          <w:bCs/>
          <w:color w:val="000000"/>
          <w:sz w:val="20"/>
          <w:szCs w:val="20"/>
        </w:rPr>
        <w:t xml:space="preserve">The first </w:t>
      </w:r>
      <w:r w:rsidRPr="00F7263B">
        <w:rPr>
          <w:rFonts w:cs="Times New Roman"/>
          <w:color w:val="000000"/>
          <w:sz w:val="20"/>
          <w:szCs w:val="20"/>
        </w:rPr>
        <w:t xml:space="preserve">relates to the weak capacity of the 26 newly participating cities to successfully manage significant </w:t>
      </w:r>
      <w:r w:rsidRPr="00F7263B">
        <w:rPr>
          <w:rFonts w:cs="Times New Roman"/>
          <w:sz w:val="20"/>
          <w:szCs w:val="20"/>
        </w:rPr>
        <w:t>new</w:t>
      </w:r>
      <w:r w:rsidRPr="00F7263B">
        <w:rPr>
          <w:rFonts w:cs="Times New Roman"/>
          <w:color w:val="000000"/>
          <w:sz w:val="20"/>
          <w:szCs w:val="20"/>
        </w:rPr>
        <w:t xml:space="preserve"> responsibilities and resources</w:t>
      </w:r>
      <w:r w:rsidR="00005667" w:rsidRPr="00F7263B">
        <w:rPr>
          <w:rFonts w:cs="Times New Roman"/>
          <w:color w:val="000000"/>
          <w:sz w:val="20"/>
          <w:szCs w:val="20"/>
        </w:rPr>
        <w:t xml:space="preserve">.  </w:t>
      </w:r>
      <w:r w:rsidRPr="00F7263B">
        <w:rPr>
          <w:rFonts w:cs="Times New Roman"/>
          <w:color w:val="000000"/>
          <w:sz w:val="20"/>
          <w:szCs w:val="20"/>
        </w:rPr>
        <w:t xml:space="preserve">The second major risk is that the large number of cities (44) that will receive performance grants will stretch the ability of the regional governments, the </w:t>
      </w:r>
      <w:r w:rsidR="00821460" w:rsidRPr="00F7263B">
        <w:rPr>
          <w:rFonts w:cs="Times New Roman"/>
          <w:color w:val="000000"/>
          <w:sz w:val="20"/>
          <w:szCs w:val="20"/>
        </w:rPr>
        <w:t>MUDHCo</w:t>
      </w:r>
      <w:r w:rsidRPr="00F7263B">
        <w:rPr>
          <w:rFonts w:cs="Times New Roman"/>
          <w:color w:val="000000"/>
          <w:sz w:val="20"/>
          <w:szCs w:val="20"/>
        </w:rPr>
        <w:t>, and the Bank to provide adequate implementation support to cities</w:t>
      </w:r>
      <w:r w:rsidR="00005667" w:rsidRPr="00F7263B">
        <w:rPr>
          <w:rFonts w:cs="Times New Roman"/>
          <w:color w:val="000000"/>
          <w:sz w:val="20"/>
          <w:szCs w:val="20"/>
        </w:rPr>
        <w:t xml:space="preserve">.  </w:t>
      </w:r>
      <w:r w:rsidRPr="00F7263B">
        <w:rPr>
          <w:sz w:val="20"/>
          <w:szCs w:val="20"/>
        </w:rPr>
        <w:t>A third risk is</w:t>
      </w:r>
      <w:r w:rsidR="00C54938" w:rsidRPr="00F7263B">
        <w:rPr>
          <w:sz w:val="20"/>
          <w:szCs w:val="20"/>
        </w:rPr>
        <w:t xml:space="preserve"> that cities may not be able to fully address the fiduciary </w:t>
      </w:r>
      <w:r w:rsidRPr="00F7263B">
        <w:rPr>
          <w:sz w:val="20"/>
          <w:szCs w:val="20"/>
        </w:rPr>
        <w:t>risks arising from implementation of infrastructure subprojects</w:t>
      </w:r>
      <w:r w:rsidR="00005667" w:rsidRPr="00F7263B">
        <w:rPr>
          <w:sz w:val="20"/>
          <w:szCs w:val="20"/>
        </w:rPr>
        <w:t xml:space="preserve">. </w:t>
      </w:r>
      <w:r w:rsidR="00A06F96" w:rsidRPr="00F7263B">
        <w:rPr>
          <w:sz w:val="20"/>
          <w:szCs w:val="20"/>
        </w:rPr>
        <w:t xml:space="preserve">The fourth risk </w:t>
      </w:r>
      <w:r w:rsidR="00333AF1" w:rsidRPr="00F7263B">
        <w:rPr>
          <w:sz w:val="20"/>
          <w:szCs w:val="20"/>
        </w:rPr>
        <w:t xml:space="preserve">is </w:t>
      </w:r>
      <w:r w:rsidR="005225B9" w:rsidRPr="00F7263B">
        <w:rPr>
          <w:sz w:val="20"/>
          <w:szCs w:val="20"/>
        </w:rPr>
        <w:t xml:space="preserve">to the Program is the addition of the regional governments as participating entities.  Regional governments were not beneficiaries of the ULGDP, so their capacity and willingness to perform </w:t>
      </w:r>
      <w:r w:rsidR="00333AF1" w:rsidRPr="00F7263B">
        <w:rPr>
          <w:sz w:val="20"/>
          <w:szCs w:val="20"/>
        </w:rPr>
        <w:t xml:space="preserve">timely and adequately </w:t>
      </w:r>
      <w:r w:rsidR="00E74664" w:rsidRPr="00F7263B">
        <w:rPr>
          <w:sz w:val="20"/>
          <w:szCs w:val="20"/>
        </w:rPr>
        <w:t xml:space="preserve">to </w:t>
      </w:r>
      <w:r w:rsidR="00333AF1" w:rsidRPr="00F7263B">
        <w:rPr>
          <w:sz w:val="20"/>
          <w:szCs w:val="20"/>
        </w:rPr>
        <w:t>execute their responsibilities to support cities</w:t>
      </w:r>
      <w:r w:rsidR="005225B9" w:rsidRPr="00F7263B">
        <w:rPr>
          <w:sz w:val="20"/>
          <w:szCs w:val="20"/>
        </w:rPr>
        <w:t xml:space="preserve"> is unknown</w:t>
      </w:r>
      <w:r w:rsidR="00333AF1" w:rsidRPr="00F7263B">
        <w:rPr>
          <w:sz w:val="20"/>
          <w:szCs w:val="20"/>
        </w:rPr>
        <w:t xml:space="preserve">.  </w:t>
      </w:r>
    </w:p>
    <w:p w:rsidR="004445AE" w:rsidRPr="00F7263B" w:rsidRDefault="004445AE" w:rsidP="004445AE">
      <w:pPr>
        <w:pStyle w:val="ListParagraph"/>
        <w:autoSpaceDE w:val="0"/>
        <w:autoSpaceDN w:val="0"/>
        <w:adjustRightInd w:val="0"/>
        <w:ind w:left="0"/>
        <w:jc w:val="both"/>
        <w:rPr>
          <w:sz w:val="20"/>
          <w:szCs w:val="20"/>
        </w:rPr>
      </w:pPr>
    </w:p>
    <w:p w:rsidR="00976FE7" w:rsidRPr="00F7263B" w:rsidRDefault="00976FE7" w:rsidP="00D92D63">
      <w:pPr>
        <w:pStyle w:val="ListParagraph"/>
        <w:numPr>
          <w:ilvl w:val="0"/>
          <w:numId w:val="9"/>
        </w:numPr>
        <w:autoSpaceDE w:val="0"/>
        <w:autoSpaceDN w:val="0"/>
        <w:adjustRightInd w:val="0"/>
        <w:ind w:left="0" w:firstLine="0"/>
        <w:jc w:val="both"/>
        <w:rPr>
          <w:sz w:val="20"/>
          <w:szCs w:val="20"/>
        </w:rPr>
      </w:pPr>
      <w:r w:rsidRPr="00F7263B">
        <w:rPr>
          <w:sz w:val="20"/>
          <w:szCs w:val="20"/>
        </w:rPr>
        <w:t>Significant measures have been included in the Program design to mitigate identified risks</w:t>
      </w:r>
      <w:r w:rsidR="00656ABB" w:rsidRPr="00F7263B">
        <w:rPr>
          <w:sz w:val="20"/>
          <w:szCs w:val="20"/>
        </w:rPr>
        <w:t>. T</w:t>
      </w:r>
      <w:r w:rsidRPr="00F7263B">
        <w:rPr>
          <w:sz w:val="20"/>
          <w:szCs w:val="20"/>
        </w:rPr>
        <w:t xml:space="preserve">he Bank’s Program team will continuously monitor performance to ensure that both anticipated and unanticipated risks </w:t>
      </w:r>
      <w:r w:rsidR="00656ABB" w:rsidRPr="00F7263B">
        <w:rPr>
          <w:sz w:val="20"/>
          <w:szCs w:val="20"/>
        </w:rPr>
        <w:t>are</w:t>
      </w:r>
      <w:r w:rsidRPr="00F7263B">
        <w:rPr>
          <w:sz w:val="20"/>
          <w:szCs w:val="20"/>
        </w:rPr>
        <w:t>addressed as quickly as possible once they arise</w:t>
      </w:r>
      <w:r w:rsidR="00005667" w:rsidRPr="00F7263B">
        <w:rPr>
          <w:sz w:val="20"/>
          <w:szCs w:val="20"/>
        </w:rPr>
        <w:t xml:space="preserve">.  </w:t>
      </w:r>
      <w:r w:rsidR="0000440B" w:rsidRPr="00F7263B">
        <w:rPr>
          <w:rFonts w:cs="Times New Roman"/>
          <w:sz w:val="20"/>
          <w:szCs w:val="20"/>
        </w:rPr>
        <w:t>The Program action plan will pursue a risk-based approach and will outline the main measures through which risks to the achievement of Program’s PDO will be mitigated</w:t>
      </w:r>
      <w:r w:rsidR="00005667" w:rsidRPr="00F7263B">
        <w:rPr>
          <w:rFonts w:cs="Times New Roman"/>
          <w:sz w:val="20"/>
          <w:szCs w:val="20"/>
        </w:rPr>
        <w:t xml:space="preserve">.  </w:t>
      </w:r>
    </w:p>
    <w:p w:rsidR="009C71B1" w:rsidRPr="00F7263B" w:rsidRDefault="009C71B1" w:rsidP="00556F1B">
      <w:pPr>
        <w:pStyle w:val="ListParagraph"/>
        <w:autoSpaceDE w:val="0"/>
        <w:autoSpaceDN w:val="0"/>
        <w:adjustRightInd w:val="0"/>
        <w:ind w:left="0"/>
        <w:jc w:val="both"/>
        <w:rPr>
          <w:rFonts w:cs="Times New Roman"/>
          <w:sz w:val="20"/>
          <w:szCs w:val="20"/>
        </w:rPr>
      </w:pPr>
    </w:p>
    <w:p w:rsidR="00B66636" w:rsidRPr="00F7263B" w:rsidRDefault="008E6457" w:rsidP="002E2843">
      <w:pPr>
        <w:pStyle w:val="Heading2"/>
        <w:ind w:left="0"/>
        <w:jc w:val="both"/>
        <w:rPr>
          <w:sz w:val="20"/>
          <w:szCs w:val="20"/>
        </w:rPr>
      </w:pPr>
      <w:bookmarkStart w:id="33" w:name="_Toc380167583"/>
      <w:r w:rsidRPr="00F7263B">
        <w:rPr>
          <w:sz w:val="20"/>
          <w:szCs w:val="20"/>
        </w:rPr>
        <w:t>Program Action Plan</w:t>
      </w:r>
      <w:bookmarkEnd w:id="33"/>
    </w:p>
    <w:p w:rsidR="00A672F7" w:rsidRPr="00F7263B" w:rsidRDefault="00A672F7" w:rsidP="002E2843">
      <w:pPr>
        <w:pStyle w:val="ListParagraph"/>
        <w:autoSpaceDE w:val="0"/>
        <w:autoSpaceDN w:val="0"/>
        <w:adjustRightInd w:val="0"/>
        <w:ind w:left="0"/>
        <w:jc w:val="both"/>
        <w:rPr>
          <w:rFonts w:cs="Times New Roman"/>
          <w:sz w:val="20"/>
          <w:szCs w:val="20"/>
        </w:rPr>
      </w:pPr>
    </w:p>
    <w:p w:rsidR="0000440B" w:rsidRPr="00F7263B" w:rsidRDefault="00B25B9B" w:rsidP="00472184">
      <w:pPr>
        <w:pStyle w:val="ListParagraph"/>
        <w:numPr>
          <w:ilvl w:val="0"/>
          <w:numId w:val="9"/>
        </w:numPr>
        <w:autoSpaceDE w:val="0"/>
        <w:autoSpaceDN w:val="0"/>
        <w:adjustRightInd w:val="0"/>
        <w:ind w:left="0" w:firstLine="0"/>
        <w:jc w:val="both"/>
        <w:rPr>
          <w:sz w:val="20"/>
          <w:szCs w:val="20"/>
        </w:rPr>
      </w:pPr>
      <w:r w:rsidRPr="00F7263B">
        <w:rPr>
          <w:rFonts w:cs="Times New Roman"/>
          <w:sz w:val="20"/>
          <w:szCs w:val="20"/>
        </w:rPr>
        <w:t>To address the risks, the MUDHCo, the regional governments, and</w:t>
      </w:r>
      <w:r w:rsidR="00A2314D">
        <w:rPr>
          <w:rFonts w:cs="Times New Roman"/>
          <w:sz w:val="20"/>
          <w:szCs w:val="20"/>
        </w:rPr>
        <w:t xml:space="preserve"> </w:t>
      </w:r>
      <w:r w:rsidRPr="00F7263B">
        <w:rPr>
          <w:rFonts w:cs="Times New Roman"/>
          <w:sz w:val="20"/>
          <w:szCs w:val="20"/>
        </w:rPr>
        <w:t>the ULGs will address the key issues as presented in the Program Action Plan.  The most immediate of the actions are listed below.  The full Program Action Plan is presented in annex</w:t>
      </w:r>
      <w:r w:rsidR="003F2A13" w:rsidRPr="00F7263B">
        <w:rPr>
          <w:rFonts w:cs="Times New Roman"/>
          <w:sz w:val="20"/>
          <w:szCs w:val="20"/>
        </w:rPr>
        <w:t xml:space="preserve"> 8</w:t>
      </w:r>
      <w:r w:rsidRPr="00F7263B">
        <w:rPr>
          <w:rFonts w:cs="Times New Roman"/>
          <w:sz w:val="20"/>
          <w:szCs w:val="20"/>
        </w:rPr>
        <w:t>.</w:t>
      </w:r>
    </w:p>
    <w:p w:rsidR="009B4AD5" w:rsidRPr="00F7263B" w:rsidRDefault="009B4AD5" w:rsidP="009B4AD5">
      <w:pPr>
        <w:pStyle w:val="ListParagraph"/>
        <w:autoSpaceDE w:val="0"/>
        <w:autoSpaceDN w:val="0"/>
        <w:adjustRightInd w:val="0"/>
        <w:ind w:left="0"/>
        <w:jc w:val="both"/>
        <w:rPr>
          <w:sz w:val="20"/>
          <w:szCs w:val="20"/>
        </w:rPr>
      </w:pPr>
    </w:p>
    <w:p w:rsidR="002D489F" w:rsidRPr="00F7263B" w:rsidRDefault="00B25B9B" w:rsidP="00254260">
      <w:pPr>
        <w:pStyle w:val="ListParagraph"/>
        <w:numPr>
          <w:ilvl w:val="0"/>
          <w:numId w:val="93"/>
        </w:numPr>
        <w:autoSpaceDE w:val="0"/>
        <w:autoSpaceDN w:val="0"/>
        <w:adjustRightInd w:val="0"/>
        <w:ind w:left="1440" w:hanging="720"/>
        <w:jc w:val="both"/>
        <w:rPr>
          <w:sz w:val="20"/>
          <w:szCs w:val="20"/>
        </w:rPr>
      </w:pPr>
      <w:r w:rsidRPr="00F7263B">
        <w:rPr>
          <w:rFonts w:cs="Times New Roman"/>
          <w:sz w:val="20"/>
          <w:szCs w:val="20"/>
        </w:rPr>
        <w:t>To ensure s</w:t>
      </w:r>
      <w:r w:rsidR="00927EB0" w:rsidRPr="00F7263B">
        <w:rPr>
          <w:rFonts w:cs="Times New Roman"/>
          <w:sz w:val="20"/>
          <w:szCs w:val="20"/>
        </w:rPr>
        <w:t xml:space="preserve">ufficient capacity in MUDHCo to manage </w:t>
      </w:r>
      <w:r w:rsidR="00E74664" w:rsidRPr="00F7263B">
        <w:rPr>
          <w:rFonts w:cs="Times New Roman"/>
          <w:sz w:val="20"/>
          <w:szCs w:val="20"/>
        </w:rPr>
        <w:t xml:space="preserve">the </w:t>
      </w:r>
      <w:r w:rsidR="00927EB0" w:rsidRPr="00F7263B">
        <w:rPr>
          <w:rFonts w:cs="Times New Roman"/>
          <w:sz w:val="20"/>
          <w:szCs w:val="20"/>
        </w:rPr>
        <w:t>ULGDP II</w:t>
      </w:r>
      <w:r w:rsidRPr="00F7263B">
        <w:rPr>
          <w:rFonts w:cs="Times New Roman"/>
          <w:sz w:val="20"/>
          <w:szCs w:val="20"/>
        </w:rPr>
        <w:t>, the MUDHCo will fill its vacant positions and engage additional staff</w:t>
      </w:r>
      <w:r w:rsidR="00A2314D">
        <w:rPr>
          <w:rFonts w:cs="Times New Roman"/>
          <w:sz w:val="20"/>
          <w:szCs w:val="20"/>
        </w:rPr>
        <w:t xml:space="preserve"> </w:t>
      </w:r>
      <w:r w:rsidR="00E74664" w:rsidRPr="00F7263B">
        <w:rPr>
          <w:rFonts w:cs="Times New Roman"/>
          <w:sz w:val="20"/>
          <w:szCs w:val="20"/>
        </w:rPr>
        <w:t>by early 2015</w:t>
      </w:r>
      <w:r w:rsidRPr="00F7263B">
        <w:rPr>
          <w:rFonts w:cs="Times New Roman"/>
          <w:sz w:val="20"/>
          <w:szCs w:val="20"/>
        </w:rPr>
        <w:t xml:space="preserve">. </w:t>
      </w:r>
    </w:p>
    <w:p w:rsidR="00B25B9B" w:rsidRPr="00F7263B" w:rsidRDefault="00B25B9B" w:rsidP="00254260">
      <w:pPr>
        <w:pStyle w:val="ListParagraph"/>
        <w:numPr>
          <w:ilvl w:val="0"/>
          <w:numId w:val="93"/>
        </w:numPr>
        <w:autoSpaceDE w:val="0"/>
        <w:autoSpaceDN w:val="0"/>
        <w:adjustRightInd w:val="0"/>
        <w:ind w:left="1440" w:hanging="720"/>
        <w:jc w:val="both"/>
        <w:rPr>
          <w:sz w:val="20"/>
          <w:szCs w:val="20"/>
        </w:rPr>
      </w:pPr>
      <w:r w:rsidRPr="00F7263B">
        <w:rPr>
          <w:rFonts w:cs="Times New Roman"/>
          <w:sz w:val="20"/>
          <w:szCs w:val="20"/>
        </w:rPr>
        <w:t xml:space="preserve">To ensure that the independent annual performance assessment is </w:t>
      </w:r>
      <w:r w:rsidR="00E74664" w:rsidRPr="00F7263B">
        <w:rPr>
          <w:rFonts w:cs="Times New Roman"/>
          <w:sz w:val="20"/>
          <w:szCs w:val="20"/>
        </w:rPr>
        <w:t>completed</w:t>
      </w:r>
      <w:r w:rsidRPr="00F7263B">
        <w:rPr>
          <w:rFonts w:cs="Times New Roman"/>
          <w:sz w:val="20"/>
          <w:szCs w:val="20"/>
        </w:rPr>
        <w:t xml:space="preserve"> on </w:t>
      </w:r>
      <w:r w:rsidR="007E5065" w:rsidRPr="00F7263B">
        <w:rPr>
          <w:rFonts w:cs="Times New Roman"/>
          <w:sz w:val="20"/>
          <w:szCs w:val="20"/>
        </w:rPr>
        <w:t>time</w:t>
      </w:r>
      <w:r w:rsidRPr="00F7263B">
        <w:rPr>
          <w:rFonts w:cs="Times New Roman"/>
          <w:sz w:val="20"/>
          <w:szCs w:val="20"/>
        </w:rPr>
        <w:t xml:space="preserve">, the MUDHCo will </w:t>
      </w:r>
      <w:r w:rsidR="00E74664" w:rsidRPr="00F7263B">
        <w:rPr>
          <w:rFonts w:cs="Times New Roman"/>
          <w:sz w:val="20"/>
          <w:szCs w:val="20"/>
        </w:rPr>
        <w:t>contract a firm by end August each year</w:t>
      </w:r>
      <w:r w:rsidRPr="00F7263B">
        <w:rPr>
          <w:rFonts w:cs="Times New Roman"/>
          <w:sz w:val="20"/>
          <w:szCs w:val="20"/>
        </w:rPr>
        <w:t xml:space="preserve">. </w:t>
      </w:r>
    </w:p>
    <w:p w:rsidR="002D489F" w:rsidRPr="00F7263B" w:rsidRDefault="00B25B9B" w:rsidP="00254260">
      <w:pPr>
        <w:pStyle w:val="ListParagraph"/>
        <w:numPr>
          <w:ilvl w:val="0"/>
          <w:numId w:val="93"/>
        </w:numPr>
        <w:autoSpaceDE w:val="0"/>
        <w:autoSpaceDN w:val="0"/>
        <w:adjustRightInd w:val="0"/>
        <w:ind w:left="1440" w:hanging="720"/>
        <w:jc w:val="both"/>
        <w:rPr>
          <w:sz w:val="20"/>
          <w:szCs w:val="20"/>
        </w:rPr>
      </w:pPr>
      <w:r w:rsidRPr="00F7263B">
        <w:rPr>
          <w:rFonts w:cs="Times New Roman"/>
          <w:sz w:val="20"/>
          <w:szCs w:val="20"/>
        </w:rPr>
        <w:t>To ensure sufficient capacity at regional governments to support Program ULGs, the regional governments will fill staffing gaps in core positions such as procurement, M&amp;E and engineering and planning support during implementation.</w:t>
      </w:r>
    </w:p>
    <w:p w:rsidR="002D489F" w:rsidRPr="00F7263B" w:rsidRDefault="00973DDD" w:rsidP="00254260">
      <w:pPr>
        <w:pStyle w:val="ListParagraph"/>
        <w:numPr>
          <w:ilvl w:val="0"/>
          <w:numId w:val="93"/>
        </w:numPr>
        <w:autoSpaceDE w:val="0"/>
        <w:autoSpaceDN w:val="0"/>
        <w:adjustRightInd w:val="0"/>
        <w:ind w:left="1440" w:hanging="720"/>
        <w:jc w:val="both"/>
        <w:rPr>
          <w:sz w:val="20"/>
          <w:szCs w:val="20"/>
        </w:rPr>
      </w:pPr>
      <w:r w:rsidRPr="00F7263B">
        <w:rPr>
          <w:rFonts w:cs="Times New Roman"/>
          <w:sz w:val="20"/>
          <w:szCs w:val="20"/>
        </w:rPr>
        <w:t xml:space="preserve">To ensure that </w:t>
      </w:r>
      <w:r w:rsidR="00B25B9B" w:rsidRPr="00F7263B">
        <w:rPr>
          <w:rFonts w:cs="Times New Roman"/>
          <w:sz w:val="20"/>
          <w:szCs w:val="20"/>
        </w:rPr>
        <w:t>O</w:t>
      </w:r>
      <w:r w:rsidRPr="00F7263B">
        <w:rPr>
          <w:rFonts w:cs="Times New Roman"/>
          <w:sz w:val="20"/>
          <w:szCs w:val="20"/>
        </w:rPr>
        <w:t xml:space="preserve">RAGs </w:t>
      </w:r>
      <w:r w:rsidR="00B25B9B" w:rsidRPr="00F7263B">
        <w:rPr>
          <w:rFonts w:cs="Times New Roman"/>
          <w:sz w:val="20"/>
          <w:szCs w:val="20"/>
        </w:rPr>
        <w:t>execute their audit responsibilities towards ULGs</w:t>
      </w:r>
      <w:r w:rsidRPr="00F7263B">
        <w:rPr>
          <w:rFonts w:cs="Times New Roman"/>
          <w:sz w:val="20"/>
          <w:szCs w:val="20"/>
        </w:rPr>
        <w:t>, regional governments will provide adequate funding and agree with the ORAGs that they will complete audits of</w:t>
      </w:r>
      <w:r w:rsidR="007E5065" w:rsidRPr="00F7263B">
        <w:rPr>
          <w:rFonts w:cs="Times New Roman"/>
          <w:sz w:val="20"/>
          <w:szCs w:val="20"/>
        </w:rPr>
        <w:t>their respective</w:t>
      </w:r>
      <w:r w:rsidR="00A2314D">
        <w:rPr>
          <w:rFonts w:cs="Times New Roman"/>
          <w:sz w:val="20"/>
          <w:szCs w:val="20"/>
        </w:rPr>
        <w:t xml:space="preserve"> </w:t>
      </w:r>
      <w:r w:rsidRPr="00F7263B">
        <w:rPr>
          <w:rFonts w:cs="Times New Roman"/>
          <w:sz w:val="20"/>
          <w:szCs w:val="20"/>
        </w:rPr>
        <w:t>ULGDP II cities by January 7 of each year</w:t>
      </w:r>
      <w:r w:rsidR="007E5065" w:rsidRPr="00F7263B">
        <w:rPr>
          <w:rFonts w:cs="Times New Roman"/>
          <w:sz w:val="20"/>
          <w:szCs w:val="20"/>
        </w:rPr>
        <w:t xml:space="preserve">.  The ORAGs </w:t>
      </w:r>
      <w:r w:rsidRPr="00F7263B">
        <w:rPr>
          <w:rFonts w:cs="Times New Roman"/>
          <w:sz w:val="20"/>
          <w:szCs w:val="20"/>
        </w:rPr>
        <w:t>will</w:t>
      </w:r>
      <w:r w:rsidR="007E5065" w:rsidRPr="00F7263B">
        <w:rPr>
          <w:rFonts w:cs="Times New Roman"/>
          <w:sz w:val="20"/>
          <w:szCs w:val="20"/>
        </w:rPr>
        <w:t xml:space="preserve"> also</w:t>
      </w:r>
      <w:r w:rsidRPr="00F7263B">
        <w:rPr>
          <w:rFonts w:cs="Times New Roman"/>
          <w:sz w:val="20"/>
          <w:szCs w:val="20"/>
        </w:rPr>
        <w:t xml:space="preserve"> deal urgently with any backlogs in audits</w:t>
      </w:r>
      <w:r w:rsidR="00B25B9B" w:rsidRPr="00F7263B">
        <w:rPr>
          <w:rFonts w:cs="Times New Roman"/>
          <w:sz w:val="20"/>
          <w:szCs w:val="20"/>
        </w:rPr>
        <w:t>.</w:t>
      </w:r>
    </w:p>
    <w:p w:rsidR="00B25B9B" w:rsidRPr="00F7263B" w:rsidRDefault="005A648B" w:rsidP="00254260">
      <w:pPr>
        <w:pStyle w:val="ListParagraph"/>
        <w:numPr>
          <w:ilvl w:val="0"/>
          <w:numId w:val="93"/>
        </w:numPr>
        <w:autoSpaceDE w:val="0"/>
        <w:autoSpaceDN w:val="0"/>
        <w:adjustRightInd w:val="0"/>
        <w:ind w:left="1440" w:hanging="720"/>
        <w:jc w:val="both"/>
        <w:rPr>
          <w:sz w:val="20"/>
          <w:szCs w:val="20"/>
        </w:rPr>
      </w:pPr>
      <w:r w:rsidRPr="00F7263B">
        <w:rPr>
          <w:rFonts w:cs="Times New Roman"/>
          <w:sz w:val="20"/>
          <w:szCs w:val="20"/>
        </w:rPr>
        <w:t xml:space="preserve">To ensure that </w:t>
      </w:r>
      <w:r w:rsidR="00B25B9B" w:rsidRPr="00F7263B">
        <w:rPr>
          <w:rFonts w:cs="Times New Roman"/>
          <w:sz w:val="20"/>
          <w:szCs w:val="20"/>
        </w:rPr>
        <w:t xml:space="preserve">ULGs </w:t>
      </w:r>
      <w:r w:rsidRPr="00F7263B">
        <w:rPr>
          <w:rFonts w:cs="Times New Roman"/>
          <w:sz w:val="20"/>
          <w:szCs w:val="20"/>
        </w:rPr>
        <w:t>have sufficient capacity to participate in the</w:t>
      </w:r>
      <w:r w:rsidR="00B25B9B" w:rsidRPr="00F7263B">
        <w:rPr>
          <w:rFonts w:cs="Times New Roman"/>
          <w:sz w:val="20"/>
          <w:szCs w:val="20"/>
        </w:rPr>
        <w:t xml:space="preserve"> Program</w:t>
      </w:r>
      <w:r w:rsidRPr="00F7263B">
        <w:rPr>
          <w:rFonts w:cs="Times New Roman"/>
          <w:sz w:val="20"/>
          <w:szCs w:val="20"/>
        </w:rPr>
        <w:t xml:space="preserve">, </w:t>
      </w:r>
      <w:r w:rsidRPr="00F7263B">
        <w:rPr>
          <w:rFonts w:cs="Times New Roman"/>
          <w:bCs/>
          <w:sz w:val="20"/>
          <w:szCs w:val="20"/>
        </w:rPr>
        <w:t xml:space="preserve">ULGs will throughout implementation </w:t>
      </w:r>
      <w:r w:rsidR="0042217B" w:rsidRPr="00F7263B">
        <w:rPr>
          <w:rFonts w:cs="Times New Roman"/>
          <w:bCs/>
          <w:sz w:val="20"/>
          <w:szCs w:val="20"/>
        </w:rPr>
        <w:t>maintain</w:t>
      </w:r>
      <w:r w:rsidRPr="00F7263B">
        <w:rPr>
          <w:rFonts w:cs="Times New Roman"/>
          <w:bCs/>
          <w:sz w:val="20"/>
          <w:szCs w:val="20"/>
        </w:rPr>
        <w:t xml:space="preserve"> focal persons under the coordination of the city manager in the following areas: revenue mobilization, procurement, environmental and social sustainability, M&amp;E, </w:t>
      </w:r>
      <w:r w:rsidR="005220D0" w:rsidRPr="00F7263B">
        <w:rPr>
          <w:rFonts w:cs="Times New Roman"/>
          <w:bCs/>
          <w:sz w:val="20"/>
          <w:szCs w:val="20"/>
        </w:rPr>
        <w:t>civil engineering,</w:t>
      </w:r>
      <w:r w:rsidR="00A2314D">
        <w:rPr>
          <w:rFonts w:cs="Times New Roman"/>
          <w:bCs/>
          <w:sz w:val="20"/>
          <w:szCs w:val="20"/>
        </w:rPr>
        <w:t xml:space="preserve"> </w:t>
      </w:r>
      <w:r w:rsidR="005220D0" w:rsidRPr="00F7263B">
        <w:rPr>
          <w:rFonts w:cs="Times New Roman"/>
          <w:bCs/>
          <w:sz w:val="20"/>
          <w:szCs w:val="20"/>
        </w:rPr>
        <w:t xml:space="preserve">and </w:t>
      </w:r>
      <w:r w:rsidRPr="00F7263B">
        <w:rPr>
          <w:rFonts w:cs="Times New Roman"/>
          <w:bCs/>
          <w:sz w:val="20"/>
          <w:szCs w:val="20"/>
        </w:rPr>
        <w:t>public financial management</w:t>
      </w:r>
      <w:r w:rsidR="005220D0" w:rsidRPr="00F7263B">
        <w:rPr>
          <w:rFonts w:cs="Times New Roman"/>
          <w:bCs/>
          <w:sz w:val="20"/>
          <w:szCs w:val="20"/>
        </w:rPr>
        <w:t>,</w:t>
      </w:r>
      <w:r w:rsidRPr="00F7263B">
        <w:rPr>
          <w:rFonts w:cs="Times New Roman"/>
          <w:bCs/>
          <w:sz w:val="20"/>
          <w:szCs w:val="20"/>
        </w:rPr>
        <w:t xml:space="preserve"> linked with the functioning internal audit unit</w:t>
      </w:r>
      <w:r w:rsidR="007E5065" w:rsidRPr="00F7263B">
        <w:rPr>
          <w:rFonts w:cs="Times New Roman"/>
          <w:bCs/>
          <w:sz w:val="20"/>
          <w:szCs w:val="20"/>
        </w:rPr>
        <w:t xml:space="preserve">. </w:t>
      </w:r>
    </w:p>
    <w:p w:rsidR="00B25B9B" w:rsidRPr="00F7263B" w:rsidRDefault="00B25B9B" w:rsidP="009B4AD5">
      <w:pPr>
        <w:pStyle w:val="ListParagraph"/>
        <w:autoSpaceDE w:val="0"/>
        <w:autoSpaceDN w:val="0"/>
        <w:adjustRightInd w:val="0"/>
        <w:ind w:left="0"/>
        <w:jc w:val="both"/>
        <w:rPr>
          <w:sz w:val="20"/>
          <w:szCs w:val="20"/>
        </w:rPr>
      </w:pPr>
    </w:p>
    <w:p w:rsidR="00343654" w:rsidRPr="00F7263B" w:rsidRDefault="00343654" w:rsidP="007524FA">
      <w:pPr>
        <w:pStyle w:val="Caption"/>
        <w:jc w:val="center"/>
        <w:sectPr w:rsidR="00343654" w:rsidRPr="00F7263B" w:rsidSect="004D2289">
          <w:footerReference w:type="first" r:id="rId15"/>
          <w:pgSz w:w="12240" w:h="15840"/>
          <w:pgMar w:top="720" w:right="1440" w:bottom="990" w:left="1440" w:header="720" w:footer="720" w:gutter="0"/>
          <w:cols w:space="720"/>
          <w:docGrid w:linePitch="360"/>
        </w:sectPr>
      </w:pPr>
      <w:bookmarkStart w:id="34" w:name="_Toc374060176"/>
      <w:bookmarkStart w:id="35" w:name="_Toc380087827"/>
    </w:p>
    <w:p w:rsidR="00CF260B" w:rsidRPr="00F7263B" w:rsidRDefault="007524FA" w:rsidP="007524FA">
      <w:pPr>
        <w:pStyle w:val="Caption"/>
        <w:jc w:val="center"/>
      </w:pPr>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1</w:t>
      </w:r>
      <w:r w:rsidR="00B845BE" w:rsidRPr="00F7263B">
        <w:fldChar w:fldCharType="end"/>
      </w:r>
      <w:r w:rsidR="001D2940" w:rsidRPr="00F7263B">
        <w:t>: Detailed Program Description</w:t>
      </w:r>
      <w:bookmarkEnd w:id="34"/>
      <w:bookmarkEnd w:id="35"/>
    </w:p>
    <w:p w:rsidR="00F12CAB" w:rsidRPr="00F7263B" w:rsidRDefault="00F12CAB" w:rsidP="00556F1B">
      <w:pPr>
        <w:pStyle w:val="NoSpacing"/>
        <w:jc w:val="both"/>
        <w:rPr>
          <w:rFonts w:ascii="Times New Roman" w:hAnsi="Times New Roman" w:cs="Times New Roman"/>
          <w:b/>
          <w:sz w:val="20"/>
          <w:szCs w:val="20"/>
        </w:rPr>
      </w:pPr>
    </w:p>
    <w:p w:rsidR="007B6DA5" w:rsidRPr="00F7263B" w:rsidRDefault="007524FA" w:rsidP="000E0CAE">
      <w:pPr>
        <w:rPr>
          <w:b/>
          <w:sz w:val="20"/>
          <w:szCs w:val="20"/>
        </w:rPr>
      </w:pPr>
      <w:r w:rsidRPr="00F7263B">
        <w:rPr>
          <w:b/>
          <w:sz w:val="20"/>
          <w:szCs w:val="20"/>
        </w:rPr>
        <w:t>PDO</w:t>
      </w:r>
    </w:p>
    <w:p w:rsidR="007B6DA5" w:rsidRPr="00F7263B" w:rsidRDefault="007B6DA5" w:rsidP="007B6DA5">
      <w:pPr>
        <w:rPr>
          <w:sz w:val="20"/>
          <w:szCs w:val="20"/>
        </w:rPr>
      </w:pPr>
    </w:p>
    <w:p w:rsidR="006E7278" w:rsidRPr="00F7263B" w:rsidRDefault="007B6DA5" w:rsidP="00827BD7">
      <w:pPr>
        <w:pStyle w:val="ListParagraph"/>
        <w:numPr>
          <w:ilvl w:val="0"/>
          <w:numId w:val="29"/>
        </w:numPr>
        <w:ind w:left="0" w:firstLine="0"/>
        <w:jc w:val="both"/>
        <w:rPr>
          <w:sz w:val="20"/>
          <w:szCs w:val="20"/>
        </w:rPr>
      </w:pPr>
      <w:r w:rsidRPr="00F7263B">
        <w:rPr>
          <w:rFonts w:cs="Times New Roman"/>
          <w:color w:val="000000"/>
          <w:sz w:val="20"/>
          <w:szCs w:val="20"/>
        </w:rPr>
        <w:t>The Program Development Objective (PDO) is to enhance the institutional performance of participating urban local governments in developing and sustaining urban infrastructure and services</w:t>
      </w:r>
      <w:r w:rsidR="000E263D" w:rsidRPr="00F7263B">
        <w:rPr>
          <w:rFonts w:cs="Times New Roman"/>
          <w:color w:val="000000"/>
          <w:sz w:val="20"/>
          <w:szCs w:val="20"/>
        </w:rPr>
        <w:t xml:space="preserve">.  </w:t>
      </w:r>
    </w:p>
    <w:p w:rsidR="000E0CAE" w:rsidRPr="00F7263B" w:rsidRDefault="000E0CAE" w:rsidP="000E0CAE">
      <w:pPr>
        <w:rPr>
          <w:b/>
          <w:sz w:val="20"/>
          <w:szCs w:val="20"/>
        </w:rPr>
      </w:pPr>
    </w:p>
    <w:p w:rsidR="007B6DA5" w:rsidRPr="00F7263B" w:rsidRDefault="007B6DA5" w:rsidP="000E0CAE">
      <w:pPr>
        <w:rPr>
          <w:b/>
          <w:sz w:val="20"/>
          <w:szCs w:val="20"/>
        </w:rPr>
      </w:pPr>
      <w:r w:rsidRPr="00F7263B">
        <w:rPr>
          <w:b/>
          <w:sz w:val="20"/>
          <w:szCs w:val="20"/>
        </w:rPr>
        <w:t>P</w:t>
      </w:r>
      <w:r w:rsidR="000E0CAE" w:rsidRPr="00F7263B">
        <w:rPr>
          <w:b/>
          <w:sz w:val="20"/>
          <w:szCs w:val="20"/>
        </w:rPr>
        <w:t xml:space="preserve">rogram </w:t>
      </w:r>
      <w:r w:rsidRPr="00F7263B">
        <w:rPr>
          <w:b/>
          <w:sz w:val="20"/>
          <w:szCs w:val="20"/>
        </w:rPr>
        <w:t>S</w:t>
      </w:r>
      <w:r w:rsidR="000E0CAE" w:rsidRPr="00F7263B">
        <w:rPr>
          <w:b/>
          <w:sz w:val="20"/>
          <w:szCs w:val="20"/>
        </w:rPr>
        <w:t>cope</w:t>
      </w:r>
    </w:p>
    <w:p w:rsidR="007B6DA5" w:rsidRPr="00F7263B" w:rsidRDefault="007B6DA5" w:rsidP="000E0CAE">
      <w:pPr>
        <w:rPr>
          <w:sz w:val="20"/>
          <w:szCs w:val="20"/>
        </w:rPr>
      </w:pPr>
    </w:p>
    <w:p w:rsidR="006E7278" w:rsidRPr="00F7263B" w:rsidRDefault="007B6DA5" w:rsidP="00827BD7">
      <w:pPr>
        <w:pStyle w:val="ListParagraph"/>
        <w:numPr>
          <w:ilvl w:val="0"/>
          <w:numId w:val="29"/>
        </w:numPr>
        <w:ind w:left="0" w:firstLine="0"/>
        <w:jc w:val="both"/>
        <w:rPr>
          <w:sz w:val="20"/>
          <w:szCs w:val="20"/>
        </w:rPr>
      </w:pPr>
      <w:r w:rsidRPr="00F7263B">
        <w:rPr>
          <w:rFonts w:cs="Times New Roman"/>
          <w:b/>
          <w:sz w:val="20"/>
          <w:szCs w:val="20"/>
        </w:rPr>
        <w:t>Under the proposed ULGDP II, the government of Ethiopia</w:t>
      </w:r>
      <w:r w:rsidR="00A2314D">
        <w:rPr>
          <w:rFonts w:cs="Times New Roman"/>
          <w:b/>
          <w:sz w:val="20"/>
          <w:szCs w:val="20"/>
        </w:rPr>
        <w:t xml:space="preserve"> </w:t>
      </w:r>
      <w:r w:rsidRPr="00F7263B">
        <w:rPr>
          <w:rFonts w:cs="Times New Roman"/>
          <w:b/>
          <w:sz w:val="20"/>
          <w:szCs w:val="20"/>
        </w:rPr>
        <w:t xml:space="preserve">intends to expand the coverage of the </w:t>
      </w:r>
      <w:r w:rsidR="00D0377C" w:rsidRPr="00F7263B">
        <w:rPr>
          <w:rFonts w:cs="Times New Roman"/>
          <w:b/>
          <w:sz w:val="20"/>
          <w:szCs w:val="20"/>
        </w:rPr>
        <w:t>performance-based</w:t>
      </w:r>
      <w:r w:rsidRPr="00F7263B">
        <w:rPr>
          <w:rFonts w:cs="Times New Roman"/>
          <w:b/>
          <w:sz w:val="20"/>
          <w:szCs w:val="20"/>
        </w:rPr>
        <w:t xml:space="preserve"> fiscal transfer instrument to 26 additional cities, bringing the total covered to 44</w:t>
      </w:r>
      <w:r w:rsidR="000E263D" w:rsidRPr="00F7263B">
        <w:rPr>
          <w:rFonts w:cs="Times New Roman"/>
          <w:b/>
          <w:sz w:val="20"/>
          <w:szCs w:val="20"/>
        </w:rPr>
        <w:t xml:space="preserve">.  </w:t>
      </w:r>
      <w:r w:rsidRPr="00F7263B">
        <w:rPr>
          <w:rFonts w:cs="Times New Roman"/>
          <w:sz w:val="20"/>
          <w:szCs w:val="20"/>
        </w:rPr>
        <w:t>These 26 ULGs represent the next tier of important cities in the country with the highest populations</w:t>
      </w:r>
      <w:r w:rsidR="000E263D" w:rsidRPr="00F7263B">
        <w:rPr>
          <w:rFonts w:cs="Times New Roman"/>
          <w:sz w:val="20"/>
          <w:szCs w:val="20"/>
        </w:rPr>
        <w:t xml:space="preserve">.  </w:t>
      </w:r>
      <w:r w:rsidRPr="00F7263B">
        <w:rPr>
          <w:rFonts w:cs="Times New Roman"/>
          <w:sz w:val="20"/>
          <w:szCs w:val="20"/>
        </w:rPr>
        <w:t xml:space="preserve">Over time, the government intends to roll out the </w:t>
      </w:r>
      <w:r w:rsidR="00D0377C" w:rsidRPr="00F7263B">
        <w:rPr>
          <w:rFonts w:cs="Times New Roman"/>
          <w:sz w:val="20"/>
          <w:szCs w:val="20"/>
        </w:rPr>
        <w:t>performance-based</w:t>
      </w:r>
      <w:r w:rsidRPr="00F7263B">
        <w:rPr>
          <w:rFonts w:cs="Times New Roman"/>
          <w:sz w:val="20"/>
          <w:szCs w:val="20"/>
        </w:rPr>
        <w:t xml:space="preserve"> fiscal transfer instrument to all 84 ULGs in the country</w:t>
      </w:r>
      <w:r w:rsidR="000E263D" w:rsidRPr="00F7263B">
        <w:rPr>
          <w:rFonts w:cs="Times New Roman"/>
          <w:sz w:val="20"/>
          <w:szCs w:val="20"/>
        </w:rPr>
        <w:t xml:space="preserve">.  </w:t>
      </w:r>
      <w:r w:rsidRPr="00F7263B">
        <w:rPr>
          <w:rFonts w:cs="Times New Roman"/>
          <w:sz w:val="20"/>
          <w:szCs w:val="20"/>
        </w:rPr>
        <w:t xml:space="preserve">The existing ULGDP </w:t>
      </w:r>
      <w:r w:rsidRPr="00F7263B">
        <w:rPr>
          <w:rFonts w:cs="Times New Roman"/>
          <w:color w:val="000000"/>
          <w:sz w:val="20"/>
          <w:szCs w:val="20"/>
        </w:rPr>
        <w:t>constitutes</w:t>
      </w:r>
      <w:r w:rsidRPr="00F7263B">
        <w:rPr>
          <w:rFonts w:cs="Times New Roman"/>
          <w:sz w:val="20"/>
          <w:szCs w:val="20"/>
        </w:rPr>
        <w:t xml:space="preserve"> phase one of the policy</w:t>
      </w:r>
      <w:r w:rsidR="000E263D" w:rsidRPr="00F7263B">
        <w:rPr>
          <w:rFonts w:cs="Times New Roman"/>
          <w:sz w:val="20"/>
          <w:szCs w:val="20"/>
        </w:rPr>
        <w:t xml:space="preserve">.  </w:t>
      </w:r>
      <w:r w:rsidRPr="00F7263B">
        <w:rPr>
          <w:rFonts w:cs="Times New Roman"/>
          <w:sz w:val="20"/>
          <w:szCs w:val="20"/>
        </w:rPr>
        <w:t>The proposed ULGDP II covering 44 ULGs will be phase two</w:t>
      </w:r>
      <w:r w:rsidR="000E263D" w:rsidRPr="00F7263B">
        <w:rPr>
          <w:rFonts w:cs="Times New Roman"/>
          <w:sz w:val="20"/>
          <w:szCs w:val="20"/>
        </w:rPr>
        <w:t xml:space="preserve">.  </w:t>
      </w:r>
      <w:r w:rsidRPr="00F7263B">
        <w:rPr>
          <w:rFonts w:cs="Times New Roman"/>
          <w:sz w:val="20"/>
          <w:szCs w:val="20"/>
        </w:rPr>
        <w:t>The proposed ULGDP II will support cities with a total population of 4.3 million, or about 26 percent of the total urban population.</w:t>
      </w:r>
      <w:r w:rsidRPr="00F7263B">
        <w:rPr>
          <w:rStyle w:val="FootnoteReference"/>
          <w:rFonts w:cs="Times New Roman"/>
          <w:sz w:val="20"/>
          <w:szCs w:val="20"/>
        </w:rPr>
        <w:footnoteReference w:id="20"/>
      </w:r>
      <w:r w:rsidRPr="00F7263B">
        <w:rPr>
          <w:rFonts w:cs="Times New Roman"/>
          <w:sz w:val="20"/>
          <w:szCs w:val="20"/>
        </w:rPr>
        <w:t xml:space="preserve">  In addition, the government plans,</w:t>
      </w:r>
      <w:r w:rsidR="00A2314D">
        <w:rPr>
          <w:rFonts w:cs="Times New Roman"/>
          <w:sz w:val="20"/>
          <w:szCs w:val="20"/>
        </w:rPr>
        <w:t xml:space="preserve"> </w:t>
      </w:r>
      <w:r w:rsidRPr="00F7263B">
        <w:rPr>
          <w:rFonts w:cs="Times New Roman"/>
          <w:sz w:val="20"/>
          <w:szCs w:val="20"/>
        </w:rPr>
        <w:t>under ULGDP II, to assist the country’s nine regional governments to more effectively play their role in supporting cities growth and development</w:t>
      </w:r>
      <w:r w:rsidR="000E263D" w:rsidRPr="00F7263B">
        <w:rPr>
          <w:rFonts w:cs="Times New Roman"/>
          <w:sz w:val="20"/>
          <w:szCs w:val="20"/>
        </w:rPr>
        <w:t xml:space="preserve">.  </w:t>
      </w:r>
    </w:p>
    <w:p w:rsidR="007B6DA5" w:rsidRPr="00F7263B" w:rsidRDefault="007B6DA5" w:rsidP="001B5D92">
      <w:pPr>
        <w:pStyle w:val="ListParagraph"/>
        <w:spacing w:after="200" w:line="276" w:lineRule="auto"/>
        <w:ind w:left="360"/>
        <w:jc w:val="both"/>
        <w:rPr>
          <w:sz w:val="20"/>
          <w:szCs w:val="20"/>
        </w:rPr>
      </w:pPr>
    </w:p>
    <w:p w:rsidR="006E7278" w:rsidRPr="00F7263B" w:rsidRDefault="007B6DA5" w:rsidP="00827BD7">
      <w:pPr>
        <w:pStyle w:val="ListParagraph"/>
        <w:numPr>
          <w:ilvl w:val="0"/>
          <w:numId w:val="29"/>
        </w:numPr>
        <w:ind w:left="360"/>
        <w:jc w:val="both"/>
        <w:rPr>
          <w:sz w:val="20"/>
          <w:szCs w:val="20"/>
        </w:rPr>
      </w:pPr>
      <w:r w:rsidRPr="00F7263B">
        <w:rPr>
          <w:rFonts w:cs="Times New Roman"/>
          <w:b/>
          <w:sz w:val="20"/>
          <w:szCs w:val="20"/>
        </w:rPr>
        <w:t>ULGDP-II’s main features</w:t>
      </w:r>
      <w:r w:rsidRPr="00F7263B">
        <w:rPr>
          <w:rFonts w:cs="Times New Roman"/>
          <w:sz w:val="20"/>
          <w:szCs w:val="20"/>
        </w:rPr>
        <w:t xml:space="preserve"> are defined as: </w:t>
      </w:r>
    </w:p>
    <w:p w:rsidR="00482274" w:rsidRPr="00F7263B" w:rsidRDefault="00482274" w:rsidP="00482274">
      <w:pPr>
        <w:pStyle w:val="ListParagraph"/>
        <w:rPr>
          <w:sz w:val="20"/>
          <w:szCs w:val="20"/>
        </w:rPr>
      </w:pPr>
    </w:p>
    <w:p w:rsidR="007B6DA5" w:rsidRPr="00F7263B" w:rsidRDefault="007B6DA5" w:rsidP="00D92D63">
      <w:pPr>
        <w:pStyle w:val="ListParagraph"/>
        <w:numPr>
          <w:ilvl w:val="1"/>
          <w:numId w:val="9"/>
        </w:numPr>
        <w:ind w:left="1260"/>
        <w:jc w:val="both"/>
        <w:rPr>
          <w:sz w:val="20"/>
          <w:szCs w:val="20"/>
        </w:rPr>
      </w:pPr>
      <w:r w:rsidRPr="00F7263B">
        <w:rPr>
          <w:b/>
          <w:i/>
          <w:sz w:val="20"/>
          <w:szCs w:val="20"/>
        </w:rPr>
        <w:t>Program duration</w:t>
      </w:r>
      <w:r w:rsidRPr="00F7263B">
        <w:rPr>
          <w:sz w:val="20"/>
          <w:szCs w:val="20"/>
        </w:rPr>
        <w:t>: five</w:t>
      </w:r>
      <w:r w:rsidR="00A94105" w:rsidRPr="00F7263B">
        <w:rPr>
          <w:sz w:val="20"/>
          <w:szCs w:val="20"/>
        </w:rPr>
        <w:t xml:space="preserve"> and a half</w:t>
      </w:r>
      <w:r w:rsidRPr="00F7263B">
        <w:rPr>
          <w:sz w:val="20"/>
          <w:szCs w:val="20"/>
        </w:rPr>
        <w:t xml:space="preserve"> years – </w:t>
      </w:r>
      <w:r w:rsidR="00A32610" w:rsidRPr="00F7263B">
        <w:rPr>
          <w:sz w:val="20"/>
          <w:szCs w:val="20"/>
        </w:rPr>
        <w:t>July 201</w:t>
      </w:r>
      <w:r w:rsidR="00A94105" w:rsidRPr="00F7263B">
        <w:rPr>
          <w:sz w:val="20"/>
          <w:szCs w:val="20"/>
        </w:rPr>
        <w:t>4</w:t>
      </w:r>
      <w:r w:rsidRPr="00F7263B">
        <w:rPr>
          <w:sz w:val="20"/>
          <w:szCs w:val="20"/>
        </w:rPr>
        <w:t xml:space="preserve"> through </w:t>
      </w:r>
      <w:r w:rsidR="00A32610" w:rsidRPr="00F7263B">
        <w:rPr>
          <w:sz w:val="20"/>
          <w:szCs w:val="20"/>
        </w:rPr>
        <w:t>December 20</w:t>
      </w:r>
      <w:r w:rsidRPr="00F7263B">
        <w:rPr>
          <w:rFonts w:cs="Times New Roman"/>
          <w:sz w:val="20"/>
          <w:szCs w:val="20"/>
        </w:rPr>
        <w:t>19</w:t>
      </w:r>
      <w:r w:rsidRPr="00F7263B">
        <w:rPr>
          <w:sz w:val="20"/>
          <w:szCs w:val="20"/>
        </w:rPr>
        <w:t>.</w:t>
      </w:r>
    </w:p>
    <w:p w:rsidR="007B6DA5" w:rsidRPr="00F7263B" w:rsidRDefault="007B6DA5" w:rsidP="00D92D63">
      <w:pPr>
        <w:pStyle w:val="ListParagraph"/>
        <w:numPr>
          <w:ilvl w:val="1"/>
          <w:numId w:val="9"/>
        </w:numPr>
        <w:ind w:left="1260"/>
        <w:jc w:val="both"/>
        <w:rPr>
          <w:sz w:val="20"/>
          <w:szCs w:val="20"/>
        </w:rPr>
      </w:pPr>
      <w:r w:rsidRPr="00F7263B">
        <w:rPr>
          <w:b/>
          <w:i/>
          <w:sz w:val="20"/>
          <w:szCs w:val="20"/>
        </w:rPr>
        <w:t>Program budget envelope</w:t>
      </w:r>
      <w:r w:rsidRPr="00F7263B">
        <w:rPr>
          <w:sz w:val="20"/>
          <w:szCs w:val="20"/>
        </w:rPr>
        <w:t>: US$5</w:t>
      </w:r>
      <w:r w:rsidR="00BE08B9" w:rsidRPr="00F7263B">
        <w:rPr>
          <w:sz w:val="20"/>
          <w:szCs w:val="20"/>
        </w:rPr>
        <w:t>56.5</w:t>
      </w:r>
      <w:r w:rsidR="007776B5" w:rsidRPr="00F7263B">
        <w:rPr>
          <w:sz w:val="20"/>
          <w:szCs w:val="20"/>
        </w:rPr>
        <w:t>3</w:t>
      </w:r>
      <w:r w:rsidRPr="00F7263B">
        <w:rPr>
          <w:sz w:val="20"/>
          <w:szCs w:val="20"/>
        </w:rPr>
        <w:t xml:space="preserve"> million (table </w:t>
      </w:r>
      <w:r w:rsidR="00A32610" w:rsidRPr="00F7263B">
        <w:rPr>
          <w:sz w:val="20"/>
          <w:szCs w:val="20"/>
        </w:rPr>
        <w:t>1</w:t>
      </w:r>
      <w:r w:rsidRPr="00F7263B">
        <w:rPr>
          <w:sz w:val="20"/>
          <w:szCs w:val="20"/>
        </w:rPr>
        <w:t>, below).</w:t>
      </w:r>
    </w:p>
    <w:p w:rsidR="007B6DA5" w:rsidRPr="00F7263B" w:rsidRDefault="007B6DA5" w:rsidP="00D92D63">
      <w:pPr>
        <w:pStyle w:val="ListParagraph"/>
        <w:numPr>
          <w:ilvl w:val="1"/>
          <w:numId w:val="9"/>
        </w:numPr>
        <w:ind w:left="1260"/>
        <w:jc w:val="both"/>
        <w:rPr>
          <w:sz w:val="20"/>
          <w:szCs w:val="20"/>
        </w:rPr>
      </w:pPr>
      <w:r w:rsidRPr="00F7263B">
        <w:rPr>
          <w:b/>
          <w:i/>
          <w:sz w:val="20"/>
          <w:szCs w:val="20"/>
        </w:rPr>
        <w:t>Main expenditure items</w:t>
      </w:r>
      <w:r w:rsidRPr="00F7263B">
        <w:rPr>
          <w:b/>
          <w:sz w:val="20"/>
          <w:szCs w:val="20"/>
        </w:rPr>
        <w:t>:</w:t>
      </w:r>
    </w:p>
    <w:p w:rsidR="006E7278" w:rsidRPr="00F7263B" w:rsidRDefault="007B6DA5" w:rsidP="00056FC8">
      <w:pPr>
        <w:numPr>
          <w:ilvl w:val="1"/>
          <w:numId w:val="32"/>
        </w:numPr>
        <w:spacing w:after="200"/>
        <w:ind w:left="1800"/>
        <w:contextualSpacing/>
        <w:jc w:val="both"/>
        <w:rPr>
          <w:rFonts w:cs="Times New Roman"/>
          <w:sz w:val="20"/>
          <w:szCs w:val="20"/>
        </w:rPr>
      </w:pPr>
      <w:r w:rsidRPr="00F7263B">
        <w:rPr>
          <w:rFonts w:cs="Times New Roman"/>
          <w:sz w:val="20"/>
          <w:szCs w:val="20"/>
        </w:rPr>
        <w:t>Performance based grants to 44 ULGs for urban infrastructure and services investments and capacity building (US$4</w:t>
      </w:r>
      <w:r w:rsidR="00BE08B9" w:rsidRPr="00F7263B">
        <w:rPr>
          <w:rFonts w:cs="Times New Roman"/>
          <w:sz w:val="20"/>
          <w:szCs w:val="20"/>
        </w:rPr>
        <w:t>99.5</w:t>
      </w:r>
      <w:r w:rsidR="007776B5" w:rsidRPr="00F7263B">
        <w:rPr>
          <w:rFonts w:cs="Times New Roman"/>
          <w:sz w:val="20"/>
          <w:szCs w:val="20"/>
        </w:rPr>
        <w:t>3</w:t>
      </w:r>
      <w:r w:rsidRPr="00F7263B">
        <w:rPr>
          <w:rFonts w:cs="Times New Roman"/>
          <w:sz w:val="20"/>
          <w:szCs w:val="20"/>
        </w:rPr>
        <w:t xml:space="preserve"> million);</w:t>
      </w:r>
    </w:p>
    <w:p w:rsidR="006E7278" w:rsidRPr="00F7263B" w:rsidRDefault="007B6DA5" w:rsidP="00056FC8">
      <w:pPr>
        <w:numPr>
          <w:ilvl w:val="1"/>
          <w:numId w:val="32"/>
        </w:numPr>
        <w:spacing w:after="200"/>
        <w:ind w:left="1800"/>
        <w:contextualSpacing/>
        <w:jc w:val="both"/>
        <w:rPr>
          <w:rFonts w:cs="Times New Roman"/>
          <w:sz w:val="20"/>
          <w:szCs w:val="20"/>
        </w:rPr>
      </w:pPr>
      <w:r w:rsidRPr="00F7263B">
        <w:rPr>
          <w:rFonts w:cs="Times New Roman"/>
          <w:sz w:val="20"/>
          <w:szCs w:val="20"/>
        </w:rPr>
        <w:t>Regional governments capacity building and oversight/support to constituent ULGs (US$</w:t>
      </w:r>
      <w:r w:rsidR="00BE08B9" w:rsidRPr="00F7263B">
        <w:rPr>
          <w:rFonts w:cs="Times New Roman"/>
          <w:sz w:val="20"/>
          <w:szCs w:val="20"/>
        </w:rPr>
        <w:t>30</w:t>
      </w:r>
      <w:r w:rsidR="007776B5" w:rsidRPr="00F7263B">
        <w:rPr>
          <w:rFonts w:cs="Times New Roman"/>
          <w:sz w:val="20"/>
          <w:szCs w:val="20"/>
        </w:rPr>
        <w:t>.00</w:t>
      </w:r>
      <w:r w:rsidRPr="00F7263B">
        <w:rPr>
          <w:rFonts w:cs="Times New Roman"/>
          <w:sz w:val="20"/>
          <w:szCs w:val="20"/>
        </w:rPr>
        <w:t xml:space="preserve"> million); </w:t>
      </w:r>
    </w:p>
    <w:p w:rsidR="006E7278" w:rsidRPr="00F7263B" w:rsidRDefault="00821460" w:rsidP="00056FC8">
      <w:pPr>
        <w:numPr>
          <w:ilvl w:val="1"/>
          <w:numId w:val="32"/>
        </w:numPr>
        <w:spacing w:after="200"/>
        <w:ind w:left="1800"/>
        <w:contextualSpacing/>
        <w:jc w:val="both"/>
        <w:rPr>
          <w:rFonts w:cs="Times New Roman"/>
          <w:sz w:val="20"/>
          <w:szCs w:val="20"/>
        </w:rPr>
      </w:pPr>
      <w:r w:rsidRPr="00F7263B">
        <w:rPr>
          <w:rFonts w:cs="Times New Roman"/>
          <w:sz w:val="20"/>
          <w:szCs w:val="20"/>
        </w:rPr>
        <w:t>MUDHCo</w:t>
      </w:r>
      <w:r w:rsidR="007B6DA5" w:rsidRPr="00F7263B">
        <w:rPr>
          <w:rFonts w:cs="Times New Roman"/>
          <w:sz w:val="20"/>
          <w:szCs w:val="20"/>
        </w:rPr>
        <w:t xml:space="preserve"> to administer and coordinate the program, and strengthen its capacity to support and guide the regions and ULGs (US$2</w:t>
      </w:r>
      <w:r w:rsidR="00BE08B9" w:rsidRPr="00F7263B">
        <w:rPr>
          <w:rFonts w:cs="Times New Roman"/>
          <w:sz w:val="20"/>
          <w:szCs w:val="20"/>
        </w:rPr>
        <w:t>7</w:t>
      </w:r>
      <w:r w:rsidR="007776B5" w:rsidRPr="00F7263B">
        <w:rPr>
          <w:rFonts w:cs="Times New Roman"/>
          <w:sz w:val="20"/>
          <w:szCs w:val="20"/>
        </w:rPr>
        <w:t>.00</w:t>
      </w:r>
      <w:r w:rsidR="007B6DA5" w:rsidRPr="00F7263B">
        <w:rPr>
          <w:rFonts w:cs="Times New Roman"/>
          <w:sz w:val="20"/>
          <w:szCs w:val="20"/>
        </w:rPr>
        <w:t xml:space="preserve"> million);</w:t>
      </w:r>
    </w:p>
    <w:p w:rsidR="000E263D" w:rsidRPr="00F7263B" w:rsidRDefault="000E263D" w:rsidP="000E263D">
      <w:pPr>
        <w:rPr>
          <w:sz w:val="20"/>
          <w:szCs w:val="20"/>
        </w:rPr>
      </w:pPr>
    </w:p>
    <w:p w:rsidR="007B6DA5" w:rsidRPr="00F7263B" w:rsidRDefault="007B6DA5" w:rsidP="000E263D">
      <w:pPr>
        <w:spacing w:after="60"/>
        <w:rPr>
          <w:b/>
          <w:sz w:val="20"/>
          <w:szCs w:val="20"/>
        </w:rPr>
      </w:pPr>
      <w:r w:rsidRPr="00F7263B">
        <w:rPr>
          <w:b/>
          <w:sz w:val="20"/>
          <w:szCs w:val="20"/>
        </w:rPr>
        <w:t>Table</w:t>
      </w:r>
      <w:r w:rsidR="001E149C" w:rsidRPr="00F7263B">
        <w:rPr>
          <w:b/>
          <w:sz w:val="20"/>
          <w:szCs w:val="20"/>
        </w:rPr>
        <w:t xml:space="preserve"> 1</w:t>
      </w:r>
      <w:r w:rsidRPr="00F7263B">
        <w:rPr>
          <w:b/>
          <w:sz w:val="20"/>
          <w:szCs w:val="20"/>
        </w:rPr>
        <w:t xml:space="preserve">: Program financing </w:t>
      </w:r>
    </w:p>
    <w:tbl>
      <w:tblPr>
        <w:tblStyle w:val="TableGrid"/>
        <w:tblW w:w="0" w:type="auto"/>
        <w:tblInd w:w="108" w:type="dxa"/>
        <w:tblLook w:val="04A0" w:firstRow="1" w:lastRow="0" w:firstColumn="1" w:lastColumn="0" w:noHBand="0" w:noVBand="1"/>
      </w:tblPr>
      <w:tblGrid>
        <w:gridCol w:w="3870"/>
        <w:gridCol w:w="2970"/>
        <w:gridCol w:w="2520"/>
      </w:tblGrid>
      <w:tr w:rsidR="007B6DA5" w:rsidRPr="00F7263B">
        <w:tc>
          <w:tcPr>
            <w:tcW w:w="3870" w:type="dxa"/>
          </w:tcPr>
          <w:p w:rsidR="007B6DA5" w:rsidRPr="00F7263B" w:rsidRDefault="007B6DA5" w:rsidP="00C47E57">
            <w:pPr>
              <w:pStyle w:val="NoSpacing"/>
              <w:spacing w:before="60" w:after="60"/>
              <w:jc w:val="both"/>
              <w:rPr>
                <w:rFonts w:ascii="Times New Roman" w:hAnsi="Times New Roman" w:cs="Times New Roman"/>
                <w:b/>
                <w:sz w:val="20"/>
                <w:szCs w:val="20"/>
              </w:rPr>
            </w:pPr>
            <w:r w:rsidRPr="00F7263B">
              <w:rPr>
                <w:rFonts w:ascii="Times New Roman" w:hAnsi="Times New Roman" w:cs="Times New Roman"/>
                <w:b/>
                <w:sz w:val="20"/>
                <w:szCs w:val="20"/>
              </w:rPr>
              <w:t>Source</w:t>
            </w:r>
            <w:r w:rsidRPr="00F7263B">
              <w:rPr>
                <w:rFonts w:ascii="Times New Roman" w:hAnsi="Times New Roman" w:cs="Times New Roman"/>
                <w:b/>
                <w:sz w:val="20"/>
                <w:szCs w:val="20"/>
              </w:rPr>
              <w:tab/>
            </w:r>
          </w:p>
        </w:tc>
        <w:tc>
          <w:tcPr>
            <w:tcW w:w="2970" w:type="dxa"/>
          </w:tcPr>
          <w:p w:rsidR="007B6DA5" w:rsidRPr="00F7263B" w:rsidRDefault="007B6DA5" w:rsidP="004D69DA">
            <w:pPr>
              <w:pStyle w:val="NoSpacing"/>
              <w:spacing w:before="60" w:after="60"/>
              <w:jc w:val="center"/>
              <w:rPr>
                <w:rFonts w:ascii="Times New Roman" w:hAnsi="Times New Roman" w:cs="Times New Roman"/>
                <w:b/>
                <w:sz w:val="20"/>
                <w:szCs w:val="20"/>
              </w:rPr>
            </w:pPr>
            <w:r w:rsidRPr="00F7263B">
              <w:rPr>
                <w:rFonts w:ascii="Times New Roman" w:hAnsi="Times New Roman" w:cs="Times New Roman"/>
                <w:b/>
                <w:sz w:val="20"/>
                <w:szCs w:val="20"/>
              </w:rPr>
              <w:t>Amount (million)</w:t>
            </w:r>
          </w:p>
        </w:tc>
        <w:tc>
          <w:tcPr>
            <w:tcW w:w="2520" w:type="dxa"/>
          </w:tcPr>
          <w:p w:rsidR="007B6DA5" w:rsidRPr="00F7263B" w:rsidRDefault="007B6DA5" w:rsidP="004D69DA">
            <w:pPr>
              <w:pStyle w:val="NoSpacing"/>
              <w:spacing w:before="60" w:after="60"/>
              <w:jc w:val="center"/>
              <w:rPr>
                <w:rFonts w:ascii="Times New Roman" w:hAnsi="Times New Roman" w:cs="Times New Roman"/>
                <w:b/>
                <w:sz w:val="20"/>
                <w:szCs w:val="20"/>
              </w:rPr>
            </w:pPr>
            <w:r w:rsidRPr="00F7263B">
              <w:rPr>
                <w:rFonts w:ascii="Times New Roman" w:hAnsi="Times New Roman" w:cs="Times New Roman"/>
                <w:b/>
                <w:sz w:val="20"/>
                <w:szCs w:val="20"/>
              </w:rPr>
              <w:t>Percent of Total</w:t>
            </w:r>
          </w:p>
        </w:tc>
      </w:tr>
      <w:tr w:rsidR="007B6DA5" w:rsidRPr="00F7263B">
        <w:tc>
          <w:tcPr>
            <w:tcW w:w="3870" w:type="dxa"/>
          </w:tcPr>
          <w:p w:rsidR="007B6DA5" w:rsidRPr="00F7263B" w:rsidRDefault="007B6DA5" w:rsidP="00C47E57">
            <w:pPr>
              <w:pStyle w:val="NoSpacing"/>
              <w:spacing w:before="60" w:after="60"/>
              <w:jc w:val="both"/>
              <w:rPr>
                <w:rFonts w:ascii="Times New Roman" w:hAnsi="Times New Roman" w:cs="Times New Roman"/>
                <w:sz w:val="20"/>
                <w:szCs w:val="20"/>
              </w:rPr>
            </w:pPr>
            <w:r w:rsidRPr="00F7263B">
              <w:rPr>
                <w:rFonts w:ascii="Times New Roman" w:hAnsi="Times New Roman" w:cs="Times New Roman"/>
                <w:sz w:val="20"/>
                <w:szCs w:val="20"/>
              </w:rPr>
              <w:t>Government</w:t>
            </w:r>
            <w:r w:rsidRPr="00F7263B">
              <w:rPr>
                <w:rStyle w:val="FootnoteReference"/>
                <w:rFonts w:ascii="Times New Roman" w:hAnsi="Times New Roman" w:cs="Times New Roman"/>
                <w:sz w:val="20"/>
                <w:szCs w:val="20"/>
              </w:rPr>
              <w:footnoteReference w:id="21"/>
            </w:r>
          </w:p>
        </w:tc>
        <w:tc>
          <w:tcPr>
            <w:tcW w:w="2970" w:type="dxa"/>
          </w:tcPr>
          <w:p w:rsidR="007B6DA5" w:rsidRPr="00F7263B" w:rsidRDefault="007B6DA5" w:rsidP="004D69DA">
            <w:pPr>
              <w:pStyle w:val="NoSpacing"/>
              <w:spacing w:before="60" w:after="60"/>
              <w:ind w:right="612"/>
              <w:jc w:val="right"/>
              <w:rPr>
                <w:rFonts w:ascii="Times New Roman" w:hAnsi="Times New Roman" w:cs="Times New Roman"/>
                <w:sz w:val="20"/>
                <w:szCs w:val="20"/>
              </w:rPr>
            </w:pPr>
            <w:r w:rsidRPr="00F7263B">
              <w:rPr>
                <w:rFonts w:ascii="Times New Roman" w:hAnsi="Times New Roman" w:cs="Times New Roman"/>
                <w:sz w:val="20"/>
                <w:szCs w:val="20"/>
              </w:rPr>
              <w:t>US$</w:t>
            </w:r>
            <w:r w:rsidR="009B6CB0" w:rsidRPr="00F7263B">
              <w:rPr>
                <w:rFonts w:ascii="Times New Roman" w:hAnsi="Times New Roman" w:cs="Times New Roman"/>
                <w:sz w:val="20"/>
                <w:szCs w:val="20"/>
              </w:rPr>
              <w:t>1</w:t>
            </w:r>
            <w:r w:rsidR="00942B5E" w:rsidRPr="00F7263B">
              <w:rPr>
                <w:rFonts w:ascii="Times New Roman" w:hAnsi="Times New Roman" w:cs="Times New Roman"/>
                <w:sz w:val="20"/>
                <w:szCs w:val="20"/>
              </w:rPr>
              <w:t>76.5</w:t>
            </w:r>
            <w:r w:rsidR="007776B5" w:rsidRPr="00F7263B">
              <w:rPr>
                <w:rFonts w:ascii="Times New Roman" w:hAnsi="Times New Roman" w:cs="Times New Roman"/>
                <w:sz w:val="20"/>
                <w:szCs w:val="20"/>
              </w:rPr>
              <w:t>3</w:t>
            </w:r>
          </w:p>
        </w:tc>
        <w:tc>
          <w:tcPr>
            <w:tcW w:w="2520" w:type="dxa"/>
          </w:tcPr>
          <w:p w:rsidR="007B6DA5" w:rsidRPr="00F7263B" w:rsidRDefault="001B33E2" w:rsidP="004D69DA">
            <w:pPr>
              <w:pStyle w:val="NoSpacing"/>
              <w:spacing w:before="60" w:after="60"/>
              <w:ind w:right="882"/>
              <w:jc w:val="right"/>
              <w:rPr>
                <w:rFonts w:ascii="Times New Roman" w:hAnsi="Times New Roman" w:cs="Times New Roman"/>
                <w:sz w:val="20"/>
                <w:szCs w:val="20"/>
              </w:rPr>
            </w:pPr>
            <w:r w:rsidRPr="00F7263B">
              <w:rPr>
                <w:rFonts w:ascii="Times New Roman" w:hAnsi="Times New Roman" w:cs="Times New Roman"/>
                <w:sz w:val="20"/>
                <w:szCs w:val="20"/>
              </w:rPr>
              <w:t>32%</w:t>
            </w:r>
          </w:p>
        </w:tc>
      </w:tr>
      <w:tr w:rsidR="007B6DA5" w:rsidRPr="00F7263B">
        <w:tc>
          <w:tcPr>
            <w:tcW w:w="3870" w:type="dxa"/>
          </w:tcPr>
          <w:p w:rsidR="007B6DA5" w:rsidRPr="00F7263B" w:rsidRDefault="007B6DA5" w:rsidP="00C47E57">
            <w:pPr>
              <w:pStyle w:val="NoSpacing"/>
              <w:spacing w:before="60" w:after="60"/>
              <w:jc w:val="both"/>
              <w:rPr>
                <w:rFonts w:ascii="Times New Roman" w:hAnsi="Times New Roman" w:cs="Times New Roman"/>
                <w:sz w:val="20"/>
                <w:szCs w:val="20"/>
              </w:rPr>
            </w:pPr>
            <w:r w:rsidRPr="00F7263B">
              <w:rPr>
                <w:rFonts w:ascii="Times New Roman" w:hAnsi="Times New Roman" w:cs="Times New Roman"/>
                <w:sz w:val="20"/>
                <w:szCs w:val="20"/>
              </w:rPr>
              <w:t>IBRD/IDA</w:t>
            </w:r>
          </w:p>
        </w:tc>
        <w:tc>
          <w:tcPr>
            <w:tcW w:w="2970" w:type="dxa"/>
          </w:tcPr>
          <w:p w:rsidR="007B6DA5" w:rsidRPr="00F7263B" w:rsidRDefault="007B6DA5" w:rsidP="004D69DA">
            <w:pPr>
              <w:pStyle w:val="NoSpacing"/>
              <w:spacing w:before="60" w:after="60"/>
              <w:ind w:right="612"/>
              <w:jc w:val="right"/>
              <w:rPr>
                <w:rFonts w:ascii="Times New Roman" w:hAnsi="Times New Roman" w:cs="Times New Roman"/>
                <w:sz w:val="20"/>
                <w:szCs w:val="20"/>
              </w:rPr>
            </w:pPr>
            <w:r w:rsidRPr="00F7263B">
              <w:rPr>
                <w:rFonts w:ascii="Times New Roman" w:hAnsi="Times New Roman" w:cs="Times New Roman"/>
                <w:sz w:val="20"/>
                <w:szCs w:val="20"/>
              </w:rPr>
              <w:t>US$3</w:t>
            </w:r>
            <w:r w:rsidR="00942B5E" w:rsidRPr="00F7263B">
              <w:rPr>
                <w:rFonts w:ascii="Times New Roman" w:hAnsi="Times New Roman" w:cs="Times New Roman"/>
                <w:sz w:val="20"/>
                <w:szCs w:val="20"/>
              </w:rPr>
              <w:t>8</w:t>
            </w:r>
            <w:r w:rsidRPr="00F7263B">
              <w:rPr>
                <w:rFonts w:ascii="Times New Roman" w:hAnsi="Times New Roman" w:cs="Times New Roman"/>
                <w:sz w:val="20"/>
                <w:szCs w:val="20"/>
              </w:rPr>
              <w:t>0.0</w:t>
            </w:r>
            <w:r w:rsidR="007776B5" w:rsidRPr="00F7263B">
              <w:rPr>
                <w:rFonts w:ascii="Times New Roman" w:hAnsi="Times New Roman" w:cs="Times New Roman"/>
                <w:sz w:val="20"/>
                <w:szCs w:val="20"/>
              </w:rPr>
              <w:t>0</w:t>
            </w:r>
          </w:p>
        </w:tc>
        <w:tc>
          <w:tcPr>
            <w:tcW w:w="2520" w:type="dxa"/>
          </w:tcPr>
          <w:p w:rsidR="007B6DA5" w:rsidRPr="00F7263B" w:rsidRDefault="007B6DA5" w:rsidP="004D69DA">
            <w:pPr>
              <w:pStyle w:val="NoSpacing"/>
              <w:spacing w:before="60" w:after="60"/>
              <w:ind w:right="882"/>
              <w:jc w:val="right"/>
              <w:rPr>
                <w:rFonts w:ascii="Times New Roman" w:hAnsi="Times New Roman" w:cs="Times New Roman"/>
                <w:sz w:val="20"/>
                <w:szCs w:val="20"/>
              </w:rPr>
            </w:pPr>
            <w:r w:rsidRPr="00F7263B">
              <w:rPr>
                <w:rFonts w:ascii="Times New Roman" w:hAnsi="Times New Roman" w:cs="Times New Roman"/>
                <w:sz w:val="20"/>
                <w:szCs w:val="20"/>
              </w:rPr>
              <w:t>68%</w:t>
            </w:r>
          </w:p>
        </w:tc>
      </w:tr>
      <w:tr w:rsidR="007B6DA5" w:rsidRPr="00F7263B">
        <w:tc>
          <w:tcPr>
            <w:tcW w:w="3870" w:type="dxa"/>
          </w:tcPr>
          <w:p w:rsidR="007B6DA5" w:rsidRPr="00F7263B" w:rsidRDefault="007B6DA5" w:rsidP="00C47E57">
            <w:pPr>
              <w:pStyle w:val="NoSpacing"/>
              <w:spacing w:before="60" w:after="60"/>
              <w:jc w:val="both"/>
              <w:rPr>
                <w:rFonts w:ascii="Times New Roman" w:hAnsi="Times New Roman" w:cs="Times New Roman"/>
                <w:b/>
                <w:sz w:val="20"/>
                <w:szCs w:val="20"/>
              </w:rPr>
            </w:pPr>
            <w:r w:rsidRPr="00F7263B">
              <w:rPr>
                <w:rFonts w:ascii="Times New Roman" w:hAnsi="Times New Roman" w:cs="Times New Roman"/>
                <w:b/>
                <w:sz w:val="20"/>
                <w:szCs w:val="20"/>
              </w:rPr>
              <w:t>Total Program Financing</w:t>
            </w:r>
          </w:p>
        </w:tc>
        <w:tc>
          <w:tcPr>
            <w:tcW w:w="2970" w:type="dxa"/>
          </w:tcPr>
          <w:p w:rsidR="007B6DA5" w:rsidRPr="00F7263B" w:rsidRDefault="007B6DA5" w:rsidP="004D69DA">
            <w:pPr>
              <w:pStyle w:val="NoSpacing"/>
              <w:spacing w:before="60" w:after="60"/>
              <w:ind w:right="612"/>
              <w:jc w:val="right"/>
              <w:rPr>
                <w:rFonts w:ascii="Times New Roman" w:hAnsi="Times New Roman" w:cs="Times New Roman"/>
                <w:b/>
                <w:sz w:val="20"/>
                <w:szCs w:val="20"/>
              </w:rPr>
            </w:pPr>
            <w:r w:rsidRPr="00F7263B">
              <w:rPr>
                <w:rFonts w:ascii="Times New Roman" w:hAnsi="Times New Roman" w:cs="Times New Roman"/>
                <w:b/>
                <w:sz w:val="20"/>
                <w:szCs w:val="20"/>
              </w:rPr>
              <w:t>US$5</w:t>
            </w:r>
            <w:r w:rsidR="00942B5E" w:rsidRPr="00F7263B">
              <w:rPr>
                <w:rFonts w:ascii="Times New Roman" w:hAnsi="Times New Roman" w:cs="Times New Roman"/>
                <w:b/>
                <w:sz w:val="20"/>
                <w:szCs w:val="20"/>
              </w:rPr>
              <w:t>56</w:t>
            </w:r>
            <w:r w:rsidR="007776B5" w:rsidRPr="00F7263B">
              <w:rPr>
                <w:rFonts w:ascii="Times New Roman" w:hAnsi="Times New Roman" w:cs="Times New Roman"/>
                <w:b/>
                <w:sz w:val="20"/>
                <w:szCs w:val="20"/>
              </w:rPr>
              <w:t>.53</w:t>
            </w:r>
          </w:p>
        </w:tc>
        <w:tc>
          <w:tcPr>
            <w:tcW w:w="2520" w:type="dxa"/>
          </w:tcPr>
          <w:p w:rsidR="007B6DA5" w:rsidRPr="00F7263B" w:rsidRDefault="007B6DA5" w:rsidP="004D69DA">
            <w:pPr>
              <w:pStyle w:val="NoSpacing"/>
              <w:spacing w:before="60" w:after="60"/>
              <w:ind w:right="882"/>
              <w:jc w:val="right"/>
              <w:rPr>
                <w:rFonts w:ascii="Times New Roman" w:hAnsi="Times New Roman" w:cs="Times New Roman"/>
                <w:b/>
                <w:sz w:val="20"/>
                <w:szCs w:val="20"/>
              </w:rPr>
            </w:pPr>
            <w:r w:rsidRPr="00F7263B">
              <w:rPr>
                <w:rFonts w:ascii="Times New Roman" w:hAnsi="Times New Roman" w:cs="Times New Roman"/>
                <w:b/>
                <w:sz w:val="20"/>
                <w:szCs w:val="20"/>
              </w:rPr>
              <w:t>100</w:t>
            </w:r>
          </w:p>
        </w:tc>
      </w:tr>
    </w:tbl>
    <w:p w:rsidR="007B6DA5" w:rsidRPr="00F7263B" w:rsidRDefault="007B6DA5" w:rsidP="007B6DA5">
      <w:pPr>
        <w:pStyle w:val="ListParagraph"/>
        <w:tabs>
          <w:tab w:val="left" w:pos="720"/>
          <w:tab w:val="left" w:pos="810"/>
        </w:tabs>
        <w:ind w:left="0"/>
        <w:jc w:val="both"/>
        <w:rPr>
          <w:rFonts w:cs="Times New Roman"/>
          <w:sz w:val="20"/>
          <w:szCs w:val="20"/>
        </w:rPr>
      </w:pPr>
    </w:p>
    <w:p w:rsidR="006E7278" w:rsidRPr="00F7263B" w:rsidRDefault="007B6DA5" w:rsidP="00827BD7">
      <w:pPr>
        <w:pStyle w:val="ListParagraph"/>
        <w:numPr>
          <w:ilvl w:val="0"/>
          <w:numId w:val="29"/>
        </w:numPr>
        <w:ind w:left="0" w:firstLine="0"/>
        <w:jc w:val="both"/>
        <w:rPr>
          <w:sz w:val="20"/>
          <w:szCs w:val="20"/>
        </w:rPr>
      </w:pPr>
      <w:r w:rsidRPr="00F7263B">
        <w:rPr>
          <w:rFonts w:cs="Times New Roman"/>
          <w:b/>
          <w:sz w:val="20"/>
          <w:szCs w:val="20"/>
        </w:rPr>
        <w:t xml:space="preserve">ULGDP II will maintain much of the design features of ULGDP </w:t>
      </w:r>
      <w:r w:rsidRPr="00F7263B">
        <w:rPr>
          <w:rFonts w:cs="Times New Roman"/>
          <w:sz w:val="20"/>
          <w:szCs w:val="20"/>
        </w:rPr>
        <w:t>such as the performance orientation and the measurement of progress and results through independent annual and performance assessments (APA)</w:t>
      </w:r>
      <w:r w:rsidR="000E263D" w:rsidRPr="00F7263B">
        <w:rPr>
          <w:rFonts w:cs="Times New Roman"/>
          <w:sz w:val="20"/>
          <w:szCs w:val="20"/>
        </w:rPr>
        <w:t xml:space="preserve">.  </w:t>
      </w:r>
      <w:r w:rsidRPr="00F7263B">
        <w:rPr>
          <w:rFonts w:cs="Times New Roman"/>
          <w:sz w:val="20"/>
          <w:szCs w:val="20"/>
        </w:rPr>
        <w:t>Also similar to the ULGDP, ULGs may only use Program funds for activities specified in the investment menu</w:t>
      </w:r>
      <w:r w:rsidR="00DB4FD3" w:rsidRPr="00F7263B">
        <w:rPr>
          <w:rFonts w:cs="Times New Roman"/>
          <w:sz w:val="20"/>
          <w:szCs w:val="20"/>
        </w:rPr>
        <w:t xml:space="preserve">—mainly </w:t>
      </w:r>
      <w:r w:rsidRPr="00F7263B">
        <w:rPr>
          <w:rFonts w:cs="Times New Roman"/>
          <w:sz w:val="20"/>
          <w:szCs w:val="20"/>
        </w:rPr>
        <w:t>core urban infrastructure such as urban roads and drainage, water supply and sanitation services, public parks, street lighting</w:t>
      </w:r>
      <w:r w:rsidR="00DB4FD3" w:rsidRPr="00F7263B">
        <w:rPr>
          <w:rFonts w:cs="Times New Roman"/>
          <w:sz w:val="20"/>
          <w:szCs w:val="20"/>
        </w:rPr>
        <w:t>—</w:t>
      </w:r>
      <w:r w:rsidRPr="00F7263B">
        <w:rPr>
          <w:rFonts w:cs="Times New Roman"/>
          <w:sz w:val="20"/>
          <w:szCs w:val="20"/>
        </w:rPr>
        <w:t>and capacity building activities menu (see</w:t>
      </w:r>
      <w:r w:rsidR="001B33E2" w:rsidRPr="00F7263B">
        <w:rPr>
          <w:rFonts w:cs="Times New Roman"/>
          <w:sz w:val="20"/>
          <w:szCs w:val="20"/>
        </w:rPr>
        <w:t>later section</w:t>
      </w:r>
      <w:r w:rsidRPr="00F7263B">
        <w:rPr>
          <w:rFonts w:cs="Times New Roman"/>
          <w:sz w:val="20"/>
          <w:szCs w:val="20"/>
        </w:rPr>
        <w:t>)</w:t>
      </w:r>
      <w:r w:rsidR="000E263D" w:rsidRPr="00F7263B">
        <w:rPr>
          <w:rFonts w:cs="Times New Roman"/>
          <w:sz w:val="20"/>
          <w:szCs w:val="20"/>
        </w:rPr>
        <w:t xml:space="preserve">.  </w:t>
      </w:r>
      <w:r w:rsidRPr="00F7263B">
        <w:rPr>
          <w:rFonts w:cs="Times New Roman"/>
          <w:sz w:val="20"/>
          <w:szCs w:val="20"/>
        </w:rPr>
        <w:t>In addition, cities cannot use Program funds for investments that could have significant negative environmental impacts or that which would result in the resettlement of more than 200 people</w:t>
      </w:r>
      <w:r w:rsidR="000E263D" w:rsidRPr="00F7263B">
        <w:rPr>
          <w:rFonts w:cs="Times New Roman"/>
          <w:sz w:val="20"/>
          <w:szCs w:val="20"/>
        </w:rPr>
        <w:t xml:space="preserve">.  </w:t>
      </w:r>
      <w:r w:rsidRPr="00F7263B">
        <w:rPr>
          <w:rFonts w:cs="Times New Roman"/>
          <w:sz w:val="20"/>
          <w:szCs w:val="20"/>
        </w:rPr>
        <w:t xml:space="preserve">Compliance with the investment and capacity building activities menu will be a minimum condition and </w:t>
      </w:r>
      <w:r w:rsidR="000240D2" w:rsidRPr="00F7263B">
        <w:rPr>
          <w:rFonts w:cs="Times New Roman"/>
          <w:sz w:val="20"/>
          <w:szCs w:val="20"/>
        </w:rPr>
        <w:t xml:space="preserve">will </w:t>
      </w:r>
      <w:r w:rsidRPr="00F7263B">
        <w:rPr>
          <w:rFonts w:cs="Times New Roman"/>
          <w:sz w:val="20"/>
          <w:szCs w:val="20"/>
        </w:rPr>
        <w:t>be verified through the APA each year</w:t>
      </w:r>
      <w:r w:rsidR="000E263D" w:rsidRPr="00F7263B">
        <w:rPr>
          <w:rFonts w:cs="Times New Roman"/>
          <w:sz w:val="20"/>
          <w:szCs w:val="20"/>
        </w:rPr>
        <w:t xml:space="preserve">.  </w:t>
      </w:r>
      <w:r w:rsidRPr="00F7263B">
        <w:rPr>
          <w:rFonts w:cs="Times New Roman"/>
          <w:sz w:val="20"/>
          <w:szCs w:val="20"/>
        </w:rPr>
        <w:t>An ULG that has used Program funds for activities outside of these menus will not receive Program funds for the following year.</w:t>
      </w:r>
    </w:p>
    <w:p w:rsidR="008902A1" w:rsidRPr="00F7263B" w:rsidRDefault="008902A1" w:rsidP="00254260">
      <w:pPr>
        <w:pStyle w:val="ListParagraph"/>
        <w:tabs>
          <w:tab w:val="left" w:pos="720"/>
          <w:tab w:val="left" w:pos="810"/>
        </w:tabs>
        <w:ind w:left="0"/>
        <w:jc w:val="both"/>
        <w:rPr>
          <w:rFonts w:cs="Times New Roman"/>
          <w:sz w:val="20"/>
          <w:szCs w:val="20"/>
        </w:rPr>
      </w:pPr>
    </w:p>
    <w:p w:rsidR="006E7278" w:rsidRPr="00F7263B" w:rsidRDefault="007B6DA5" w:rsidP="00827BD7">
      <w:pPr>
        <w:pStyle w:val="ListParagraph"/>
        <w:numPr>
          <w:ilvl w:val="0"/>
          <w:numId w:val="29"/>
        </w:numPr>
        <w:ind w:left="0" w:firstLine="0"/>
        <w:jc w:val="both"/>
        <w:rPr>
          <w:sz w:val="20"/>
          <w:szCs w:val="20"/>
        </w:rPr>
      </w:pPr>
      <w:r w:rsidRPr="00F7263B">
        <w:rPr>
          <w:rFonts w:cs="Times New Roman"/>
          <w:b/>
          <w:sz w:val="20"/>
          <w:szCs w:val="20"/>
        </w:rPr>
        <w:lastRenderedPageBreak/>
        <w:t>The ULGDP II program design takes into consideration the key challenges faced in ULGDP and attempted to align with new government urban policy and strategy</w:t>
      </w:r>
      <w:r w:rsidRPr="00F7263B">
        <w:rPr>
          <w:rFonts w:cs="Times New Roman"/>
          <w:sz w:val="20"/>
          <w:szCs w:val="20"/>
        </w:rPr>
        <w:t xml:space="preserve"> (such as the</w:t>
      </w:r>
      <w:r w:rsidR="00A2314D">
        <w:rPr>
          <w:rFonts w:cs="Times New Roman"/>
          <w:sz w:val="20"/>
          <w:szCs w:val="20"/>
        </w:rPr>
        <w:t xml:space="preserve"> </w:t>
      </w:r>
      <w:r w:rsidRPr="00F7263B">
        <w:rPr>
          <w:rFonts w:cs="Times New Roman"/>
          <w:sz w:val="20"/>
          <w:szCs w:val="20"/>
        </w:rPr>
        <w:t xml:space="preserve">Ethiopian </w:t>
      </w:r>
      <w:r w:rsidR="00E04B6E" w:rsidRPr="00F7263B">
        <w:rPr>
          <w:rFonts w:cs="Times New Roman"/>
          <w:sz w:val="20"/>
          <w:szCs w:val="20"/>
        </w:rPr>
        <w:t>Cities Prosperity Initiative, 2013/14-2025</w:t>
      </w:r>
      <w:r w:rsidRPr="00F7263B">
        <w:rPr>
          <w:rFonts w:cs="Times New Roman"/>
          <w:i/>
          <w:sz w:val="20"/>
          <w:szCs w:val="20"/>
        </w:rPr>
        <w:t>)</w:t>
      </w:r>
      <w:r w:rsidRPr="00F7263B">
        <w:rPr>
          <w:rFonts w:cs="Times New Roman"/>
          <w:sz w:val="20"/>
          <w:szCs w:val="20"/>
        </w:rPr>
        <w:t xml:space="preserve"> that have come aboard since</w:t>
      </w:r>
      <w:r w:rsidR="000E263D" w:rsidRPr="00F7263B">
        <w:rPr>
          <w:rFonts w:cs="Times New Roman"/>
          <w:sz w:val="20"/>
          <w:szCs w:val="20"/>
        </w:rPr>
        <w:t xml:space="preserve">.  </w:t>
      </w:r>
      <w:r w:rsidRPr="00F7263B">
        <w:rPr>
          <w:rFonts w:cs="Times New Roman"/>
          <w:sz w:val="20"/>
          <w:szCs w:val="20"/>
        </w:rPr>
        <w:t xml:space="preserve">The key changes to the ULGDP II program design addressing these are highlighted below: </w:t>
      </w:r>
    </w:p>
    <w:p w:rsidR="007B6DA5" w:rsidRPr="00F7263B" w:rsidRDefault="007B6DA5" w:rsidP="00254260">
      <w:pPr>
        <w:pStyle w:val="ListParagraph"/>
        <w:tabs>
          <w:tab w:val="left" w:pos="720"/>
          <w:tab w:val="left" w:pos="810"/>
        </w:tabs>
        <w:ind w:left="0"/>
        <w:jc w:val="both"/>
        <w:rPr>
          <w:rFonts w:cs="Times New Roman"/>
          <w:sz w:val="20"/>
          <w:szCs w:val="20"/>
        </w:rPr>
      </w:pPr>
    </w:p>
    <w:p w:rsidR="007B6DA5" w:rsidRPr="00F7263B" w:rsidRDefault="007B6DA5" w:rsidP="002B7023">
      <w:pPr>
        <w:pStyle w:val="ListParagraph"/>
        <w:numPr>
          <w:ilvl w:val="0"/>
          <w:numId w:val="33"/>
        </w:numPr>
        <w:jc w:val="both"/>
        <w:rPr>
          <w:rFonts w:cs="Times New Roman"/>
          <w:sz w:val="20"/>
          <w:szCs w:val="20"/>
        </w:rPr>
      </w:pPr>
      <w:r w:rsidRPr="00F7263B">
        <w:rPr>
          <w:rFonts w:cs="Times New Roman"/>
          <w:sz w:val="20"/>
          <w:szCs w:val="20"/>
        </w:rPr>
        <w:t>All cities will be assessed on the set of minimum access conditions every year, not just at the start of the Program</w:t>
      </w:r>
      <w:r w:rsidR="000E263D" w:rsidRPr="00F7263B">
        <w:rPr>
          <w:rFonts w:cs="Times New Roman"/>
          <w:sz w:val="20"/>
          <w:szCs w:val="20"/>
        </w:rPr>
        <w:t xml:space="preserve">.  </w:t>
      </w:r>
      <w:r w:rsidRPr="00F7263B">
        <w:rPr>
          <w:rFonts w:cs="Times New Roman"/>
          <w:sz w:val="20"/>
          <w:szCs w:val="20"/>
        </w:rPr>
        <w:t>This is to ensure that cities maintain the staffing and basic systems required to effectively administer urban local governments</w:t>
      </w:r>
      <w:r w:rsidR="000E263D" w:rsidRPr="00F7263B">
        <w:rPr>
          <w:rFonts w:cs="Times New Roman"/>
          <w:sz w:val="20"/>
          <w:szCs w:val="20"/>
        </w:rPr>
        <w:t xml:space="preserve">.  </w:t>
      </w:r>
    </w:p>
    <w:p w:rsidR="007B6DA5" w:rsidRPr="00F7263B" w:rsidRDefault="007B6DA5" w:rsidP="002B7023">
      <w:pPr>
        <w:pStyle w:val="ListParagraph"/>
        <w:numPr>
          <w:ilvl w:val="0"/>
          <w:numId w:val="33"/>
        </w:numPr>
        <w:jc w:val="both"/>
        <w:rPr>
          <w:rFonts w:cs="Times New Roman"/>
          <w:sz w:val="20"/>
          <w:szCs w:val="20"/>
        </w:rPr>
      </w:pPr>
      <w:r w:rsidRPr="00F7263B">
        <w:rPr>
          <w:rFonts w:cs="Times New Roman"/>
          <w:sz w:val="20"/>
          <w:szCs w:val="20"/>
        </w:rPr>
        <w:t>Cities will receive disbursements in</w:t>
      </w:r>
      <w:r w:rsidR="00E04B6E" w:rsidRPr="00F7263B">
        <w:rPr>
          <w:rFonts w:cs="Times New Roman"/>
          <w:sz w:val="20"/>
          <w:szCs w:val="20"/>
        </w:rPr>
        <w:t xml:space="preserve"> direct</w:t>
      </w:r>
      <w:r w:rsidR="000E1186" w:rsidRPr="00F7263B">
        <w:rPr>
          <w:rFonts w:cs="Times New Roman"/>
          <w:sz w:val="20"/>
          <w:szCs w:val="20"/>
        </w:rPr>
        <w:t xml:space="preserve"> </w:t>
      </w:r>
      <w:r w:rsidR="00472184" w:rsidRPr="00F7263B">
        <w:rPr>
          <w:rFonts w:cs="Times New Roman"/>
          <w:sz w:val="20"/>
          <w:szCs w:val="20"/>
        </w:rPr>
        <w:t>relationship</w:t>
      </w:r>
      <w:r w:rsidR="000E1186" w:rsidRPr="00F7263B">
        <w:rPr>
          <w:rFonts w:cs="Times New Roman"/>
          <w:sz w:val="20"/>
          <w:szCs w:val="20"/>
        </w:rPr>
        <w:t xml:space="preserve"> </w:t>
      </w:r>
      <w:r w:rsidRPr="00F7263B">
        <w:rPr>
          <w:rFonts w:cs="Times New Roman"/>
          <w:sz w:val="20"/>
          <w:szCs w:val="20"/>
        </w:rPr>
        <w:t>with their</w:t>
      </w:r>
      <w:r w:rsidR="00E04B6E" w:rsidRPr="00F7263B">
        <w:rPr>
          <w:rFonts w:cs="Times New Roman"/>
          <w:sz w:val="20"/>
          <w:szCs w:val="20"/>
        </w:rPr>
        <w:t xml:space="preserve"> performance</w:t>
      </w:r>
      <w:r w:rsidR="000E1186" w:rsidRPr="00F7263B">
        <w:rPr>
          <w:rFonts w:cs="Times New Roman"/>
          <w:sz w:val="20"/>
          <w:szCs w:val="20"/>
        </w:rPr>
        <w:t xml:space="preserve"> </w:t>
      </w:r>
      <w:r w:rsidRPr="00F7263B">
        <w:rPr>
          <w:rFonts w:cs="Times New Roman"/>
          <w:sz w:val="20"/>
          <w:szCs w:val="20"/>
        </w:rPr>
        <w:t>score on the APA</w:t>
      </w:r>
      <w:r w:rsidR="000E263D" w:rsidRPr="00F7263B">
        <w:rPr>
          <w:rFonts w:cs="Times New Roman"/>
          <w:sz w:val="20"/>
          <w:szCs w:val="20"/>
        </w:rPr>
        <w:t xml:space="preserve">.  </w:t>
      </w:r>
      <w:r w:rsidRPr="00F7263B">
        <w:rPr>
          <w:rFonts w:cs="Times New Roman"/>
          <w:sz w:val="20"/>
          <w:szCs w:val="20"/>
        </w:rPr>
        <w:t>This is in contrast to the current system, which provides all cities</w:t>
      </w:r>
      <w:r w:rsidR="00E04B6E" w:rsidRPr="00F7263B">
        <w:rPr>
          <w:rFonts w:cs="Times New Roman"/>
          <w:sz w:val="20"/>
          <w:szCs w:val="20"/>
        </w:rPr>
        <w:t>,</w:t>
      </w:r>
      <w:r w:rsidRPr="00F7263B">
        <w:rPr>
          <w:rFonts w:cs="Times New Roman"/>
          <w:sz w:val="20"/>
          <w:szCs w:val="20"/>
        </w:rPr>
        <w:t xml:space="preserve"> which score above a</w:t>
      </w:r>
      <w:r w:rsidR="00E04B6E" w:rsidRPr="00F7263B">
        <w:rPr>
          <w:rFonts w:cs="Times New Roman"/>
          <w:sz w:val="20"/>
          <w:szCs w:val="20"/>
        </w:rPr>
        <w:t xml:space="preserve"> certain</w:t>
      </w:r>
      <w:r w:rsidRPr="00F7263B">
        <w:rPr>
          <w:rFonts w:cs="Times New Roman"/>
          <w:sz w:val="20"/>
          <w:szCs w:val="20"/>
        </w:rPr>
        <w:t xml:space="preserve"> threshold</w:t>
      </w:r>
      <w:r w:rsidR="00E04B6E" w:rsidRPr="00F7263B">
        <w:rPr>
          <w:rFonts w:cs="Times New Roman"/>
          <w:sz w:val="20"/>
          <w:szCs w:val="20"/>
        </w:rPr>
        <w:t xml:space="preserve"> with a </w:t>
      </w:r>
      <w:r w:rsidRPr="00F7263B">
        <w:rPr>
          <w:rFonts w:cs="Times New Roman"/>
          <w:sz w:val="20"/>
          <w:szCs w:val="20"/>
        </w:rPr>
        <w:t xml:space="preserve">20 percent </w:t>
      </w:r>
      <w:r w:rsidR="00E04B6E" w:rsidRPr="00F7263B">
        <w:rPr>
          <w:rFonts w:cs="Times New Roman"/>
          <w:sz w:val="20"/>
          <w:szCs w:val="20"/>
        </w:rPr>
        <w:t>extra (</w:t>
      </w:r>
      <w:r w:rsidRPr="00F7263B">
        <w:rPr>
          <w:rFonts w:cs="Times New Roman"/>
          <w:sz w:val="20"/>
          <w:szCs w:val="20"/>
        </w:rPr>
        <w:t>accelerated</w:t>
      </w:r>
      <w:r w:rsidR="00E04B6E" w:rsidRPr="00F7263B">
        <w:rPr>
          <w:rFonts w:cs="Times New Roman"/>
          <w:sz w:val="20"/>
          <w:szCs w:val="20"/>
        </w:rPr>
        <w:t>)</w:t>
      </w:r>
      <w:r w:rsidRPr="00F7263B">
        <w:rPr>
          <w:rFonts w:cs="Times New Roman"/>
          <w:sz w:val="20"/>
          <w:szCs w:val="20"/>
        </w:rPr>
        <w:t xml:space="preserve"> allocation</w:t>
      </w:r>
      <w:r w:rsidR="000E263D" w:rsidRPr="00F7263B">
        <w:rPr>
          <w:rFonts w:cs="Times New Roman"/>
          <w:sz w:val="20"/>
          <w:szCs w:val="20"/>
        </w:rPr>
        <w:t>.</w:t>
      </w:r>
      <w:r w:rsidR="00E04B6E" w:rsidRPr="00F7263B">
        <w:rPr>
          <w:rFonts w:cs="Times New Roman"/>
          <w:sz w:val="20"/>
          <w:szCs w:val="20"/>
        </w:rPr>
        <w:t xml:space="preserve"> The new system will ensure that every point is having an impact on the actual allocation.</w:t>
      </w:r>
    </w:p>
    <w:p w:rsidR="007B6DA5" w:rsidRPr="00F7263B" w:rsidRDefault="007B6DA5" w:rsidP="002B7023">
      <w:pPr>
        <w:pStyle w:val="ListParagraph"/>
        <w:numPr>
          <w:ilvl w:val="0"/>
          <w:numId w:val="33"/>
        </w:numPr>
        <w:jc w:val="both"/>
        <w:rPr>
          <w:rFonts w:cs="Times New Roman"/>
          <w:sz w:val="20"/>
          <w:szCs w:val="20"/>
        </w:rPr>
      </w:pPr>
      <w:r w:rsidRPr="00F7263B">
        <w:rPr>
          <w:rFonts w:cs="Times New Roman"/>
          <w:sz w:val="20"/>
          <w:szCs w:val="20"/>
        </w:rPr>
        <w:t xml:space="preserve">Several new results areas </w:t>
      </w:r>
      <w:r w:rsidR="00472184" w:rsidRPr="00F7263B">
        <w:rPr>
          <w:rFonts w:cs="Times New Roman"/>
          <w:sz w:val="20"/>
          <w:szCs w:val="20"/>
        </w:rPr>
        <w:t xml:space="preserve">and targets </w:t>
      </w:r>
      <w:r w:rsidRPr="00F7263B">
        <w:rPr>
          <w:rFonts w:cs="Times New Roman"/>
          <w:sz w:val="20"/>
          <w:szCs w:val="20"/>
        </w:rPr>
        <w:t>have been added to the performance assessment, reflecting new government policies and the growing administrative sophistication of cities</w:t>
      </w:r>
      <w:r w:rsidR="000E263D" w:rsidRPr="00F7263B">
        <w:rPr>
          <w:rFonts w:cs="Times New Roman"/>
          <w:sz w:val="20"/>
          <w:szCs w:val="20"/>
        </w:rPr>
        <w:t xml:space="preserve">.  </w:t>
      </w:r>
      <w:r w:rsidRPr="00F7263B">
        <w:rPr>
          <w:rFonts w:cs="Times New Roman"/>
          <w:sz w:val="20"/>
          <w:szCs w:val="20"/>
        </w:rPr>
        <w:t>For example, results areas now include (a) urban land management and urban planning, and (b) employment generation</w:t>
      </w:r>
      <w:r w:rsidR="000E263D" w:rsidRPr="00F7263B">
        <w:rPr>
          <w:rFonts w:cs="Times New Roman"/>
          <w:sz w:val="20"/>
          <w:szCs w:val="20"/>
        </w:rPr>
        <w:t xml:space="preserve">.  </w:t>
      </w:r>
      <w:r w:rsidRPr="00F7263B">
        <w:rPr>
          <w:rFonts w:cs="Times New Roman"/>
          <w:sz w:val="20"/>
          <w:szCs w:val="20"/>
        </w:rPr>
        <w:t>In addition, all cities are now expected to screen all investments for environmental and social impacts, and to prepare environmental and social impact assessments, and related documents to address any adverse impacts</w:t>
      </w:r>
      <w:r w:rsidR="000E263D" w:rsidRPr="00F7263B">
        <w:rPr>
          <w:rFonts w:cs="Times New Roman"/>
          <w:sz w:val="20"/>
          <w:szCs w:val="20"/>
        </w:rPr>
        <w:t xml:space="preserve">.  </w:t>
      </w:r>
      <w:r w:rsidRPr="00F7263B">
        <w:rPr>
          <w:rFonts w:cs="Times New Roman"/>
          <w:sz w:val="20"/>
          <w:szCs w:val="20"/>
        </w:rPr>
        <w:t>All cities are also expected to reflect Program funds in IBEX, rather than using a separate accounting system</w:t>
      </w:r>
      <w:r w:rsidR="000E263D" w:rsidRPr="00F7263B">
        <w:rPr>
          <w:rFonts w:cs="Times New Roman"/>
          <w:sz w:val="20"/>
          <w:szCs w:val="20"/>
        </w:rPr>
        <w:t xml:space="preserve">.  </w:t>
      </w:r>
    </w:p>
    <w:p w:rsidR="007B6DA5" w:rsidRPr="00F7263B" w:rsidRDefault="007B6DA5" w:rsidP="002B7023">
      <w:pPr>
        <w:pStyle w:val="ListParagraph"/>
        <w:numPr>
          <w:ilvl w:val="0"/>
          <w:numId w:val="33"/>
        </w:numPr>
        <w:jc w:val="both"/>
        <w:rPr>
          <w:rFonts w:cs="Times New Roman"/>
          <w:sz w:val="20"/>
          <w:szCs w:val="20"/>
        </w:rPr>
      </w:pPr>
      <w:r w:rsidRPr="00F7263B">
        <w:rPr>
          <w:rFonts w:cs="Times New Roman"/>
          <w:sz w:val="20"/>
          <w:szCs w:val="20"/>
        </w:rPr>
        <w:t xml:space="preserve">Financing for the regional governments and federal government entities (including </w:t>
      </w:r>
      <w:r w:rsidR="00821460" w:rsidRPr="00F7263B">
        <w:rPr>
          <w:rFonts w:cs="Times New Roman"/>
          <w:sz w:val="20"/>
          <w:szCs w:val="20"/>
        </w:rPr>
        <w:t>MUDHCo</w:t>
      </w:r>
      <w:r w:rsidRPr="00F7263B">
        <w:rPr>
          <w:rFonts w:cs="Times New Roman"/>
          <w:sz w:val="20"/>
          <w:szCs w:val="20"/>
        </w:rPr>
        <w:t>), will no longer be input-based, but will also be results based</w:t>
      </w:r>
      <w:r w:rsidR="000E263D" w:rsidRPr="00F7263B">
        <w:rPr>
          <w:rFonts w:cs="Times New Roman"/>
          <w:sz w:val="20"/>
          <w:szCs w:val="20"/>
        </w:rPr>
        <w:t xml:space="preserve">.  </w:t>
      </w:r>
      <w:r w:rsidRPr="00F7263B">
        <w:rPr>
          <w:rFonts w:cs="Times New Roman"/>
          <w:sz w:val="20"/>
          <w:szCs w:val="20"/>
        </w:rPr>
        <w:t>As detailed in the DLIs which target these two levels of government, program funds will be disbursed to these entities only after the verification of the results for which they are responsible</w:t>
      </w:r>
      <w:r w:rsidR="000E263D" w:rsidRPr="00F7263B">
        <w:rPr>
          <w:rFonts w:cs="Times New Roman"/>
          <w:sz w:val="20"/>
          <w:szCs w:val="20"/>
        </w:rPr>
        <w:t xml:space="preserve">.  </w:t>
      </w:r>
    </w:p>
    <w:p w:rsidR="007B6DA5" w:rsidRPr="00F7263B" w:rsidRDefault="007B6DA5" w:rsidP="002B7023">
      <w:pPr>
        <w:pStyle w:val="ListParagraph"/>
        <w:numPr>
          <w:ilvl w:val="0"/>
          <w:numId w:val="33"/>
        </w:numPr>
        <w:jc w:val="both"/>
        <w:rPr>
          <w:rFonts w:cs="Times New Roman"/>
          <w:sz w:val="20"/>
          <w:szCs w:val="20"/>
        </w:rPr>
      </w:pPr>
      <w:r w:rsidRPr="00F7263B">
        <w:rPr>
          <w:rFonts w:cs="Times New Roman"/>
          <w:sz w:val="20"/>
          <w:szCs w:val="20"/>
        </w:rPr>
        <w:t>Disbursements flow to cities in two</w:t>
      </w:r>
      <w:r w:rsidR="00302930" w:rsidRPr="00F7263B">
        <w:rPr>
          <w:rFonts w:cs="Times New Roman"/>
          <w:sz w:val="20"/>
          <w:szCs w:val="20"/>
        </w:rPr>
        <w:t xml:space="preserve"> timely and predictable</w:t>
      </w:r>
      <w:r w:rsidRPr="00F7263B">
        <w:rPr>
          <w:rFonts w:cs="Times New Roman"/>
          <w:sz w:val="20"/>
          <w:szCs w:val="20"/>
        </w:rPr>
        <w:t xml:space="preserve"> annual tranches, rather than on the basis of withdrawal applications</w:t>
      </w:r>
      <w:r w:rsidR="000E263D" w:rsidRPr="00F7263B">
        <w:rPr>
          <w:rFonts w:cs="Times New Roman"/>
          <w:sz w:val="20"/>
          <w:szCs w:val="20"/>
        </w:rPr>
        <w:t xml:space="preserve">.  </w:t>
      </w:r>
    </w:p>
    <w:p w:rsidR="007B6DA5" w:rsidRPr="00F7263B" w:rsidRDefault="007B6DA5" w:rsidP="002B7023">
      <w:pPr>
        <w:pStyle w:val="ListParagraph"/>
        <w:numPr>
          <w:ilvl w:val="0"/>
          <w:numId w:val="33"/>
        </w:numPr>
        <w:jc w:val="both"/>
        <w:rPr>
          <w:rFonts w:cs="Times New Roman"/>
          <w:sz w:val="20"/>
          <w:szCs w:val="20"/>
        </w:rPr>
      </w:pPr>
      <w:r w:rsidRPr="00F7263B">
        <w:rPr>
          <w:rFonts w:cs="Times New Roman"/>
          <w:sz w:val="20"/>
          <w:szCs w:val="20"/>
        </w:rPr>
        <w:t>ULGDP II will not include Addis</w:t>
      </w:r>
      <w:r w:rsidR="000E263D" w:rsidRPr="00F7263B">
        <w:rPr>
          <w:rFonts w:cs="Times New Roman"/>
          <w:sz w:val="20"/>
          <w:szCs w:val="20"/>
        </w:rPr>
        <w:t xml:space="preserve">.  </w:t>
      </w:r>
      <w:r w:rsidRPr="00F7263B">
        <w:rPr>
          <w:rFonts w:cs="Times New Roman"/>
          <w:sz w:val="20"/>
          <w:szCs w:val="20"/>
        </w:rPr>
        <w:t>Addis’s institutional, infrastructure, and financial needs of Addis are distinctly different than the other ULGs in Ethiopia</w:t>
      </w:r>
      <w:r w:rsidR="000E263D" w:rsidRPr="00F7263B">
        <w:rPr>
          <w:rFonts w:cs="Times New Roman"/>
          <w:sz w:val="20"/>
          <w:szCs w:val="20"/>
        </w:rPr>
        <w:t xml:space="preserve">.  </w:t>
      </w:r>
      <w:r w:rsidRPr="00F7263B">
        <w:rPr>
          <w:rFonts w:cs="Times New Roman"/>
          <w:sz w:val="20"/>
          <w:szCs w:val="20"/>
        </w:rPr>
        <w:t>Therefore, a possible Addis</w:t>
      </w:r>
      <w:r w:rsidR="00382E0F" w:rsidRPr="00F7263B">
        <w:rPr>
          <w:rFonts w:cs="Times New Roman"/>
          <w:sz w:val="20"/>
          <w:szCs w:val="20"/>
        </w:rPr>
        <w:t xml:space="preserve"> Ababa</w:t>
      </w:r>
      <w:r w:rsidRPr="00F7263B">
        <w:rPr>
          <w:rFonts w:cs="Times New Roman"/>
          <w:sz w:val="20"/>
          <w:szCs w:val="20"/>
        </w:rPr>
        <w:t>-specific project is currently being discussed between the government and the World Bank.</w:t>
      </w:r>
    </w:p>
    <w:p w:rsidR="007B6DA5" w:rsidRPr="00F7263B" w:rsidRDefault="007B6DA5" w:rsidP="002B7023">
      <w:pPr>
        <w:pStyle w:val="ListParagraph"/>
        <w:numPr>
          <w:ilvl w:val="0"/>
          <w:numId w:val="33"/>
        </w:numPr>
        <w:jc w:val="both"/>
        <w:rPr>
          <w:rFonts w:cs="Times New Roman"/>
          <w:sz w:val="20"/>
          <w:szCs w:val="20"/>
        </w:rPr>
      </w:pPr>
      <w:r w:rsidRPr="00F7263B">
        <w:rPr>
          <w:rFonts w:cs="Times New Roman"/>
          <w:sz w:val="20"/>
          <w:szCs w:val="20"/>
        </w:rPr>
        <w:t>A more structured and systematic approach is adopted for capacity building to support all three levels of government</w:t>
      </w:r>
      <w:r w:rsidR="00472184" w:rsidRPr="00F7263B">
        <w:rPr>
          <w:rFonts w:cs="Times New Roman"/>
          <w:sz w:val="20"/>
          <w:szCs w:val="20"/>
        </w:rPr>
        <w:t xml:space="preserve">: </w:t>
      </w:r>
      <w:r w:rsidRPr="00F7263B">
        <w:rPr>
          <w:rFonts w:cs="Times New Roman"/>
          <w:sz w:val="20"/>
          <w:szCs w:val="20"/>
        </w:rPr>
        <w:t>federal, regional and local</w:t>
      </w:r>
      <w:r w:rsidR="000E263D" w:rsidRPr="00F7263B">
        <w:rPr>
          <w:rFonts w:cs="Times New Roman"/>
          <w:sz w:val="20"/>
          <w:szCs w:val="20"/>
        </w:rPr>
        <w:t xml:space="preserve">.  </w:t>
      </w:r>
      <w:r w:rsidRPr="00F7263B">
        <w:rPr>
          <w:rFonts w:cs="Times New Roman"/>
          <w:sz w:val="20"/>
          <w:szCs w:val="20"/>
        </w:rPr>
        <w:t>(More details about capacity building are provided in the later section</w:t>
      </w:r>
      <w:r w:rsidR="00D22F52" w:rsidRPr="00F7263B">
        <w:rPr>
          <w:rFonts w:cs="Times New Roman"/>
          <w:sz w:val="20"/>
          <w:szCs w:val="20"/>
        </w:rPr>
        <w:t xml:space="preserve"> on the investment menu</w:t>
      </w:r>
      <w:r w:rsidRPr="00F7263B">
        <w:rPr>
          <w:rFonts w:cs="Times New Roman"/>
          <w:sz w:val="20"/>
          <w:szCs w:val="20"/>
        </w:rPr>
        <w:t xml:space="preserve">.) </w:t>
      </w:r>
    </w:p>
    <w:p w:rsidR="007B6DA5" w:rsidRPr="00F7263B" w:rsidRDefault="007B6DA5" w:rsidP="007B6DA5">
      <w:pPr>
        <w:pStyle w:val="ListParagraph"/>
        <w:tabs>
          <w:tab w:val="left" w:pos="720"/>
          <w:tab w:val="left" w:pos="810"/>
        </w:tabs>
        <w:ind w:left="0"/>
        <w:jc w:val="both"/>
        <w:rPr>
          <w:rFonts w:cs="Times New Roman"/>
          <w:b/>
          <w:sz w:val="20"/>
          <w:szCs w:val="20"/>
        </w:rPr>
      </w:pPr>
    </w:p>
    <w:p w:rsidR="006E7278" w:rsidRPr="00F7263B" w:rsidRDefault="000E263D" w:rsidP="00827BD7">
      <w:pPr>
        <w:pStyle w:val="ListParagraph"/>
        <w:numPr>
          <w:ilvl w:val="0"/>
          <w:numId w:val="29"/>
        </w:numPr>
        <w:ind w:left="0" w:firstLine="0"/>
        <w:jc w:val="both"/>
        <w:rPr>
          <w:sz w:val="20"/>
          <w:szCs w:val="20"/>
        </w:rPr>
      </w:pPr>
      <w:r w:rsidRPr="00F7263B">
        <w:rPr>
          <w:rFonts w:cs="Times New Roman"/>
          <w:b/>
          <w:sz w:val="20"/>
          <w:szCs w:val="20"/>
          <w:lang w:bidi="en-US"/>
        </w:rPr>
        <w:t>The performance</w:t>
      </w:r>
      <w:r w:rsidR="00302930" w:rsidRPr="00F7263B">
        <w:rPr>
          <w:rFonts w:cs="Times New Roman"/>
          <w:b/>
          <w:sz w:val="20"/>
          <w:szCs w:val="20"/>
          <w:lang w:bidi="en-US"/>
        </w:rPr>
        <w:t>-</w:t>
      </w:r>
      <w:r w:rsidRPr="00F7263B">
        <w:rPr>
          <w:rFonts w:cs="Times New Roman"/>
          <w:b/>
          <w:sz w:val="20"/>
          <w:szCs w:val="20"/>
          <w:lang w:bidi="en-US"/>
        </w:rPr>
        <w:t>based grants</w:t>
      </w:r>
      <w:r w:rsidR="003569E5" w:rsidRPr="00F7263B">
        <w:rPr>
          <w:rFonts w:cs="Times New Roman"/>
          <w:b/>
          <w:sz w:val="20"/>
          <w:szCs w:val="20"/>
          <w:lang w:bidi="en-US"/>
        </w:rPr>
        <w:t xml:space="preserve"> (including matching funds from ULGs and Regions)</w:t>
      </w:r>
      <w:r w:rsidRPr="00F7263B">
        <w:rPr>
          <w:rFonts w:cs="Times New Roman"/>
          <w:b/>
          <w:sz w:val="20"/>
          <w:szCs w:val="20"/>
          <w:lang w:bidi="en-US"/>
        </w:rPr>
        <w:t xml:space="preserve"> to ULGs account for 9</w:t>
      </w:r>
      <w:r w:rsidR="003569E5" w:rsidRPr="00F7263B">
        <w:rPr>
          <w:rFonts w:cs="Times New Roman"/>
          <w:b/>
          <w:sz w:val="20"/>
          <w:szCs w:val="20"/>
          <w:lang w:bidi="en-US"/>
        </w:rPr>
        <w:t>0</w:t>
      </w:r>
      <w:r w:rsidRPr="00F7263B">
        <w:rPr>
          <w:rFonts w:cs="Times New Roman"/>
          <w:b/>
          <w:sz w:val="20"/>
          <w:szCs w:val="20"/>
          <w:lang w:bidi="en-US"/>
        </w:rPr>
        <w:t xml:space="preserve"> percent of </w:t>
      </w:r>
      <w:r w:rsidRPr="00F7263B">
        <w:rPr>
          <w:rFonts w:cs="Times New Roman"/>
          <w:b/>
          <w:sz w:val="20"/>
          <w:szCs w:val="20"/>
        </w:rPr>
        <w:t xml:space="preserve">total funding in ULGPD II.  </w:t>
      </w:r>
      <w:r w:rsidRPr="00F7263B">
        <w:rPr>
          <w:rFonts w:cs="Times New Roman"/>
          <w:sz w:val="20"/>
          <w:szCs w:val="20"/>
        </w:rPr>
        <w:t>As in ULGDP, these performance-based grants are allocated according to a simple population-based formula and</w:t>
      </w:r>
      <w:r w:rsidR="00A2314D">
        <w:rPr>
          <w:rFonts w:cs="Times New Roman"/>
          <w:sz w:val="20"/>
          <w:szCs w:val="20"/>
        </w:rPr>
        <w:t xml:space="preserve"> </w:t>
      </w:r>
      <w:r w:rsidRPr="00F7263B">
        <w:rPr>
          <w:rFonts w:cs="Times New Roman"/>
          <w:sz w:val="20"/>
          <w:szCs w:val="20"/>
        </w:rPr>
        <w:t>in direct proportion to the performance of that local government.  The annual allocation for each full grant cycle will range between US$7</w:t>
      </w:r>
      <w:r w:rsidR="00527FB7" w:rsidRPr="00F7263B">
        <w:rPr>
          <w:rFonts w:cs="Times New Roman"/>
          <w:sz w:val="20"/>
          <w:szCs w:val="20"/>
        </w:rPr>
        <w:t>8.7</w:t>
      </w:r>
      <w:r w:rsidR="007776B5" w:rsidRPr="00F7263B">
        <w:rPr>
          <w:rFonts w:cs="Times New Roman"/>
          <w:sz w:val="20"/>
          <w:szCs w:val="20"/>
        </w:rPr>
        <w:t>3</w:t>
      </w:r>
      <w:r w:rsidRPr="00F7263B">
        <w:rPr>
          <w:rFonts w:cs="Times New Roman"/>
          <w:sz w:val="20"/>
          <w:szCs w:val="20"/>
        </w:rPr>
        <w:t xml:space="preserve"> million (IDA: US$</w:t>
      </w:r>
      <w:r w:rsidR="00527FB7" w:rsidRPr="00F7263B">
        <w:rPr>
          <w:rFonts w:cs="Times New Roman"/>
          <w:sz w:val="20"/>
          <w:szCs w:val="20"/>
        </w:rPr>
        <w:t>50.1</w:t>
      </w:r>
      <w:r w:rsidR="007776B5" w:rsidRPr="00F7263B">
        <w:rPr>
          <w:rFonts w:cs="Times New Roman"/>
          <w:sz w:val="20"/>
          <w:szCs w:val="20"/>
        </w:rPr>
        <w:t>3</w:t>
      </w:r>
      <w:r w:rsidRPr="00F7263B">
        <w:rPr>
          <w:rFonts w:cs="Times New Roman"/>
          <w:sz w:val="20"/>
          <w:szCs w:val="20"/>
        </w:rPr>
        <w:t xml:space="preserve"> million,</w:t>
      </w:r>
      <w:r w:rsidR="00A2314D">
        <w:rPr>
          <w:rFonts w:cs="Times New Roman"/>
          <w:sz w:val="20"/>
          <w:szCs w:val="20"/>
        </w:rPr>
        <w:t xml:space="preserve"> </w:t>
      </w:r>
      <w:r w:rsidRPr="00F7263B">
        <w:rPr>
          <w:rFonts w:cs="Times New Roman"/>
          <w:sz w:val="20"/>
          <w:szCs w:val="20"/>
        </w:rPr>
        <w:t>government: US$2</w:t>
      </w:r>
      <w:r w:rsidR="00527FB7" w:rsidRPr="00F7263B">
        <w:rPr>
          <w:rFonts w:cs="Times New Roman"/>
          <w:sz w:val="20"/>
          <w:szCs w:val="20"/>
        </w:rPr>
        <w:t>8.6</w:t>
      </w:r>
      <w:r w:rsidR="007776B5" w:rsidRPr="00F7263B">
        <w:rPr>
          <w:rFonts w:cs="Times New Roman"/>
          <w:sz w:val="20"/>
          <w:szCs w:val="20"/>
        </w:rPr>
        <w:t>0</w:t>
      </w:r>
      <w:r w:rsidRPr="00F7263B">
        <w:rPr>
          <w:rFonts w:cs="Times New Roman"/>
          <w:sz w:val="20"/>
          <w:szCs w:val="20"/>
        </w:rPr>
        <w:t>) for the Program start year (fiscal 2015) and US$1</w:t>
      </w:r>
      <w:r w:rsidR="00527FB7" w:rsidRPr="00F7263B">
        <w:rPr>
          <w:rFonts w:cs="Times New Roman"/>
          <w:sz w:val="20"/>
          <w:szCs w:val="20"/>
        </w:rPr>
        <w:t>05.</w:t>
      </w:r>
      <w:r w:rsidR="006724E9" w:rsidRPr="00F7263B">
        <w:rPr>
          <w:rFonts w:cs="Times New Roman"/>
          <w:sz w:val="20"/>
          <w:szCs w:val="20"/>
        </w:rPr>
        <w:t>2</w:t>
      </w:r>
      <w:r w:rsidR="007776B5" w:rsidRPr="00F7263B">
        <w:rPr>
          <w:rFonts w:cs="Times New Roman"/>
          <w:sz w:val="20"/>
          <w:szCs w:val="20"/>
        </w:rPr>
        <w:t>0</w:t>
      </w:r>
      <w:r w:rsidRPr="00F7263B">
        <w:rPr>
          <w:rFonts w:cs="Times New Roman"/>
          <w:sz w:val="20"/>
          <w:szCs w:val="20"/>
        </w:rPr>
        <w:t xml:space="preserve"> million (IDA: US$</w:t>
      </w:r>
      <w:r w:rsidR="006724E9" w:rsidRPr="00F7263B">
        <w:rPr>
          <w:rFonts w:cs="Times New Roman"/>
          <w:sz w:val="20"/>
          <w:szCs w:val="20"/>
        </w:rPr>
        <w:t>68.2</w:t>
      </w:r>
      <w:r w:rsidR="007776B5" w:rsidRPr="00F7263B">
        <w:rPr>
          <w:rFonts w:cs="Times New Roman"/>
          <w:sz w:val="20"/>
          <w:szCs w:val="20"/>
        </w:rPr>
        <w:t>2</w:t>
      </w:r>
      <w:r w:rsidRPr="00F7263B">
        <w:rPr>
          <w:rFonts w:cs="Times New Roman"/>
          <w:sz w:val="20"/>
          <w:szCs w:val="20"/>
        </w:rPr>
        <w:t xml:space="preserve"> million,</w:t>
      </w:r>
      <w:r w:rsidR="00A2314D">
        <w:rPr>
          <w:rFonts w:cs="Times New Roman"/>
          <w:sz w:val="20"/>
          <w:szCs w:val="20"/>
        </w:rPr>
        <w:t xml:space="preserve"> </w:t>
      </w:r>
      <w:r w:rsidRPr="00F7263B">
        <w:rPr>
          <w:rFonts w:cs="Times New Roman"/>
          <w:sz w:val="20"/>
          <w:szCs w:val="20"/>
        </w:rPr>
        <w:t>government: US$</w:t>
      </w:r>
      <w:r w:rsidR="006724E9" w:rsidRPr="00F7263B">
        <w:rPr>
          <w:rFonts w:cs="Times New Roman"/>
          <w:sz w:val="20"/>
          <w:szCs w:val="20"/>
        </w:rPr>
        <w:t>3</w:t>
      </w:r>
      <w:r w:rsidR="005B52A3" w:rsidRPr="00F7263B">
        <w:rPr>
          <w:rFonts w:cs="Times New Roman"/>
          <w:sz w:val="20"/>
          <w:szCs w:val="20"/>
        </w:rPr>
        <w:t>6.98</w:t>
      </w:r>
      <w:r w:rsidRPr="00F7263B">
        <w:rPr>
          <w:rFonts w:cs="Times New Roman"/>
          <w:sz w:val="20"/>
          <w:szCs w:val="20"/>
        </w:rPr>
        <w:t>) for each of the following four years.  In the initial year of the Program, the 26 ULGs that are coming into the program will not participate in the performance assessment.  Instead, they will receive allocations for fulfilling the minimum conditions. On average, the Program’s IDA funds will provide about US$14.</w:t>
      </w:r>
      <w:r w:rsidR="006724E9" w:rsidRPr="00F7263B">
        <w:rPr>
          <w:rFonts w:cs="Times New Roman"/>
          <w:sz w:val="20"/>
          <w:szCs w:val="20"/>
        </w:rPr>
        <w:t>85</w:t>
      </w:r>
      <w:r w:rsidRPr="00F7263B">
        <w:rPr>
          <w:rFonts w:cs="Times New Roman"/>
          <w:sz w:val="20"/>
          <w:szCs w:val="20"/>
        </w:rPr>
        <w:t xml:space="preserve"> per capita per year for investment in urban infrastructure and services.  When disaggregated, the IDA funds will provide about US$1</w:t>
      </w:r>
      <w:r w:rsidR="006724E9" w:rsidRPr="00F7263B">
        <w:rPr>
          <w:rFonts w:cs="Times New Roman"/>
          <w:sz w:val="20"/>
          <w:szCs w:val="20"/>
        </w:rPr>
        <w:t>3.38</w:t>
      </w:r>
      <w:r w:rsidRPr="00F7263B">
        <w:rPr>
          <w:rFonts w:cs="Times New Roman"/>
          <w:sz w:val="20"/>
          <w:szCs w:val="20"/>
        </w:rPr>
        <w:t xml:space="preserve"> for the new 26 cities and about US$1</w:t>
      </w:r>
      <w:r w:rsidR="006724E9" w:rsidRPr="00F7263B">
        <w:rPr>
          <w:rFonts w:cs="Times New Roman"/>
          <w:sz w:val="20"/>
          <w:szCs w:val="20"/>
        </w:rPr>
        <w:t>5.69</w:t>
      </w:r>
      <w:r w:rsidRPr="00F7263B">
        <w:rPr>
          <w:rFonts w:cs="Times New Roman"/>
          <w:sz w:val="20"/>
          <w:szCs w:val="20"/>
        </w:rPr>
        <w:t xml:space="preserve"> for the 18 ULGs currently benefiting from the Program.  Including the financing from the regional and urban local government, total Program financing will provide an average of US$</w:t>
      </w:r>
      <w:r w:rsidR="006724E9" w:rsidRPr="00F7263B">
        <w:rPr>
          <w:rFonts w:cs="Times New Roman"/>
          <w:sz w:val="20"/>
          <w:szCs w:val="20"/>
        </w:rPr>
        <w:t>19.58</w:t>
      </w:r>
      <w:r w:rsidRPr="00F7263B">
        <w:rPr>
          <w:rFonts w:cs="Times New Roman"/>
          <w:sz w:val="20"/>
          <w:szCs w:val="20"/>
        </w:rPr>
        <w:t xml:space="preserve"> per year for the 26 new cities and US$2</w:t>
      </w:r>
      <w:r w:rsidR="006724E9" w:rsidRPr="00F7263B">
        <w:rPr>
          <w:rFonts w:cs="Times New Roman"/>
          <w:sz w:val="20"/>
          <w:szCs w:val="20"/>
        </w:rPr>
        <w:t>4.88</w:t>
      </w:r>
      <w:r w:rsidRPr="00F7263B">
        <w:rPr>
          <w:rFonts w:cs="Times New Roman"/>
          <w:sz w:val="20"/>
          <w:szCs w:val="20"/>
        </w:rPr>
        <w:t xml:space="preserve"> per capita per year for the 18 cities already in the Program.</w:t>
      </w:r>
      <w:r w:rsidR="00A2314D">
        <w:rPr>
          <w:rFonts w:cs="Times New Roman"/>
          <w:sz w:val="20"/>
          <w:szCs w:val="20"/>
        </w:rPr>
        <w:t xml:space="preserve"> </w:t>
      </w:r>
      <w:r w:rsidR="008E5800" w:rsidRPr="00F7263B">
        <w:rPr>
          <w:rFonts w:cs="Times New Roman"/>
          <w:sz w:val="20"/>
          <w:szCs w:val="20"/>
        </w:rPr>
        <w:t xml:space="preserve">The indicative Program </w:t>
      </w:r>
      <w:r w:rsidR="001E149C" w:rsidRPr="00F7263B">
        <w:rPr>
          <w:rFonts w:cs="Times New Roman"/>
          <w:sz w:val="20"/>
          <w:szCs w:val="20"/>
        </w:rPr>
        <w:t>allocations to ULGs are</w:t>
      </w:r>
      <w:r w:rsidR="008E5800" w:rsidRPr="00F7263B">
        <w:rPr>
          <w:rFonts w:cs="Times New Roman"/>
          <w:sz w:val="20"/>
          <w:szCs w:val="20"/>
        </w:rPr>
        <w:t xml:space="preserve"> presented below.</w:t>
      </w:r>
    </w:p>
    <w:p w:rsidR="00951220" w:rsidRPr="00F7263B" w:rsidRDefault="00951220" w:rsidP="00254260">
      <w:pPr>
        <w:pStyle w:val="ListParagraph"/>
        <w:tabs>
          <w:tab w:val="left" w:pos="720"/>
          <w:tab w:val="left" w:pos="810"/>
        </w:tabs>
        <w:ind w:left="0"/>
        <w:jc w:val="both"/>
        <w:rPr>
          <w:sz w:val="20"/>
          <w:szCs w:val="20"/>
        </w:rPr>
      </w:pPr>
    </w:p>
    <w:p w:rsidR="00790C3E" w:rsidRPr="00F7263B" w:rsidRDefault="001E149C" w:rsidP="008A11D8">
      <w:pPr>
        <w:spacing w:after="60"/>
        <w:rPr>
          <w:b/>
          <w:sz w:val="20"/>
          <w:szCs w:val="20"/>
        </w:rPr>
      </w:pPr>
      <w:r w:rsidRPr="00F7263B">
        <w:rPr>
          <w:b/>
          <w:sz w:val="20"/>
          <w:szCs w:val="20"/>
        </w:rPr>
        <w:t xml:space="preserve">Table 2: </w:t>
      </w:r>
      <w:r w:rsidR="008E5800" w:rsidRPr="00F7263B">
        <w:rPr>
          <w:b/>
          <w:sz w:val="20"/>
          <w:szCs w:val="20"/>
        </w:rPr>
        <w:t>Ind</w:t>
      </w:r>
      <w:r w:rsidR="00A96884" w:rsidRPr="00F7263B">
        <w:rPr>
          <w:b/>
          <w:sz w:val="20"/>
          <w:szCs w:val="20"/>
        </w:rPr>
        <w:t>icative Program a</w:t>
      </w:r>
      <w:r w:rsidR="008E5800" w:rsidRPr="00F7263B">
        <w:rPr>
          <w:b/>
          <w:sz w:val="20"/>
          <w:szCs w:val="20"/>
        </w:rPr>
        <w:t>llocation to ULGs</w:t>
      </w:r>
    </w:p>
    <w:tbl>
      <w:tblPr>
        <w:tblW w:w="9450" w:type="dxa"/>
        <w:tblInd w:w="108" w:type="dxa"/>
        <w:tblLook w:val="04A0" w:firstRow="1" w:lastRow="0" w:firstColumn="1" w:lastColumn="0" w:noHBand="0" w:noVBand="1"/>
      </w:tblPr>
      <w:tblGrid>
        <w:gridCol w:w="1710"/>
        <w:gridCol w:w="2700"/>
        <w:gridCol w:w="1680"/>
        <w:gridCol w:w="1680"/>
        <w:gridCol w:w="1680"/>
      </w:tblGrid>
      <w:tr w:rsidR="00472184" w:rsidRPr="00F7263B" w:rsidTr="00254260">
        <w:trPr>
          <w:trHeight w:val="818"/>
          <w:tblHeader/>
        </w:trPr>
        <w:tc>
          <w:tcPr>
            <w:tcW w:w="1710" w:type="dxa"/>
            <w:tcBorders>
              <w:top w:val="single" w:sz="4" w:space="0" w:color="auto"/>
              <w:left w:val="single" w:sz="4" w:space="0" w:color="auto"/>
              <w:bottom w:val="single" w:sz="4" w:space="0" w:color="auto"/>
              <w:right w:val="single" w:sz="4" w:space="0" w:color="auto"/>
            </w:tcBorders>
            <w:shd w:val="clear" w:color="000000" w:fill="D9D9D9"/>
          </w:tcPr>
          <w:p w:rsidR="00472184" w:rsidRPr="00F7263B" w:rsidRDefault="00472184" w:rsidP="00A9743F">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 xml:space="preserve">City </w:t>
            </w:r>
          </w:p>
        </w:tc>
        <w:tc>
          <w:tcPr>
            <w:tcW w:w="2700" w:type="dxa"/>
            <w:tcBorders>
              <w:top w:val="single" w:sz="4" w:space="0" w:color="auto"/>
              <w:left w:val="nil"/>
              <w:bottom w:val="single" w:sz="4" w:space="0" w:color="auto"/>
              <w:right w:val="single" w:sz="4" w:space="0" w:color="auto"/>
            </w:tcBorders>
            <w:shd w:val="clear" w:color="000000" w:fill="D9D9D9"/>
          </w:tcPr>
          <w:p w:rsidR="00472184" w:rsidRPr="00F7263B" w:rsidRDefault="00472184" w:rsidP="00731DF1">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 xml:space="preserve">City population </w:t>
            </w:r>
          </w:p>
          <w:p w:rsidR="00472184" w:rsidRPr="00F7263B" w:rsidRDefault="00472184" w:rsidP="00570442">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 xml:space="preserve">(2013 estimates, </w:t>
            </w:r>
          </w:p>
          <w:p w:rsidR="00472184" w:rsidRPr="00F7263B" w:rsidRDefault="00472184" w:rsidP="00405DC2">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Central Statistics Agency)</w:t>
            </w:r>
          </w:p>
        </w:tc>
        <w:tc>
          <w:tcPr>
            <w:tcW w:w="1680" w:type="dxa"/>
            <w:tcBorders>
              <w:top w:val="single" w:sz="4" w:space="0" w:color="auto"/>
              <w:left w:val="nil"/>
              <w:bottom w:val="single" w:sz="4" w:space="0" w:color="auto"/>
              <w:right w:val="single" w:sz="4" w:space="0" w:color="auto"/>
            </w:tcBorders>
            <w:shd w:val="clear" w:color="000000" w:fill="D9D9D9"/>
          </w:tcPr>
          <w:p w:rsidR="00472184" w:rsidRPr="00F7263B" w:rsidRDefault="00472184" w:rsidP="00A9743F">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IDA funding</w:t>
            </w:r>
          </w:p>
          <w:p w:rsidR="00472184" w:rsidRPr="00F7263B" w:rsidRDefault="00472184" w:rsidP="00731DF1">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(US$)</w:t>
            </w:r>
          </w:p>
        </w:tc>
        <w:tc>
          <w:tcPr>
            <w:tcW w:w="1680" w:type="dxa"/>
            <w:tcBorders>
              <w:top w:val="single" w:sz="4" w:space="0" w:color="auto"/>
              <w:left w:val="nil"/>
              <w:bottom w:val="single" w:sz="4" w:space="0" w:color="auto"/>
              <w:right w:val="single" w:sz="4" w:space="0" w:color="auto"/>
            </w:tcBorders>
            <w:shd w:val="clear" w:color="000000" w:fill="D9D9D9"/>
          </w:tcPr>
          <w:p w:rsidR="00472184" w:rsidRPr="00F7263B" w:rsidRDefault="00472184" w:rsidP="00A9743F">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Government funding</w:t>
            </w:r>
          </w:p>
          <w:p w:rsidR="00472184" w:rsidRPr="00F7263B" w:rsidRDefault="00472184" w:rsidP="00A9743F">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(US$)</w:t>
            </w:r>
          </w:p>
        </w:tc>
        <w:tc>
          <w:tcPr>
            <w:tcW w:w="1680" w:type="dxa"/>
            <w:tcBorders>
              <w:top w:val="single" w:sz="4" w:space="0" w:color="auto"/>
              <w:left w:val="nil"/>
              <w:bottom w:val="single" w:sz="4" w:space="0" w:color="auto"/>
              <w:right w:val="single" w:sz="4" w:space="0" w:color="auto"/>
            </w:tcBorders>
            <w:shd w:val="clear" w:color="000000" w:fill="D9D9D9"/>
          </w:tcPr>
          <w:p w:rsidR="00472184" w:rsidRPr="00F7263B" w:rsidRDefault="00472184" w:rsidP="00A9743F">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Total indicative Program funding</w:t>
            </w:r>
          </w:p>
          <w:p w:rsidR="00472184" w:rsidRPr="00F7263B" w:rsidRDefault="00472184" w:rsidP="00A9743F">
            <w:pPr>
              <w:jc w:val="center"/>
              <w:rPr>
                <w:rFonts w:eastAsia="Times New Roman" w:cs="Times New Roman"/>
                <w:b/>
                <w:bCs/>
                <w:color w:val="000000"/>
                <w:sz w:val="20"/>
                <w:szCs w:val="20"/>
                <w:lang w:eastAsia="zh-CN"/>
              </w:rPr>
            </w:pPr>
            <w:r w:rsidRPr="00F7263B">
              <w:rPr>
                <w:rFonts w:eastAsia="Times New Roman" w:cs="Times New Roman"/>
                <w:b/>
                <w:bCs/>
                <w:color w:val="000000"/>
                <w:sz w:val="20"/>
                <w:szCs w:val="20"/>
                <w:lang w:eastAsia="zh-CN"/>
              </w:rPr>
              <w:t>(US$)</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Dire Dawa</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269,134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$20,107,894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$10,053,947</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$30,161,840</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Adama</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282,974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$21,141,926</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$12,685,156</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$33,827,082</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DA2BBC"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Mekelle</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286,624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$21,414,630</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$12,848,778</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$34,263,407</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lastRenderedPageBreak/>
              <w:t>Gondar</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264,964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$19,796,339</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$11,877,803</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$31,674,143</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Hawassa</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225,686</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$16,861,749</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$10,117,050</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$26,978,799</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Bahir Dar</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198,909</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$14,861,151</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$8,916,691</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$23,777,842</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i/>
                <w:iCs/>
                <w:color w:val="000000"/>
                <w:sz w:val="20"/>
                <w:szCs w:val="20"/>
                <w:lang w:eastAsia="zh-CN"/>
              </w:rPr>
            </w:pPr>
            <w:r w:rsidRPr="00F7263B">
              <w:rPr>
                <w:rFonts w:eastAsia="Times New Roman" w:cs="Times New Roman"/>
                <w:i/>
                <w:iCs/>
                <w:color w:val="000000"/>
                <w:sz w:val="20"/>
                <w:szCs w:val="20"/>
                <w:lang w:eastAsia="zh-CN"/>
              </w:rPr>
              <w:t>Jijiga</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152,674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$9,757,346</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$2,927,204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$12,684,550</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Jimma</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155,434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$11,612,990</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$6,967,794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$18,580,783</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Dessie</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153,691</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$11,482,764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$6,889,659</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$18,372,423</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Shashemene</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129,084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$9,644,294</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$5,786,576</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$15,430,870</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Bishoftu</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128,408</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$9,593,788</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$5,756,273</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$15,350,060</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Harar</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112,781</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$8,426,243</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$4,213,121</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$12,639,364</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Sodo</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109,225</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$8,160,562</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$4,896,337</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$13,056,899</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Nekemte</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96,657</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$6,177,318</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$3,088,659</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$9,265,976</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Arba Minch</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107,542</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$8,034,819</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$4,820,892</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$12,855,711</w:t>
            </w:r>
          </w:p>
        </w:tc>
      </w:tr>
      <w:tr w:rsidR="00472184" w:rsidRPr="00F7263B" w:rsidTr="00254260">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Hosaena</w:t>
            </w:r>
          </w:p>
        </w:tc>
        <w:tc>
          <w:tcPr>
            <w:tcW w:w="270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100,528</w:t>
            </w:r>
          </w:p>
        </w:tc>
        <w:tc>
          <w:tcPr>
            <w:tcW w:w="168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$6,424,712</w:t>
            </w:r>
          </w:p>
        </w:tc>
        <w:tc>
          <w:tcPr>
            <w:tcW w:w="168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$3,212,356</w:t>
            </w:r>
          </w:p>
        </w:tc>
        <w:tc>
          <w:tcPr>
            <w:tcW w:w="168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$9,637,068</w:t>
            </w:r>
          </w:p>
        </w:tc>
      </w:tr>
      <w:tr w:rsidR="00472184" w:rsidRPr="00F7263B" w:rsidTr="00254260">
        <w:trPr>
          <w:trHeight w:val="300"/>
        </w:trPr>
        <w:tc>
          <w:tcPr>
            <w:tcW w:w="1710" w:type="dxa"/>
            <w:tcBorders>
              <w:top w:val="single" w:sz="4" w:space="0" w:color="auto"/>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Asela</w:t>
            </w:r>
          </w:p>
        </w:tc>
        <w:tc>
          <w:tcPr>
            <w:tcW w:w="270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86,441</w:t>
            </w:r>
          </w:p>
        </w:tc>
        <w:tc>
          <w:tcPr>
            <w:tcW w:w="168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$5,524,416</w:t>
            </w:r>
          </w:p>
        </w:tc>
        <w:tc>
          <w:tcPr>
            <w:tcW w:w="168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$2,762,208</w:t>
            </w:r>
          </w:p>
        </w:tc>
        <w:tc>
          <w:tcPr>
            <w:tcW w:w="1680" w:type="dxa"/>
            <w:tcBorders>
              <w:top w:val="single" w:sz="4" w:space="0" w:color="auto"/>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$8,286,624</w:t>
            </w:r>
          </w:p>
        </w:tc>
      </w:tr>
      <w:tr w:rsidR="0047218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472184" w:rsidRPr="00F7263B" w:rsidRDefault="00472184" w:rsidP="00A9743F">
            <w:pPr>
              <w:rPr>
                <w:rFonts w:eastAsia="Times New Roman" w:cs="Times New Roman"/>
                <w:color w:val="000000"/>
                <w:sz w:val="20"/>
                <w:szCs w:val="20"/>
                <w:lang w:eastAsia="zh-CN"/>
              </w:rPr>
            </w:pPr>
            <w:r w:rsidRPr="00F7263B">
              <w:rPr>
                <w:rFonts w:eastAsia="Times New Roman" w:cs="Times New Roman"/>
                <w:color w:val="000000"/>
                <w:sz w:val="20"/>
                <w:szCs w:val="20"/>
                <w:lang w:eastAsia="zh-CN"/>
              </w:rPr>
              <w:t>DebreBrehan</w:t>
            </w:r>
          </w:p>
        </w:tc>
        <w:tc>
          <w:tcPr>
            <w:tcW w:w="270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center"/>
              <w:rPr>
                <w:rFonts w:eastAsia="Times New Roman" w:cs="Times New Roman"/>
                <w:color w:val="000000"/>
                <w:sz w:val="20"/>
                <w:szCs w:val="20"/>
                <w:lang w:eastAsia="zh-CN"/>
              </w:rPr>
            </w:pPr>
            <w:r w:rsidRPr="00F7263B">
              <w:rPr>
                <w:rFonts w:eastAsia="Times New Roman" w:cs="Times New Roman"/>
                <w:color w:val="000000"/>
                <w:sz w:val="20"/>
                <w:szCs w:val="20"/>
                <w:lang w:eastAsia="zh-CN"/>
              </w:rPr>
              <w:t>83,479</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$5,335,116</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$2,667,558</w:t>
            </w:r>
          </w:p>
        </w:tc>
        <w:tc>
          <w:tcPr>
            <w:tcW w:w="1680" w:type="dxa"/>
            <w:tcBorders>
              <w:top w:val="nil"/>
              <w:left w:val="nil"/>
              <w:bottom w:val="single" w:sz="4" w:space="0" w:color="auto"/>
              <w:right w:val="single" w:sz="4" w:space="0" w:color="auto"/>
            </w:tcBorders>
            <w:shd w:val="clear" w:color="000000" w:fill="FFFFFF"/>
            <w:vAlign w:val="bottom"/>
          </w:tcPr>
          <w:p w:rsidR="00472184" w:rsidRPr="00F7263B" w:rsidRDefault="00472184" w:rsidP="00A9743F">
            <w:pPr>
              <w:jc w:val="right"/>
              <w:rPr>
                <w:rFonts w:eastAsia="Times New Roman" w:cs="Times New Roman"/>
                <w:color w:val="000000"/>
                <w:sz w:val="20"/>
                <w:szCs w:val="20"/>
                <w:lang w:eastAsia="zh-CN"/>
              </w:rPr>
            </w:pPr>
            <w:r w:rsidRPr="00F7263B">
              <w:rPr>
                <w:rFonts w:eastAsia="Times New Roman" w:cs="Times New Roman"/>
                <w:color w:val="000000"/>
                <w:sz w:val="20"/>
                <w:szCs w:val="20"/>
                <w:lang w:eastAsia="zh-CN"/>
              </w:rPr>
              <w:t>$8,002,674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Dire Dawa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269,134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$21,108,224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$10,554,112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$31,662,336</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Adama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282,974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$22,193,697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$13,316,218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$35,509,916</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 xml:space="preserve">Debub/Semen Mekele </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color w:val="000000"/>
                <w:sz w:val="20"/>
                <w:szCs w:val="20"/>
                <w:lang w:val="da-DK" w:eastAsia="da-DK"/>
              </w:rPr>
            </w:pPr>
            <w:r w:rsidRPr="00F7263B">
              <w:rPr>
                <w:color w:val="000000"/>
                <w:sz w:val="20"/>
                <w:szCs w:val="20"/>
                <w:lang w:val="da-DK" w:eastAsia="da-DK"/>
              </w:rPr>
              <w:t>286,624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$22,479,967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$13,487,980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$35,967,948</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Gondar</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264,964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$20,781,170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$12,468,702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$33,249,872</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Hawassa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225,686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$17,700,590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$10,620,354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$28,320,944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Bahir Dar</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198,909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$15,600,466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$9,360,279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$24,960,745</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iCs/>
                <w:color w:val="000000"/>
                <w:sz w:val="20"/>
                <w:szCs w:val="20"/>
                <w:lang w:val="da-DK" w:eastAsia="da-DK"/>
              </w:rPr>
            </w:pPr>
            <w:r w:rsidRPr="00F7263B">
              <w:rPr>
                <w:sz w:val="20"/>
                <w:szCs w:val="20"/>
                <w:lang w:val="da-DK" w:eastAsia="da-DK"/>
              </w:rPr>
              <w:t>Jijiga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152,674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$10,211,319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$3,063,396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$13,274,714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Jimma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155,434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$12,190,714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$7,314,429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$19,505,143</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Dessie</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153,691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$12,054,010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$7,232,406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$19,286,417</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Shashemene</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129,084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$10,124,079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$6,074,448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$16,198,527</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Bishoftu</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128,408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$10,071,061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$6,042,636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$16,113,697</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Harar</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112,781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$8,845,432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$4,422,716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$13,268,149</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Sodo</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109,225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$8,566,535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$5,139,921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$13,706,456</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Nekemte</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96,657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$6,464,725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$3,232,363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$9,697,088</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Arba Minch</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107,542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$8,434,537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$5,060,722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$13,495,259</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Hosaena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100,528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$6,723,630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$3,361,815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$10,085,445</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Asela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86,441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$5,781,447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$2,890,723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$8,672,170</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Debre Brehan</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83,479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$5,583,339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$2,791,669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$8,375,008</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Debere Markos</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79,980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$5,349,315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$2,674,657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$8,023,972</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Dila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84,952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$6,662,799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$3,997,680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$10,660,479</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Kombolcha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75,078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$5,888,380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$3,533,028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$9,421,408</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Adigrat</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76,447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$5,995,751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$3,597,450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$9,593,201</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DebreTabor</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71,149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$4,758,670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$2,379,335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$7,138,004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lastRenderedPageBreak/>
              <w:t>Sebeta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63,391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$4,239,790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$2,119,895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$6,359,685</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Burayu</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62,806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$4,200,663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$2,100,332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$6,300,995</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Ambo</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61,900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$4,140,067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$2,070,034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$6,210,101</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Shire Enidasilase</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62,769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$4,922,983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$2,953,790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$7,876,773</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Woldiya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59,046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$3,949,183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$1,974,591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$5,923,774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Axum</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59,269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$4,648,477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$2,789,086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$7,437,564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Robe</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57,031</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$3,814,413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$1,907,207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$5,721,620</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Zeway / Batu</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56,104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$3,752,412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$1,876,206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$5,628,619</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Adwa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53,763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$3,595,839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$1,797,920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$5,393,759</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color w:val="000000"/>
                <w:sz w:val="20"/>
                <w:szCs w:val="20"/>
                <w:lang w:val="da-DK" w:eastAsia="da-DK"/>
              </w:rPr>
            </w:pPr>
            <w:r w:rsidRPr="00F7263B">
              <w:rPr>
                <w:color w:val="000000"/>
                <w:sz w:val="20"/>
                <w:szCs w:val="20"/>
                <w:lang w:val="da-DK" w:eastAsia="da-DK"/>
              </w:rPr>
              <w:t>Gambella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64,499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$4,313,897</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$1,294,169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$5,608,066</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Butajira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47,978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$3,208,920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$1,604,460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$4,813,380</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Alamata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44,092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$2,949,012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$1,474,506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$4,423,518</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Areka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45,109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$3,017,032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$1,508,516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$4,525,548</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Yirga Alem</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43,586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$2,915,169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$1,457,585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$4,372,754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Wukro</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40,103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$2,682,215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$1,341,108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$4,023,323</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Mota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33,500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$2,240,586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$1,120,293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$3,360,878</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Finote Selam</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33,162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$2,217,979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$1,108,990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$3,326,969</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color w:val="000000"/>
                <w:sz w:val="20"/>
                <w:szCs w:val="20"/>
                <w:lang w:val="da-DK" w:eastAsia="da-DK"/>
              </w:rPr>
            </w:pPr>
            <w:r w:rsidRPr="00F7263B">
              <w:rPr>
                <w:color w:val="000000"/>
                <w:sz w:val="20"/>
                <w:szCs w:val="20"/>
                <w:lang w:val="da-DK" w:eastAsia="da-DK"/>
              </w:rPr>
              <w:t>Asosa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40,686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$2,721,208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$816,362</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$3,537,570</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Mizan</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33,240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$2,223,196</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$1,111,598</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$3,334,794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sz w:val="20"/>
                <w:szCs w:val="20"/>
                <w:lang w:val="da-DK" w:eastAsia="da-DK"/>
              </w:rPr>
            </w:pPr>
            <w:r w:rsidRPr="00F7263B">
              <w:rPr>
                <w:sz w:val="20"/>
                <w:szCs w:val="20"/>
                <w:lang w:val="da-DK" w:eastAsia="da-DK"/>
              </w:rPr>
              <w:t>Humera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28,744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$1,922,489</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$961,245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$2,883,734</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color w:val="000000"/>
                <w:sz w:val="20"/>
                <w:szCs w:val="20"/>
                <w:lang w:val="da-DK" w:eastAsia="da-DK"/>
              </w:rPr>
            </w:pPr>
            <w:r w:rsidRPr="00F7263B">
              <w:rPr>
                <w:color w:val="000000"/>
                <w:sz w:val="20"/>
                <w:szCs w:val="20"/>
                <w:lang w:val="da-DK" w:eastAsia="da-DK"/>
              </w:rPr>
              <w:t>Samera</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sz w:val="20"/>
                <w:szCs w:val="20"/>
                <w:lang w:val="da-DK" w:eastAsia="da-DK"/>
              </w:rPr>
            </w:pPr>
            <w:r w:rsidRPr="00F7263B">
              <w:rPr>
                <w:sz w:val="20"/>
                <w:szCs w:val="20"/>
                <w:lang w:val="da-DK" w:eastAsia="da-DK"/>
              </w:rPr>
              <w:t>26,234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$1,754,613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$526,384</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sz w:val="20"/>
                <w:szCs w:val="20"/>
                <w:lang w:val="da-DK" w:eastAsia="da-DK"/>
              </w:rPr>
            </w:pPr>
            <w:r w:rsidRPr="00F7263B">
              <w:rPr>
                <w:sz w:val="20"/>
                <w:szCs w:val="20"/>
                <w:lang w:val="da-DK" w:eastAsia="da-DK"/>
              </w:rPr>
              <w:t>$2,280,996</w:t>
            </w:r>
          </w:p>
        </w:tc>
      </w:tr>
      <w:tr w:rsidR="00E17AB4" w:rsidRPr="00F7263B" w:rsidTr="00254260">
        <w:trPr>
          <w:trHeight w:val="300"/>
        </w:trPr>
        <w:tc>
          <w:tcPr>
            <w:tcW w:w="1710" w:type="dxa"/>
            <w:tcBorders>
              <w:top w:val="nil"/>
              <w:left w:val="single" w:sz="4" w:space="0" w:color="auto"/>
              <w:bottom w:val="single" w:sz="4" w:space="0" w:color="auto"/>
              <w:right w:val="single" w:sz="4" w:space="0" w:color="auto"/>
            </w:tcBorders>
            <w:shd w:val="clear" w:color="000000" w:fill="FFFFFF"/>
            <w:vAlign w:val="bottom"/>
          </w:tcPr>
          <w:p w:rsidR="00E17AB4" w:rsidRPr="00F7263B" w:rsidRDefault="00E17AB4" w:rsidP="00E17AB4">
            <w:pPr>
              <w:rPr>
                <w:b/>
                <w:bCs/>
                <w:color w:val="000000"/>
                <w:sz w:val="20"/>
                <w:szCs w:val="20"/>
                <w:lang w:val="da-DK" w:eastAsia="da-DK"/>
              </w:rPr>
            </w:pPr>
            <w:r w:rsidRPr="00F7263B">
              <w:rPr>
                <w:b/>
                <w:bCs/>
                <w:color w:val="000000"/>
                <w:sz w:val="20"/>
                <w:szCs w:val="20"/>
                <w:lang w:val="da-DK" w:eastAsia="da-DK"/>
              </w:rPr>
              <w:t xml:space="preserve">Total </w:t>
            </w:r>
          </w:p>
        </w:tc>
        <w:tc>
          <w:tcPr>
            <w:tcW w:w="270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center"/>
              <w:rPr>
                <w:b/>
                <w:bCs/>
                <w:color w:val="000000"/>
                <w:sz w:val="20"/>
                <w:szCs w:val="20"/>
                <w:lang w:val="da-DK" w:eastAsia="da-DK"/>
              </w:rPr>
            </w:pPr>
            <w:r w:rsidRPr="00F7263B">
              <w:rPr>
                <w:b/>
                <w:bCs/>
                <w:color w:val="000000"/>
                <w:sz w:val="20"/>
                <w:szCs w:val="20"/>
                <w:lang w:val="da-DK" w:eastAsia="da-DK"/>
              </w:rPr>
              <w:t>4,348,853</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b/>
                <w:bCs/>
                <w:color w:val="000000"/>
                <w:sz w:val="20"/>
                <w:szCs w:val="20"/>
                <w:lang w:val="da-DK" w:eastAsia="da-DK"/>
              </w:rPr>
            </w:pPr>
            <w:r w:rsidRPr="00F7263B">
              <w:rPr>
                <w:b/>
                <w:bCs/>
                <w:color w:val="000000"/>
                <w:sz w:val="20"/>
                <w:szCs w:val="20"/>
                <w:lang w:val="da-DK" w:eastAsia="da-DK"/>
              </w:rPr>
              <w:t>$323,000,000</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b/>
                <w:bCs/>
                <w:color w:val="000000"/>
                <w:sz w:val="20"/>
                <w:szCs w:val="20"/>
                <w:lang w:val="da-DK" w:eastAsia="da-DK"/>
              </w:rPr>
            </w:pPr>
            <w:r w:rsidRPr="00F7263B">
              <w:rPr>
                <w:b/>
                <w:bCs/>
                <w:color w:val="000000"/>
                <w:sz w:val="20"/>
                <w:szCs w:val="20"/>
                <w:lang w:val="da-DK" w:eastAsia="da-DK"/>
              </w:rPr>
              <w:t>$176,531,315</w:t>
            </w:r>
          </w:p>
        </w:tc>
        <w:tc>
          <w:tcPr>
            <w:tcW w:w="1680" w:type="dxa"/>
            <w:tcBorders>
              <w:top w:val="nil"/>
              <w:left w:val="nil"/>
              <w:bottom w:val="single" w:sz="4" w:space="0" w:color="auto"/>
              <w:right w:val="single" w:sz="4" w:space="0" w:color="auto"/>
            </w:tcBorders>
            <w:shd w:val="clear" w:color="000000" w:fill="FFFFFF"/>
            <w:vAlign w:val="bottom"/>
          </w:tcPr>
          <w:p w:rsidR="00E17AB4" w:rsidRPr="00F7263B" w:rsidRDefault="00E17AB4" w:rsidP="00E17AB4">
            <w:pPr>
              <w:jc w:val="right"/>
              <w:rPr>
                <w:b/>
                <w:bCs/>
                <w:sz w:val="20"/>
                <w:szCs w:val="20"/>
                <w:lang w:val="da-DK" w:eastAsia="da-DK"/>
              </w:rPr>
            </w:pPr>
            <w:r w:rsidRPr="00F7263B">
              <w:rPr>
                <w:b/>
                <w:bCs/>
                <w:sz w:val="20"/>
                <w:szCs w:val="20"/>
                <w:lang w:val="da-DK" w:eastAsia="da-DK"/>
              </w:rPr>
              <w:t>$499,531,315</w:t>
            </w:r>
          </w:p>
        </w:tc>
      </w:tr>
    </w:tbl>
    <w:p w:rsidR="00FB183E" w:rsidRPr="00F7263B" w:rsidRDefault="00FB183E" w:rsidP="00254260">
      <w:pPr>
        <w:pStyle w:val="ListParagraph"/>
        <w:ind w:left="0"/>
        <w:jc w:val="both"/>
        <w:rPr>
          <w:sz w:val="20"/>
          <w:szCs w:val="20"/>
        </w:rPr>
      </w:pPr>
    </w:p>
    <w:p w:rsidR="006E7278" w:rsidRPr="00F7263B" w:rsidRDefault="00A96884" w:rsidP="00827BD7">
      <w:pPr>
        <w:pStyle w:val="ListParagraph"/>
        <w:numPr>
          <w:ilvl w:val="0"/>
          <w:numId w:val="29"/>
        </w:numPr>
        <w:ind w:left="0" w:firstLine="0"/>
        <w:jc w:val="both"/>
        <w:rPr>
          <w:rFonts w:cs="Times New Roman"/>
          <w:sz w:val="20"/>
          <w:szCs w:val="20"/>
        </w:rPr>
      </w:pPr>
      <w:r w:rsidRPr="00F7263B">
        <w:rPr>
          <w:rFonts w:cs="Times New Roman"/>
          <w:b/>
          <w:sz w:val="20"/>
          <w:szCs w:val="20"/>
        </w:rPr>
        <w:t>Annual performance assessments</w:t>
      </w:r>
      <w:r w:rsidR="00A2314D">
        <w:rPr>
          <w:rFonts w:cs="Times New Roman"/>
          <w:b/>
          <w:sz w:val="20"/>
          <w:szCs w:val="20"/>
        </w:rPr>
        <w:t xml:space="preserve"> </w:t>
      </w:r>
      <w:r w:rsidRPr="00F7263B">
        <w:rPr>
          <w:rFonts w:cs="Times New Roman"/>
          <w:b/>
          <w:sz w:val="20"/>
          <w:szCs w:val="20"/>
        </w:rPr>
        <w:t>(APA</w:t>
      </w:r>
      <w:r w:rsidR="00472184" w:rsidRPr="00F7263B">
        <w:rPr>
          <w:rFonts w:cs="Times New Roman"/>
          <w:b/>
          <w:sz w:val="20"/>
          <w:szCs w:val="20"/>
        </w:rPr>
        <w:t>s</w:t>
      </w:r>
      <w:r w:rsidRPr="00F7263B">
        <w:rPr>
          <w:rFonts w:cs="Times New Roman"/>
          <w:b/>
          <w:sz w:val="20"/>
          <w:szCs w:val="20"/>
        </w:rPr>
        <w:t>)will be carried out each year to review each city’s performance.</w:t>
      </w:r>
      <w:r w:rsidR="00A2314D">
        <w:rPr>
          <w:rFonts w:cs="Times New Roman"/>
          <w:b/>
          <w:sz w:val="20"/>
          <w:szCs w:val="20"/>
        </w:rPr>
        <w:t xml:space="preserve"> </w:t>
      </w:r>
      <w:r w:rsidRPr="00F7263B">
        <w:rPr>
          <w:rFonts w:cs="Times New Roman"/>
          <w:sz w:val="20"/>
          <w:szCs w:val="20"/>
        </w:rPr>
        <w:t>The APA</w:t>
      </w:r>
      <w:r w:rsidR="007175D2" w:rsidRPr="00F7263B">
        <w:rPr>
          <w:rFonts w:cs="Times New Roman"/>
          <w:sz w:val="20"/>
          <w:szCs w:val="20"/>
        </w:rPr>
        <w:t>s</w:t>
      </w:r>
      <w:r w:rsidRPr="00F7263B">
        <w:rPr>
          <w:rFonts w:cs="Times New Roman"/>
          <w:sz w:val="20"/>
          <w:szCs w:val="20"/>
        </w:rPr>
        <w:t xml:space="preserve"> will review (a) a set of minimum conditions that each ULG will be required to fulfill each year of the Program, and (b) a list of performance measures which track</w:t>
      </w:r>
      <w:r w:rsidR="00A2314D">
        <w:rPr>
          <w:rFonts w:cs="Times New Roman"/>
          <w:sz w:val="20"/>
          <w:szCs w:val="20"/>
        </w:rPr>
        <w:t xml:space="preserve"> </w:t>
      </w:r>
      <w:r w:rsidRPr="00F7263B">
        <w:rPr>
          <w:rFonts w:cs="Times New Roman"/>
          <w:sz w:val="20"/>
          <w:szCs w:val="20"/>
        </w:rPr>
        <w:t xml:space="preserve">each city’s progress each year.  Minimum conditions will function like green and red lights and the performance measures will determine each city’s score.  </w:t>
      </w:r>
      <w:r w:rsidRPr="00F7263B">
        <w:rPr>
          <w:rFonts w:cs="Times New Roman"/>
          <w:color w:val="000000"/>
          <w:sz w:val="20"/>
          <w:szCs w:val="20"/>
        </w:rPr>
        <w:t xml:space="preserve">Key results areas measured are (a) </w:t>
      </w:r>
      <w:r w:rsidRPr="00F7263B">
        <w:rPr>
          <w:rFonts w:cs="Times New Roman"/>
          <w:sz w:val="20"/>
          <w:szCs w:val="20"/>
        </w:rPr>
        <w:t>participation</w:t>
      </w:r>
      <w:r w:rsidRPr="00F7263B">
        <w:rPr>
          <w:rFonts w:cs="Times New Roman"/>
          <w:color w:val="000000"/>
          <w:sz w:val="20"/>
          <w:szCs w:val="20"/>
        </w:rPr>
        <w:t xml:space="preserve"> of citizens in planning and budgeting, (b) fiduciary management, (c) mobilization of own source municipal revenues, (d) delivery of new infrastructure and services, and operation and maintenance of existing infrastructure and services, (e) accountability and oversight systems</w:t>
      </w:r>
      <w:r w:rsidR="00D22F52" w:rsidRPr="00F7263B">
        <w:rPr>
          <w:rFonts w:cs="Times New Roman"/>
          <w:color w:val="000000"/>
          <w:sz w:val="20"/>
          <w:szCs w:val="20"/>
        </w:rPr>
        <w:t xml:space="preserve"> and (f) environmental and social safeguards</w:t>
      </w:r>
      <w:r w:rsidRPr="00F7263B">
        <w:rPr>
          <w:rFonts w:cs="Times New Roman"/>
          <w:color w:val="000000"/>
          <w:sz w:val="20"/>
          <w:szCs w:val="20"/>
        </w:rPr>
        <w:t xml:space="preserve">.  </w:t>
      </w:r>
      <w:r w:rsidRPr="00F7263B">
        <w:rPr>
          <w:rFonts w:cs="Times New Roman"/>
          <w:sz w:val="20"/>
          <w:szCs w:val="20"/>
        </w:rPr>
        <w:t>The results of the APA will also be used to verify the DLIs, which are elaborated in later sections.</w:t>
      </w:r>
    </w:p>
    <w:p w:rsidR="00951220" w:rsidRPr="00F7263B" w:rsidRDefault="00951220" w:rsidP="00254260">
      <w:pPr>
        <w:pStyle w:val="ListParagraph"/>
        <w:ind w:left="0"/>
        <w:jc w:val="both"/>
        <w:rPr>
          <w:sz w:val="20"/>
          <w:szCs w:val="20"/>
        </w:rPr>
      </w:pPr>
    </w:p>
    <w:p w:rsidR="00A9743F" w:rsidRPr="00F7263B" w:rsidRDefault="00951220" w:rsidP="00827BD7">
      <w:pPr>
        <w:pStyle w:val="ListParagraph"/>
        <w:numPr>
          <w:ilvl w:val="0"/>
          <w:numId w:val="29"/>
        </w:numPr>
        <w:ind w:left="0" w:firstLine="0"/>
        <w:jc w:val="both"/>
        <w:rPr>
          <w:sz w:val="20"/>
          <w:szCs w:val="20"/>
        </w:rPr>
      </w:pPr>
      <w:r w:rsidRPr="00F7263B">
        <w:rPr>
          <w:b/>
          <w:sz w:val="20"/>
          <w:szCs w:val="20"/>
        </w:rPr>
        <w:t xml:space="preserve">The APA will be aligned with the ULG planning and budgeting process to ensure that results are available prior to the planning of the investment for the coming </w:t>
      </w:r>
      <w:r w:rsidR="00025663" w:rsidRPr="00F7263B">
        <w:rPr>
          <w:b/>
          <w:sz w:val="20"/>
          <w:szCs w:val="20"/>
        </w:rPr>
        <w:t>financial year.</w:t>
      </w:r>
      <w:r w:rsidR="00A2314D">
        <w:rPr>
          <w:b/>
          <w:sz w:val="20"/>
          <w:szCs w:val="20"/>
        </w:rPr>
        <w:t xml:space="preserve"> </w:t>
      </w:r>
      <w:r w:rsidR="00A9743F" w:rsidRPr="00F7263B">
        <w:rPr>
          <w:sz w:val="20"/>
          <w:szCs w:val="20"/>
        </w:rPr>
        <w:t>T</w:t>
      </w:r>
      <w:r w:rsidR="00731DF1" w:rsidRPr="00F7263B">
        <w:rPr>
          <w:sz w:val="20"/>
          <w:szCs w:val="20"/>
        </w:rPr>
        <w:t>able</w:t>
      </w:r>
      <w:r w:rsidR="00A9743F" w:rsidRPr="00F7263B">
        <w:rPr>
          <w:sz w:val="20"/>
          <w:szCs w:val="20"/>
        </w:rPr>
        <w:t xml:space="preserve"> 3</w:t>
      </w:r>
      <w:r w:rsidR="00731DF1" w:rsidRPr="00F7263B">
        <w:rPr>
          <w:sz w:val="20"/>
          <w:szCs w:val="20"/>
        </w:rPr>
        <w:t xml:space="preserve"> below shows the overall time-plan for the assessments when the system is fully operational.  Some of the major </w:t>
      </w:r>
      <w:r w:rsidR="00731DF1" w:rsidRPr="00F7263B">
        <w:rPr>
          <w:rFonts w:cs="Times New Roman"/>
          <w:sz w:val="20"/>
          <w:szCs w:val="20"/>
        </w:rPr>
        <w:t>milestones</w:t>
      </w:r>
      <w:r w:rsidR="00731DF1" w:rsidRPr="00F7263B">
        <w:rPr>
          <w:sz w:val="20"/>
          <w:szCs w:val="20"/>
        </w:rPr>
        <w:t xml:space="preserve"> are: (a) the internal assessments to be completed no later than August, (b) external assessments to be completed in October/November, including quality assurance and verification, (c)</w:t>
      </w:r>
      <w:r w:rsidR="00A2314D">
        <w:rPr>
          <w:sz w:val="20"/>
          <w:szCs w:val="20"/>
        </w:rPr>
        <w:t xml:space="preserve"> </w:t>
      </w:r>
      <w:r w:rsidR="00731DF1" w:rsidRPr="00F7263B">
        <w:rPr>
          <w:sz w:val="20"/>
          <w:szCs w:val="20"/>
        </w:rPr>
        <w:t>input to the planning process (indicative planning figures) to be provided in December/January, and (d) the final input—the audit reports of the previous fiscal year—to be given in January.  The assessments in the first year will be delayed due to the start-up of the program, and transitional arrangements are</w:t>
      </w:r>
      <w:r w:rsidR="00A2314D">
        <w:rPr>
          <w:sz w:val="20"/>
          <w:szCs w:val="20"/>
        </w:rPr>
        <w:t xml:space="preserve"> </w:t>
      </w:r>
      <w:r w:rsidR="00731DF1" w:rsidRPr="00F7263B">
        <w:rPr>
          <w:sz w:val="20"/>
          <w:szCs w:val="20"/>
        </w:rPr>
        <w:t xml:space="preserve">planned for.  The first assessment will start in March and be completed prior to the start of Ethiopia’s financial year 2014/15.  </w:t>
      </w:r>
    </w:p>
    <w:p w:rsidR="00A9743F" w:rsidRPr="00F7263B" w:rsidRDefault="00A9743F" w:rsidP="00254260">
      <w:pPr>
        <w:pStyle w:val="ListParagraph"/>
        <w:ind w:left="0"/>
        <w:jc w:val="both"/>
        <w:rPr>
          <w:sz w:val="20"/>
          <w:szCs w:val="20"/>
        </w:rPr>
      </w:pPr>
    </w:p>
    <w:p w:rsidR="00A9743F" w:rsidRPr="00F7263B" w:rsidRDefault="00A9743F" w:rsidP="00A9743F">
      <w:pPr>
        <w:pStyle w:val="Tableheading"/>
        <w:spacing w:before="0" w:after="60"/>
        <w:jc w:val="left"/>
        <w:rPr>
          <w:i w:val="0"/>
        </w:rPr>
      </w:pPr>
      <w:r w:rsidRPr="00F7263B">
        <w:rPr>
          <w:i w:val="0"/>
        </w:rPr>
        <w:t>Table 3: Overview of the timing of core activities in the assessment cycle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8"/>
        <w:gridCol w:w="2610"/>
        <w:gridCol w:w="3362"/>
      </w:tblGrid>
      <w:tr w:rsidR="00A9743F" w:rsidRPr="00F7263B" w:rsidTr="00254260">
        <w:trPr>
          <w:tblHeader/>
        </w:trPr>
        <w:tc>
          <w:tcPr>
            <w:tcW w:w="3528" w:type="dxa"/>
            <w:shd w:val="clear" w:color="auto" w:fill="FBD4B4" w:themeFill="accent6" w:themeFillTint="66"/>
          </w:tcPr>
          <w:p w:rsidR="00A9743F" w:rsidRPr="00F7263B" w:rsidRDefault="00A9743F" w:rsidP="00A9743F">
            <w:pPr>
              <w:jc w:val="both"/>
              <w:rPr>
                <w:b/>
                <w:sz w:val="20"/>
                <w:szCs w:val="20"/>
              </w:rPr>
            </w:pPr>
            <w:r w:rsidRPr="00F7263B">
              <w:rPr>
                <w:b/>
                <w:sz w:val="20"/>
                <w:szCs w:val="20"/>
              </w:rPr>
              <w:lastRenderedPageBreak/>
              <w:t>Activity</w:t>
            </w:r>
          </w:p>
        </w:tc>
        <w:tc>
          <w:tcPr>
            <w:tcW w:w="2610" w:type="dxa"/>
            <w:shd w:val="clear" w:color="auto" w:fill="FBD4B4" w:themeFill="accent6" w:themeFillTint="66"/>
          </w:tcPr>
          <w:p w:rsidR="00A9743F" w:rsidRPr="00F7263B" w:rsidRDefault="00A9743F" w:rsidP="00A9743F">
            <w:pPr>
              <w:jc w:val="center"/>
              <w:rPr>
                <w:b/>
                <w:sz w:val="20"/>
                <w:szCs w:val="20"/>
              </w:rPr>
            </w:pPr>
            <w:r w:rsidRPr="00F7263B">
              <w:rPr>
                <w:b/>
                <w:sz w:val="20"/>
                <w:szCs w:val="20"/>
              </w:rPr>
              <w:t>Timing</w:t>
            </w:r>
          </w:p>
        </w:tc>
        <w:tc>
          <w:tcPr>
            <w:tcW w:w="3362" w:type="dxa"/>
            <w:shd w:val="clear" w:color="auto" w:fill="FBD4B4" w:themeFill="accent6" w:themeFillTint="66"/>
          </w:tcPr>
          <w:p w:rsidR="00A9743F" w:rsidRPr="00F7263B" w:rsidRDefault="00A9743F" w:rsidP="00A9743F">
            <w:pPr>
              <w:jc w:val="center"/>
              <w:rPr>
                <w:b/>
                <w:sz w:val="20"/>
                <w:szCs w:val="20"/>
              </w:rPr>
            </w:pPr>
            <w:r w:rsidRPr="00F7263B">
              <w:rPr>
                <w:b/>
                <w:sz w:val="20"/>
                <w:szCs w:val="20"/>
              </w:rPr>
              <w:t>Responsibility</w:t>
            </w:r>
          </w:p>
        </w:tc>
      </w:tr>
      <w:tr w:rsidR="00A9743F" w:rsidRPr="00F7263B" w:rsidTr="00254260">
        <w:tc>
          <w:tcPr>
            <w:tcW w:w="3528" w:type="dxa"/>
          </w:tcPr>
          <w:p w:rsidR="00A9743F" w:rsidRPr="00F7263B" w:rsidRDefault="00A9743F" w:rsidP="00A9743F">
            <w:pPr>
              <w:rPr>
                <w:b/>
                <w:sz w:val="20"/>
                <w:szCs w:val="20"/>
              </w:rPr>
            </w:pPr>
            <w:r w:rsidRPr="00F7263B">
              <w:rPr>
                <w:b/>
                <w:sz w:val="20"/>
                <w:szCs w:val="20"/>
              </w:rPr>
              <w:t>General Assessment Cycle</w:t>
            </w:r>
          </w:p>
        </w:tc>
        <w:tc>
          <w:tcPr>
            <w:tcW w:w="2610" w:type="dxa"/>
          </w:tcPr>
          <w:p w:rsidR="00A9743F" w:rsidRPr="00F7263B" w:rsidRDefault="00A9743F" w:rsidP="00A9743F">
            <w:pPr>
              <w:rPr>
                <w:sz w:val="20"/>
                <w:szCs w:val="20"/>
              </w:rPr>
            </w:pPr>
          </w:p>
        </w:tc>
        <w:tc>
          <w:tcPr>
            <w:tcW w:w="3362" w:type="dxa"/>
          </w:tcPr>
          <w:p w:rsidR="00A9743F" w:rsidRPr="00F7263B" w:rsidRDefault="00A9743F" w:rsidP="00A9743F">
            <w:pPr>
              <w:rPr>
                <w:sz w:val="20"/>
                <w:szCs w:val="20"/>
              </w:rPr>
            </w:pPr>
          </w:p>
        </w:tc>
      </w:tr>
      <w:tr w:rsidR="00A9743F" w:rsidRPr="00F7263B" w:rsidTr="00254260">
        <w:tc>
          <w:tcPr>
            <w:tcW w:w="3528" w:type="dxa"/>
          </w:tcPr>
          <w:p w:rsidR="00A9743F" w:rsidRPr="00F7263B" w:rsidRDefault="00A9743F" w:rsidP="00A9743F">
            <w:pPr>
              <w:rPr>
                <w:sz w:val="20"/>
                <w:szCs w:val="20"/>
              </w:rPr>
            </w:pPr>
            <w:r w:rsidRPr="00F7263B">
              <w:rPr>
                <w:sz w:val="20"/>
                <w:szCs w:val="20"/>
              </w:rPr>
              <w:t>Review of experiences from past assessment and necessary changes.</w:t>
            </w:r>
          </w:p>
        </w:tc>
        <w:tc>
          <w:tcPr>
            <w:tcW w:w="2610" w:type="dxa"/>
          </w:tcPr>
          <w:p w:rsidR="00A9743F" w:rsidRPr="00F7263B" w:rsidRDefault="00A9743F" w:rsidP="00A9743F">
            <w:pPr>
              <w:rPr>
                <w:sz w:val="20"/>
                <w:szCs w:val="20"/>
              </w:rPr>
            </w:pPr>
            <w:r w:rsidRPr="00F7263B">
              <w:rPr>
                <w:sz w:val="20"/>
                <w:szCs w:val="20"/>
              </w:rPr>
              <w:t>Future years: February–March</w:t>
            </w:r>
          </w:p>
        </w:tc>
        <w:tc>
          <w:tcPr>
            <w:tcW w:w="3362" w:type="dxa"/>
          </w:tcPr>
          <w:p w:rsidR="00A9743F" w:rsidRPr="00F7263B" w:rsidRDefault="00A9743F" w:rsidP="00A9743F">
            <w:pPr>
              <w:rPr>
                <w:sz w:val="20"/>
                <w:szCs w:val="20"/>
              </w:rPr>
            </w:pPr>
            <w:r w:rsidRPr="00F7263B">
              <w:rPr>
                <w:sz w:val="20"/>
                <w:szCs w:val="20"/>
              </w:rPr>
              <w:t>MUDHCo</w:t>
            </w:r>
          </w:p>
        </w:tc>
      </w:tr>
      <w:tr w:rsidR="00A9743F" w:rsidRPr="00F7263B" w:rsidTr="00254260">
        <w:tc>
          <w:tcPr>
            <w:tcW w:w="3528" w:type="dxa"/>
          </w:tcPr>
          <w:p w:rsidR="00A9743F" w:rsidRPr="00F7263B" w:rsidRDefault="00A9743F" w:rsidP="00A9743F">
            <w:pPr>
              <w:rPr>
                <w:sz w:val="20"/>
                <w:szCs w:val="20"/>
              </w:rPr>
            </w:pPr>
            <w:r w:rsidRPr="00F7263B">
              <w:rPr>
                <w:sz w:val="20"/>
                <w:szCs w:val="20"/>
              </w:rPr>
              <w:t>Information to cities about the assessments with overview of the minimum conditions and performance measures</w:t>
            </w:r>
          </w:p>
        </w:tc>
        <w:tc>
          <w:tcPr>
            <w:tcW w:w="2610" w:type="dxa"/>
          </w:tcPr>
          <w:p w:rsidR="00A9743F" w:rsidRPr="00F7263B" w:rsidRDefault="00A9743F" w:rsidP="00A9743F">
            <w:pPr>
              <w:rPr>
                <w:sz w:val="20"/>
                <w:szCs w:val="20"/>
              </w:rPr>
            </w:pPr>
            <w:r w:rsidRPr="00F7263B">
              <w:rPr>
                <w:sz w:val="20"/>
                <w:szCs w:val="20"/>
              </w:rPr>
              <w:t xml:space="preserve">Four weeks before the external assessments—early August </w:t>
            </w:r>
          </w:p>
        </w:tc>
        <w:tc>
          <w:tcPr>
            <w:tcW w:w="3362" w:type="dxa"/>
          </w:tcPr>
          <w:p w:rsidR="00A9743F" w:rsidRPr="00F7263B" w:rsidRDefault="00A9743F" w:rsidP="00A9743F">
            <w:pPr>
              <w:rPr>
                <w:sz w:val="20"/>
                <w:szCs w:val="20"/>
              </w:rPr>
            </w:pPr>
            <w:r w:rsidRPr="00F7263B">
              <w:rPr>
                <w:sz w:val="20"/>
                <w:szCs w:val="20"/>
              </w:rPr>
              <w:t>MUDHCo</w:t>
            </w:r>
          </w:p>
        </w:tc>
      </w:tr>
      <w:tr w:rsidR="00A9743F" w:rsidRPr="00F7263B" w:rsidTr="00254260">
        <w:tc>
          <w:tcPr>
            <w:tcW w:w="3528" w:type="dxa"/>
          </w:tcPr>
          <w:p w:rsidR="00A9743F" w:rsidRPr="00F7263B" w:rsidRDefault="00A9743F" w:rsidP="00A9743F">
            <w:pPr>
              <w:rPr>
                <w:sz w:val="20"/>
                <w:szCs w:val="20"/>
              </w:rPr>
            </w:pPr>
            <w:r w:rsidRPr="00F7263B">
              <w:rPr>
                <w:sz w:val="20"/>
                <w:szCs w:val="20"/>
              </w:rPr>
              <w:t>Internal assessments</w:t>
            </w:r>
          </w:p>
        </w:tc>
        <w:tc>
          <w:tcPr>
            <w:tcW w:w="2610" w:type="dxa"/>
          </w:tcPr>
          <w:p w:rsidR="00A9743F" w:rsidRPr="00F7263B" w:rsidRDefault="00A9743F" w:rsidP="00A9743F">
            <w:pPr>
              <w:rPr>
                <w:sz w:val="20"/>
                <w:szCs w:val="20"/>
              </w:rPr>
            </w:pPr>
            <w:r w:rsidRPr="00F7263B">
              <w:rPr>
                <w:sz w:val="20"/>
                <w:szCs w:val="20"/>
              </w:rPr>
              <w:t>Undertaken continuously but no later than two weeks before the external assessment teams arrives</w:t>
            </w:r>
          </w:p>
        </w:tc>
        <w:tc>
          <w:tcPr>
            <w:tcW w:w="3362" w:type="dxa"/>
          </w:tcPr>
          <w:p w:rsidR="00A9743F" w:rsidRPr="00F7263B" w:rsidRDefault="00A9743F" w:rsidP="00A9743F">
            <w:pPr>
              <w:rPr>
                <w:sz w:val="20"/>
                <w:szCs w:val="20"/>
              </w:rPr>
            </w:pPr>
            <w:r w:rsidRPr="00F7263B">
              <w:rPr>
                <w:sz w:val="20"/>
                <w:szCs w:val="20"/>
              </w:rPr>
              <w:t>ULGs</w:t>
            </w:r>
          </w:p>
        </w:tc>
      </w:tr>
      <w:tr w:rsidR="00A9743F" w:rsidRPr="00F7263B" w:rsidTr="00254260">
        <w:tc>
          <w:tcPr>
            <w:tcW w:w="3528" w:type="dxa"/>
          </w:tcPr>
          <w:p w:rsidR="00A9743F" w:rsidRPr="00F7263B" w:rsidRDefault="00A9743F" w:rsidP="00A9743F">
            <w:pPr>
              <w:rPr>
                <w:sz w:val="20"/>
                <w:szCs w:val="20"/>
              </w:rPr>
            </w:pPr>
            <w:r w:rsidRPr="00F7263B">
              <w:rPr>
                <w:sz w:val="20"/>
                <w:szCs w:val="20"/>
              </w:rPr>
              <w:t xml:space="preserve">Private firm or firms </w:t>
            </w:r>
            <w:r w:rsidR="00F37598" w:rsidRPr="00F7263B">
              <w:rPr>
                <w:sz w:val="20"/>
                <w:szCs w:val="20"/>
              </w:rPr>
              <w:t xml:space="preserve">contracted </w:t>
            </w:r>
            <w:r w:rsidRPr="00F7263B">
              <w:rPr>
                <w:sz w:val="20"/>
                <w:szCs w:val="20"/>
              </w:rPr>
              <w:t>to conduct the APA.</w:t>
            </w:r>
          </w:p>
          <w:p w:rsidR="00A9743F" w:rsidRPr="00F7263B" w:rsidRDefault="00A9743F" w:rsidP="00A9743F">
            <w:pPr>
              <w:rPr>
                <w:sz w:val="20"/>
                <w:szCs w:val="20"/>
              </w:rPr>
            </w:pPr>
          </w:p>
        </w:tc>
        <w:tc>
          <w:tcPr>
            <w:tcW w:w="2610" w:type="dxa"/>
          </w:tcPr>
          <w:p w:rsidR="00A9743F" w:rsidRPr="00F7263B" w:rsidRDefault="00A9743F" w:rsidP="00570442">
            <w:pPr>
              <w:rPr>
                <w:sz w:val="20"/>
                <w:szCs w:val="20"/>
              </w:rPr>
            </w:pPr>
            <w:r w:rsidRPr="00F7263B">
              <w:rPr>
                <w:sz w:val="20"/>
                <w:szCs w:val="20"/>
              </w:rPr>
              <w:t xml:space="preserve">September </w:t>
            </w:r>
          </w:p>
        </w:tc>
        <w:tc>
          <w:tcPr>
            <w:tcW w:w="3362" w:type="dxa"/>
          </w:tcPr>
          <w:p w:rsidR="00A9743F" w:rsidRPr="00F7263B" w:rsidRDefault="00A9743F" w:rsidP="00A9743F">
            <w:pPr>
              <w:rPr>
                <w:sz w:val="20"/>
                <w:szCs w:val="20"/>
              </w:rPr>
            </w:pPr>
            <w:r w:rsidRPr="00F7263B">
              <w:rPr>
                <w:sz w:val="20"/>
                <w:szCs w:val="20"/>
              </w:rPr>
              <w:t>MUDHCo</w:t>
            </w:r>
          </w:p>
        </w:tc>
      </w:tr>
      <w:tr w:rsidR="00F37598" w:rsidRPr="00F7263B" w:rsidTr="00A9743F">
        <w:tc>
          <w:tcPr>
            <w:tcW w:w="3528" w:type="dxa"/>
          </w:tcPr>
          <w:p w:rsidR="00F37598" w:rsidRPr="00F7263B" w:rsidRDefault="00F37598" w:rsidP="00570442">
            <w:pPr>
              <w:rPr>
                <w:sz w:val="20"/>
                <w:szCs w:val="20"/>
              </w:rPr>
            </w:pPr>
            <w:r w:rsidRPr="00F7263B">
              <w:rPr>
                <w:sz w:val="20"/>
                <w:szCs w:val="20"/>
              </w:rPr>
              <w:t>Draft reports sent to MUDHCo and the World Bank simultaneously for review.</w:t>
            </w:r>
          </w:p>
        </w:tc>
        <w:tc>
          <w:tcPr>
            <w:tcW w:w="2610" w:type="dxa"/>
          </w:tcPr>
          <w:p w:rsidR="00F37598" w:rsidRPr="00F7263B" w:rsidRDefault="00F37598" w:rsidP="00A9743F">
            <w:pPr>
              <w:rPr>
                <w:sz w:val="20"/>
                <w:szCs w:val="20"/>
              </w:rPr>
            </w:pPr>
            <w:r w:rsidRPr="00F7263B">
              <w:rPr>
                <w:sz w:val="20"/>
                <w:szCs w:val="20"/>
              </w:rPr>
              <w:t>October</w:t>
            </w:r>
          </w:p>
        </w:tc>
        <w:tc>
          <w:tcPr>
            <w:tcW w:w="3362" w:type="dxa"/>
          </w:tcPr>
          <w:p w:rsidR="00F37598" w:rsidRPr="00F7263B" w:rsidRDefault="00376FA5" w:rsidP="00570442">
            <w:pPr>
              <w:rPr>
                <w:sz w:val="20"/>
                <w:szCs w:val="20"/>
              </w:rPr>
            </w:pPr>
            <w:r w:rsidRPr="00F7263B">
              <w:rPr>
                <w:sz w:val="20"/>
                <w:szCs w:val="20"/>
              </w:rPr>
              <w:t>APA f</w:t>
            </w:r>
            <w:r w:rsidR="00F37598" w:rsidRPr="00F7263B">
              <w:rPr>
                <w:sz w:val="20"/>
                <w:szCs w:val="20"/>
              </w:rPr>
              <w:t xml:space="preserve">irm </w:t>
            </w:r>
          </w:p>
        </w:tc>
      </w:tr>
      <w:tr w:rsidR="00A9743F" w:rsidRPr="00F7263B" w:rsidTr="00254260">
        <w:tc>
          <w:tcPr>
            <w:tcW w:w="3528" w:type="dxa"/>
          </w:tcPr>
          <w:p w:rsidR="00A9743F" w:rsidRPr="00F7263B" w:rsidRDefault="00F37598" w:rsidP="00570442">
            <w:pPr>
              <w:rPr>
                <w:sz w:val="20"/>
                <w:szCs w:val="20"/>
              </w:rPr>
            </w:pPr>
            <w:r w:rsidRPr="00F7263B">
              <w:rPr>
                <w:sz w:val="20"/>
                <w:szCs w:val="20"/>
              </w:rPr>
              <w:t>First meeting on APA and discusses the results after quality assurance and review.</w:t>
            </w:r>
          </w:p>
        </w:tc>
        <w:tc>
          <w:tcPr>
            <w:tcW w:w="2610" w:type="dxa"/>
          </w:tcPr>
          <w:p w:rsidR="00A9743F" w:rsidRPr="00F7263B" w:rsidRDefault="00A9743F" w:rsidP="00A9743F">
            <w:pPr>
              <w:rPr>
                <w:sz w:val="20"/>
                <w:szCs w:val="20"/>
              </w:rPr>
            </w:pPr>
            <w:r w:rsidRPr="00F7263B">
              <w:rPr>
                <w:sz w:val="20"/>
                <w:szCs w:val="20"/>
              </w:rPr>
              <w:t>November</w:t>
            </w:r>
          </w:p>
        </w:tc>
        <w:tc>
          <w:tcPr>
            <w:tcW w:w="3362" w:type="dxa"/>
          </w:tcPr>
          <w:p w:rsidR="00A9743F" w:rsidRPr="00F7263B" w:rsidRDefault="00F37598" w:rsidP="00570442">
            <w:pPr>
              <w:rPr>
                <w:sz w:val="20"/>
                <w:szCs w:val="20"/>
              </w:rPr>
            </w:pPr>
            <w:r w:rsidRPr="00F7263B">
              <w:rPr>
                <w:sz w:val="20"/>
                <w:szCs w:val="20"/>
              </w:rPr>
              <w:t>Technical Program Committee with broad representation of MUDHCo and MoFED.</w:t>
            </w:r>
          </w:p>
        </w:tc>
      </w:tr>
      <w:tr w:rsidR="00A9743F" w:rsidRPr="00F7263B" w:rsidTr="00254260">
        <w:tc>
          <w:tcPr>
            <w:tcW w:w="3528" w:type="dxa"/>
          </w:tcPr>
          <w:p w:rsidR="00A9743F" w:rsidRPr="00F7263B" w:rsidRDefault="00A9743F" w:rsidP="00A9743F">
            <w:pPr>
              <w:rPr>
                <w:sz w:val="20"/>
                <w:szCs w:val="20"/>
              </w:rPr>
            </w:pPr>
            <w:r w:rsidRPr="00F7263B">
              <w:rPr>
                <w:sz w:val="20"/>
                <w:szCs w:val="20"/>
              </w:rPr>
              <w:t>Workshop with ULGs to share preliminary results.</w:t>
            </w:r>
          </w:p>
        </w:tc>
        <w:tc>
          <w:tcPr>
            <w:tcW w:w="2610" w:type="dxa"/>
          </w:tcPr>
          <w:p w:rsidR="00A9743F" w:rsidRPr="00F7263B" w:rsidRDefault="00A9743F" w:rsidP="00A9743F">
            <w:pPr>
              <w:rPr>
                <w:sz w:val="20"/>
                <w:szCs w:val="20"/>
              </w:rPr>
            </w:pPr>
            <w:r w:rsidRPr="00F7263B">
              <w:rPr>
                <w:sz w:val="20"/>
                <w:szCs w:val="20"/>
              </w:rPr>
              <w:t xml:space="preserve">November </w:t>
            </w:r>
          </w:p>
        </w:tc>
        <w:tc>
          <w:tcPr>
            <w:tcW w:w="3362" w:type="dxa"/>
          </w:tcPr>
          <w:p w:rsidR="00A9743F" w:rsidRPr="00F7263B" w:rsidRDefault="00A9743F" w:rsidP="00A9743F">
            <w:pPr>
              <w:rPr>
                <w:sz w:val="20"/>
                <w:szCs w:val="20"/>
              </w:rPr>
            </w:pPr>
            <w:r w:rsidRPr="00F7263B">
              <w:rPr>
                <w:sz w:val="20"/>
                <w:szCs w:val="20"/>
              </w:rPr>
              <w:t>MUDHCo</w:t>
            </w:r>
          </w:p>
        </w:tc>
      </w:tr>
      <w:tr w:rsidR="00A9743F" w:rsidRPr="00F7263B" w:rsidTr="00254260">
        <w:tc>
          <w:tcPr>
            <w:tcW w:w="3528" w:type="dxa"/>
          </w:tcPr>
          <w:p w:rsidR="00A9743F" w:rsidRPr="00F7263B" w:rsidRDefault="00A9743F" w:rsidP="00A9743F">
            <w:pPr>
              <w:rPr>
                <w:sz w:val="20"/>
                <w:szCs w:val="20"/>
              </w:rPr>
            </w:pPr>
            <w:r w:rsidRPr="00F7263B">
              <w:rPr>
                <w:sz w:val="20"/>
                <w:szCs w:val="20"/>
              </w:rPr>
              <w:t>Audit results incorporated in the final APA report.</w:t>
            </w:r>
          </w:p>
        </w:tc>
        <w:tc>
          <w:tcPr>
            <w:tcW w:w="2610" w:type="dxa"/>
          </w:tcPr>
          <w:p w:rsidR="00A9743F" w:rsidRPr="00F7263B" w:rsidRDefault="00A9743F" w:rsidP="00A9743F">
            <w:pPr>
              <w:rPr>
                <w:sz w:val="20"/>
                <w:szCs w:val="20"/>
              </w:rPr>
            </w:pPr>
            <w:r w:rsidRPr="00F7263B">
              <w:rPr>
                <w:sz w:val="20"/>
                <w:szCs w:val="20"/>
              </w:rPr>
              <w:t>January</w:t>
            </w:r>
          </w:p>
        </w:tc>
        <w:tc>
          <w:tcPr>
            <w:tcW w:w="3362" w:type="dxa"/>
          </w:tcPr>
          <w:p w:rsidR="00A9743F" w:rsidRPr="00F7263B" w:rsidRDefault="00A9743F" w:rsidP="00570442">
            <w:pPr>
              <w:rPr>
                <w:sz w:val="20"/>
                <w:szCs w:val="20"/>
              </w:rPr>
            </w:pPr>
            <w:r w:rsidRPr="00F7263B">
              <w:rPr>
                <w:sz w:val="20"/>
                <w:szCs w:val="20"/>
              </w:rPr>
              <w:t xml:space="preserve">APA </w:t>
            </w:r>
            <w:r w:rsidR="00376FA5" w:rsidRPr="00F7263B">
              <w:rPr>
                <w:sz w:val="20"/>
                <w:szCs w:val="20"/>
              </w:rPr>
              <w:t>firm</w:t>
            </w:r>
          </w:p>
        </w:tc>
      </w:tr>
      <w:tr w:rsidR="00A9743F" w:rsidRPr="00F7263B" w:rsidTr="00254260">
        <w:tc>
          <w:tcPr>
            <w:tcW w:w="3528" w:type="dxa"/>
          </w:tcPr>
          <w:p w:rsidR="00376FA5" w:rsidRPr="00F7263B" w:rsidRDefault="00376FA5" w:rsidP="00A9743F">
            <w:pPr>
              <w:rPr>
                <w:sz w:val="20"/>
                <w:szCs w:val="20"/>
              </w:rPr>
            </w:pPr>
            <w:r w:rsidRPr="00F7263B">
              <w:rPr>
                <w:sz w:val="20"/>
                <w:szCs w:val="20"/>
              </w:rPr>
              <w:t>Second meeting on APA reviews the APA for quality assurance.</w:t>
            </w:r>
          </w:p>
          <w:p w:rsidR="00A9743F" w:rsidRPr="00F7263B" w:rsidRDefault="00A9743F" w:rsidP="00A9743F">
            <w:pPr>
              <w:rPr>
                <w:sz w:val="20"/>
                <w:szCs w:val="20"/>
              </w:rPr>
            </w:pPr>
          </w:p>
        </w:tc>
        <w:tc>
          <w:tcPr>
            <w:tcW w:w="2610" w:type="dxa"/>
          </w:tcPr>
          <w:p w:rsidR="00A9743F" w:rsidRPr="00F7263B" w:rsidRDefault="00A9743F" w:rsidP="00A9743F">
            <w:pPr>
              <w:rPr>
                <w:sz w:val="20"/>
                <w:szCs w:val="20"/>
              </w:rPr>
            </w:pPr>
            <w:r w:rsidRPr="00F7263B">
              <w:rPr>
                <w:sz w:val="20"/>
                <w:szCs w:val="20"/>
              </w:rPr>
              <w:t xml:space="preserve">January </w:t>
            </w:r>
          </w:p>
        </w:tc>
        <w:tc>
          <w:tcPr>
            <w:tcW w:w="3362" w:type="dxa"/>
          </w:tcPr>
          <w:p w:rsidR="00A9743F" w:rsidRPr="00F7263B" w:rsidRDefault="00376FA5" w:rsidP="00570442">
            <w:pPr>
              <w:rPr>
                <w:sz w:val="20"/>
                <w:szCs w:val="20"/>
              </w:rPr>
            </w:pPr>
            <w:r w:rsidRPr="00F7263B">
              <w:rPr>
                <w:sz w:val="20"/>
                <w:szCs w:val="20"/>
              </w:rPr>
              <w:t>Technical Program Committee with broad representation of MUDHCo and MoFED</w:t>
            </w:r>
          </w:p>
        </w:tc>
      </w:tr>
      <w:tr w:rsidR="00A9743F" w:rsidRPr="00F7263B" w:rsidTr="00254260">
        <w:tc>
          <w:tcPr>
            <w:tcW w:w="3528" w:type="dxa"/>
          </w:tcPr>
          <w:p w:rsidR="00A9743F" w:rsidRPr="00F7263B" w:rsidRDefault="00A9743F" w:rsidP="00570442">
            <w:pPr>
              <w:rPr>
                <w:sz w:val="20"/>
                <w:szCs w:val="20"/>
              </w:rPr>
            </w:pPr>
            <w:r w:rsidRPr="00F7263B">
              <w:rPr>
                <w:sz w:val="20"/>
                <w:szCs w:val="20"/>
              </w:rPr>
              <w:t>Final endorsement of results (after review by the World Bank).</w:t>
            </w:r>
          </w:p>
          <w:p w:rsidR="00376FA5" w:rsidRPr="00F7263B" w:rsidRDefault="00376FA5" w:rsidP="00405DC2">
            <w:pPr>
              <w:rPr>
                <w:sz w:val="20"/>
                <w:szCs w:val="20"/>
              </w:rPr>
            </w:pPr>
          </w:p>
          <w:p w:rsidR="00376FA5" w:rsidRPr="00F7263B" w:rsidRDefault="00376FA5" w:rsidP="00B233B7">
            <w:pPr>
              <w:rPr>
                <w:sz w:val="20"/>
                <w:szCs w:val="20"/>
              </w:rPr>
            </w:pPr>
            <w:r w:rsidRPr="00F7263B">
              <w:rPr>
                <w:sz w:val="20"/>
                <w:szCs w:val="20"/>
              </w:rPr>
              <w:t>Note: As part of implementation support, the Bank team will review the quality of the assessment results.  The Bank retains the right to make the final decision whether a DLI has been achieved or not.</w:t>
            </w:r>
          </w:p>
        </w:tc>
        <w:tc>
          <w:tcPr>
            <w:tcW w:w="2610" w:type="dxa"/>
          </w:tcPr>
          <w:p w:rsidR="00A9743F" w:rsidRPr="00F7263B" w:rsidRDefault="00A9743F" w:rsidP="00A9743F">
            <w:pPr>
              <w:rPr>
                <w:sz w:val="20"/>
                <w:szCs w:val="20"/>
              </w:rPr>
            </w:pPr>
            <w:r w:rsidRPr="00F7263B">
              <w:rPr>
                <w:sz w:val="20"/>
                <w:szCs w:val="20"/>
              </w:rPr>
              <w:t xml:space="preserve">January </w:t>
            </w:r>
          </w:p>
        </w:tc>
        <w:tc>
          <w:tcPr>
            <w:tcW w:w="3362" w:type="dxa"/>
          </w:tcPr>
          <w:p w:rsidR="00A9743F" w:rsidRPr="00F7263B" w:rsidRDefault="00A9743F" w:rsidP="00A9743F">
            <w:pPr>
              <w:rPr>
                <w:sz w:val="20"/>
                <w:szCs w:val="20"/>
              </w:rPr>
            </w:pPr>
            <w:r w:rsidRPr="00F7263B">
              <w:rPr>
                <w:sz w:val="20"/>
                <w:szCs w:val="20"/>
              </w:rPr>
              <w:t>MUDHCo</w:t>
            </w:r>
          </w:p>
          <w:p w:rsidR="00A9743F" w:rsidRPr="00F7263B" w:rsidRDefault="00A9743F" w:rsidP="00A9743F">
            <w:pPr>
              <w:rPr>
                <w:sz w:val="20"/>
                <w:szCs w:val="20"/>
              </w:rPr>
            </w:pPr>
          </w:p>
        </w:tc>
      </w:tr>
      <w:tr w:rsidR="00A9743F" w:rsidRPr="00F7263B" w:rsidTr="00254260">
        <w:tc>
          <w:tcPr>
            <w:tcW w:w="3528" w:type="dxa"/>
          </w:tcPr>
          <w:p w:rsidR="00A9743F" w:rsidRPr="00F7263B" w:rsidRDefault="00A9743F" w:rsidP="00A9743F">
            <w:pPr>
              <w:rPr>
                <w:sz w:val="20"/>
                <w:szCs w:val="20"/>
              </w:rPr>
            </w:pPr>
            <w:r w:rsidRPr="00F7263B">
              <w:rPr>
                <w:sz w:val="20"/>
                <w:szCs w:val="20"/>
              </w:rPr>
              <w:t>Communication of results to MoFED and the ULGs</w:t>
            </w:r>
          </w:p>
        </w:tc>
        <w:tc>
          <w:tcPr>
            <w:tcW w:w="2610" w:type="dxa"/>
          </w:tcPr>
          <w:p w:rsidR="00A9743F" w:rsidRPr="00F7263B" w:rsidRDefault="00A9743F" w:rsidP="00A9743F">
            <w:pPr>
              <w:rPr>
                <w:sz w:val="20"/>
                <w:szCs w:val="20"/>
              </w:rPr>
            </w:pPr>
            <w:r w:rsidRPr="00F7263B">
              <w:rPr>
                <w:sz w:val="20"/>
                <w:szCs w:val="20"/>
              </w:rPr>
              <w:t xml:space="preserve">January </w:t>
            </w:r>
          </w:p>
        </w:tc>
        <w:tc>
          <w:tcPr>
            <w:tcW w:w="3362" w:type="dxa"/>
          </w:tcPr>
          <w:p w:rsidR="00A9743F" w:rsidRPr="00F7263B" w:rsidRDefault="00A9743F" w:rsidP="00A9743F">
            <w:pPr>
              <w:rPr>
                <w:sz w:val="20"/>
                <w:szCs w:val="20"/>
              </w:rPr>
            </w:pPr>
            <w:r w:rsidRPr="00F7263B">
              <w:rPr>
                <w:sz w:val="20"/>
                <w:szCs w:val="20"/>
              </w:rPr>
              <w:t>MUDHCo</w:t>
            </w:r>
          </w:p>
        </w:tc>
      </w:tr>
      <w:tr w:rsidR="00A9743F" w:rsidRPr="00F7263B" w:rsidTr="00254260">
        <w:tc>
          <w:tcPr>
            <w:tcW w:w="3528" w:type="dxa"/>
          </w:tcPr>
          <w:p w:rsidR="00A9743F" w:rsidRPr="00F7263B" w:rsidRDefault="00A9743F" w:rsidP="00A9743F">
            <w:pPr>
              <w:rPr>
                <w:sz w:val="20"/>
                <w:szCs w:val="20"/>
              </w:rPr>
            </w:pPr>
            <w:r w:rsidRPr="00F7263B">
              <w:rPr>
                <w:sz w:val="20"/>
                <w:szCs w:val="20"/>
              </w:rPr>
              <w:t xml:space="preserve">Inclusion of the figures in the budget drafts. </w:t>
            </w:r>
          </w:p>
        </w:tc>
        <w:tc>
          <w:tcPr>
            <w:tcW w:w="2610" w:type="dxa"/>
          </w:tcPr>
          <w:p w:rsidR="00A9743F" w:rsidRPr="00F7263B" w:rsidRDefault="00A9743F" w:rsidP="00A9743F">
            <w:pPr>
              <w:rPr>
                <w:sz w:val="20"/>
                <w:szCs w:val="20"/>
              </w:rPr>
            </w:pPr>
            <w:r w:rsidRPr="00F7263B">
              <w:rPr>
                <w:sz w:val="20"/>
                <w:szCs w:val="20"/>
              </w:rPr>
              <w:t>January</w:t>
            </w:r>
          </w:p>
        </w:tc>
        <w:tc>
          <w:tcPr>
            <w:tcW w:w="3362" w:type="dxa"/>
          </w:tcPr>
          <w:p w:rsidR="00A9743F" w:rsidRPr="00F7263B" w:rsidRDefault="00A9743F" w:rsidP="00A9743F">
            <w:pPr>
              <w:rPr>
                <w:sz w:val="20"/>
                <w:szCs w:val="20"/>
              </w:rPr>
            </w:pPr>
            <w:r w:rsidRPr="00F7263B">
              <w:rPr>
                <w:sz w:val="20"/>
                <w:szCs w:val="20"/>
              </w:rPr>
              <w:t>MoFED</w:t>
            </w:r>
          </w:p>
        </w:tc>
      </w:tr>
      <w:tr w:rsidR="00A9743F" w:rsidRPr="00F7263B" w:rsidTr="00254260">
        <w:tc>
          <w:tcPr>
            <w:tcW w:w="3528" w:type="dxa"/>
          </w:tcPr>
          <w:p w:rsidR="00A9743F" w:rsidRPr="00F7263B" w:rsidRDefault="00A9743F" w:rsidP="00A9743F">
            <w:pPr>
              <w:rPr>
                <w:sz w:val="20"/>
                <w:szCs w:val="20"/>
              </w:rPr>
            </w:pPr>
            <w:r w:rsidRPr="00F7263B">
              <w:rPr>
                <w:sz w:val="20"/>
                <w:szCs w:val="20"/>
              </w:rPr>
              <w:t>Dissemination of results to the public.</w:t>
            </w:r>
          </w:p>
        </w:tc>
        <w:tc>
          <w:tcPr>
            <w:tcW w:w="2610" w:type="dxa"/>
          </w:tcPr>
          <w:p w:rsidR="00A9743F" w:rsidRPr="00F7263B" w:rsidRDefault="00A9743F" w:rsidP="00A9743F">
            <w:pPr>
              <w:rPr>
                <w:sz w:val="20"/>
                <w:szCs w:val="20"/>
              </w:rPr>
            </w:pPr>
            <w:r w:rsidRPr="00F7263B">
              <w:rPr>
                <w:sz w:val="20"/>
                <w:szCs w:val="20"/>
              </w:rPr>
              <w:t>January</w:t>
            </w:r>
          </w:p>
        </w:tc>
        <w:tc>
          <w:tcPr>
            <w:tcW w:w="3362" w:type="dxa"/>
          </w:tcPr>
          <w:p w:rsidR="00A9743F" w:rsidRPr="00F7263B" w:rsidRDefault="00A9743F" w:rsidP="00A9743F">
            <w:pPr>
              <w:rPr>
                <w:sz w:val="20"/>
                <w:szCs w:val="20"/>
              </w:rPr>
            </w:pPr>
            <w:r w:rsidRPr="00F7263B">
              <w:rPr>
                <w:sz w:val="20"/>
                <w:szCs w:val="20"/>
              </w:rPr>
              <w:t>MUDHCo, regions, and the cities</w:t>
            </w:r>
          </w:p>
        </w:tc>
      </w:tr>
      <w:tr w:rsidR="00A9743F" w:rsidRPr="00F7263B" w:rsidTr="00254260">
        <w:tc>
          <w:tcPr>
            <w:tcW w:w="3528" w:type="dxa"/>
          </w:tcPr>
          <w:p w:rsidR="00A9743F" w:rsidRPr="00F7263B" w:rsidRDefault="00376FA5" w:rsidP="00A9743F">
            <w:pPr>
              <w:rPr>
                <w:sz w:val="20"/>
                <w:szCs w:val="20"/>
              </w:rPr>
            </w:pPr>
            <w:r w:rsidRPr="00F7263B">
              <w:rPr>
                <w:sz w:val="20"/>
                <w:szCs w:val="20"/>
              </w:rPr>
              <w:t>P</w:t>
            </w:r>
            <w:r w:rsidR="00A9743F" w:rsidRPr="00F7263B">
              <w:rPr>
                <w:sz w:val="20"/>
                <w:szCs w:val="20"/>
              </w:rPr>
              <w:t>lann</w:t>
            </w:r>
            <w:r w:rsidRPr="00F7263B">
              <w:rPr>
                <w:sz w:val="20"/>
                <w:szCs w:val="20"/>
              </w:rPr>
              <w:t>ing and budgeting by ULG</w:t>
            </w:r>
            <w:r w:rsidR="00A9743F" w:rsidRPr="00F7263B">
              <w:rPr>
                <w:sz w:val="20"/>
                <w:szCs w:val="20"/>
              </w:rPr>
              <w:t>.</w:t>
            </w:r>
          </w:p>
        </w:tc>
        <w:tc>
          <w:tcPr>
            <w:tcW w:w="2610" w:type="dxa"/>
          </w:tcPr>
          <w:p w:rsidR="00A9743F" w:rsidRPr="00F7263B" w:rsidRDefault="00A9743F" w:rsidP="00A9743F">
            <w:pPr>
              <w:rPr>
                <w:sz w:val="20"/>
                <w:szCs w:val="20"/>
              </w:rPr>
            </w:pPr>
            <w:r w:rsidRPr="00F7263B">
              <w:rPr>
                <w:sz w:val="20"/>
                <w:szCs w:val="20"/>
              </w:rPr>
              <w:t>January–May</w:t>
            </w:r>
          </w:p>
        </w:tc>
        <w:tc>
          <w:tcPr>
            <w:tcW w:w="3362" w:type="dxa"/>
          </w:tcPr>
          <w:p w:rsidR="00A9743F" w:rsidRPr="00F7263B" w:rsidRDefault="00A9743F" w:rsidP="00A9743F">
            <w:pPr>
              <w:rPr>
                <w:sz w:val="20"/>
                <w:szCs w:val="20"/>
              </w:rPr>
            </w:pPr>
            <w:r w:rsidRPr="00F7263B">
              <w:rPr>
                <w:sz w:val="20"/>
                <w:szCs w:val="20"/>
              </w:rPr>
              <w:t>ULGs</w:t>
            </w:r>
          </w:p>
        </w:tc>
      </w:tr>
      <w:tr w:rsidR="00A9743F" w:rsidRPr="00F7263B" w:rsidTr="00254260">
        <w:tc>
          <w:tcPr>
            <w:tcW w:w="3528" w:type="dxa"/>
          </w:tcPr>
          <w:p w:rsidR="00A9743F" w:rsidRPr="00F7263B" w:rsidRDefault="00A9743F" w:rsidP="00A9743F">
            <w:pPr>
              <w:rPr>
                <w:sz w:val="20"/>
                <w:szCs w:val="20"/>
              </w:rPr>
            </w:pPr>
            <w:r w:rsidRPr="00F7263B">
              <w:rPr>
                <w:sz w:val="20"/>
                <w:szCs w:val="20"/>
              </w:rPr>
              <w:t>Disbursement of first tranche</w:t>
            </w:r>
          </w:p>
        </w:tc>
        <w:tc>
          <w:tcPr>
            <w:tcW w:w="2610" w:type="dxa"/>
          </w:tcPr>
          <w:p w:rsidR="00A9743F" w:rsidRPr="00F7263B" w:rsidRDefault="00A9743F" w:rsidP="00A9743F">
            <w:pPr>
              <w:rPr>
                <w:sz w:val="20"/>
                <w:szCs w:val="20"/>
              </w:rPr>
            </w:pPr>
            <w:r w:rsidRPr="00F7263B">
              <w:rPr>
                <w:sz w:val="20"/>
                <w:szCs w:val="20"/>
              </w:rPr>
              <w:t>July</w:t>
            </w:r>
          </w:p>
        </w:tc>
        <w:tc>
          <w:tcPr>
            <w:tcW w:w="3362" w:type="dxa"/>
          </w:tcPr>
          <w:p w:rsidR="00A9743F" w:rsidRPr="00F7263B" w:rsidRDefault="00A9743F" w:rsidP="00A9743F">
            <w:pPr>
              <w:rPr>
                <w:sz w:val="20"/>
                <w:szCs w:val="20"/>
              </w:rPr>
            </w:pPr>
            <w:r w:rsidRPr="00F7263B">
              <w:rPr>
                <w:sz w:val="20"/>
                <w:szCs w:val="20"/>
              </w:rPr>
              <w:t>MoFED</w:t>
            </w:r>
          </w:p>
        </w:tc>
      </w:tr>
      <w:tr w:rsidR="00A9743F" w:rsidRPr="00F7263B" w:rsidTr="00254260">
        <w:tc>
          <w:tcPr>
            <w:tcW w:w="3528" w:type="dxa"/>
          </w:tcPr>
          <w:p w:rsidR="00A9743F" w:rsidRPr="00F7263B" w:rsidRDefault="00A9743F" w:rsidP="00A9743F">
            <w:pPr>
              <w:rPr>
                <w:sz w:val="20"/>
                <w:szCs w:val="20"/>
              </w:rPr>
            </w:pPr>
            <w:r w:rsidRPr="00F7263B">
              <w:rPr>
                <w:sz w:val="20"/>
                <w:szCs w:val="20"/>
              </w:rPr>
              <w:t>Disbursement of second tranche</w:t>
            </w:r>
          </w:p>
        </w:tc>
        <w:tc>
          <w:tcPr>
            <w:tcW w:w="2610" w:type="dxa"/>
          </w:tcPr>
          <w:p w:rsidR="00A9743F" w:rsidRPr="00F7263B" w:rsidRDefault="00A9743F" w:rsidP="00A9743F">
            <w:pPr>
              <w:rPr>
                <w:sz w:val="20"/>
                <w:szCs w:val="20"/>
              </w:rPr>
            </w:pPr>
            <w:r w:rsidRPr="00F7263B">
              <w:rPr>
                <w:sz w:val="20"/>
                <w:szCs w:val="20"/>
              </w:rPr>
              <w:t xml:space="preserve">January </w:t>
            </w:r>
          </w:p>
        </w:tc>
        <w:tc>
          <w:tcPr>
            <w:tcW w:w="3362" w:type="dxa"/>
          </w:tcPr>
          <w:p w:rsidR="00A9743F" w:rsidRPr="00F7263B" w:rsidRDefault="00A9743F" w:rsidP="00A9743F">
            <w:pPr>
              <w:rPr>
                <w:sz w:val="20"/>
                <w:szCs w:val="20"/>
              </w:rPr>
            </w:pPr>
            <w:r w:rsidRPr="00F7263B">
              <w:rPr>
                <w:sz w:val="20"/>
                <w:szCs w:val="20"/>
              </w:rPr>
              <w:t>MoFED</w:t>
            </w:r>
          </w:p>
        </w:tc>
      </w:tr>
    </w:tbl>
    <w:p w:rsidR="00A9743F" w:rsidRPr="00F7263B" w:rsidRDefault="007E5065" w:rsidP="00A9743F">
      <w:pPr>
        <w:spacing w:before="60"/>
        <w:rPr>
          <w:sz w:val="20"/>
          <w:szCs w:val="20"/>
        </w:rPr>
      </w:pPr>
      <w:r w:rsidRPr="00F7263B">
        <w:rPr>
          <w:i/>
          <w:sz w:val="20"/>
          <w:szCs w:val="20"/>
        </w:rPr>
        <w:t>Note:</w:t>
      </w:r>
      <w:r w:rsidR="00376FA5" w:rsidRPr="00F7263B">
        <w:rPr>
          <w:b/>
          <w:sz w:val="20"/>
          <w:szCs w:val="20"/>
        </w:rPr>
        <w:tab/>
      </w:r>
      <w:r w:rsidR="00A9743F" w:rsidRPr="00F7263B">
        <w:rPr>
          <w:sz w:val="20"/>
          <w:szCs w:val="20"/>
        </w:rPr>
        <w:t>In the first year prior to the assessments, the average likely figures for the ULGDP performance-based grants will be announced. However, the exact figures will depend on the performance of the cities.</w:t>
      </w:r>
    </w:p>
    <w:p w:rsidR="00A9743F" w:rsidRPr="00F7263B" w:rsidRDefault="00A9743F" w:rsidP="00A9743F">
      <w:pPr>
        <w:rPr>
          <w:sz w:val="20"/>
          <w:szCs w:val="20"/>
        </w:rPr>
      </w:pPr>
    </w:p>
    <w:p w:rsidR="006E7278" w:rsidRPr="00F7263B" w:rsidRDefault="00951220" w:rsidP="00827BD7">
      <w:pPr>
        <w:pStyle w:val="ListParagraph"/>
        <w:numPr>
          <w:ilvl w:val="0"/>
          <w:numId w:val="29"/>
        </w:numPr>
        <w:ind w:left="0" w:firstLine="0"/>
        <w:jc w:val="both"/>
        <w:rPr>
          <w:sz w:val="20"/>
          <w:szCs w:val="20"/>
        </w:rPr>
      </w:pPr>
      <w:r w:rsidRPr="00F7263B">
        <w:rPr>
          <w:b/>
          <w:sz w:val="20"/>
          <w:szCs w:val="20"/>
        </w:rPr>
        <w:t>In the future</w:t>
      </w:r>
      <w:r w:rsidR="00025663" w:rsidRPr="00F7263B">
        <w:rPr>
          <w:b/>
          <w:sz w:val="20"/>
          <w:szCs w:val="20"/>
        </w:rPr>
        <w:t>,</w:t>
      </w:r>
      <w:r w:rsidRPr="00F7263B">
        <w:rPr>
          <w:b/>
          <w:sz w:val="20"/>
          <w:szCs w:val="20"/>
        </w:rPr>
        <w:t xml:space="preserve"> assessments </w:t>
      </w:r>
      <w:r w:rsidR="00025663" w:rsidRPr="00F7263B">
        <w:rPr>
          <w:b/>
          <w:sz w:val="20"/>
          <w:szCs w:val="20"/>
        </w:rPr>
        <w:t>of the performance of the cities in the previous financial</w:t>
      </w:r>
      <w:r w:rsidR="00A2314D">
        <w:rPr>
          <w:b/>
          <w:sz w:val="20"/>
          <w:szCs w:val="20"/>
        </w:rPr>
        <w:t xml:space="preserve"> </w:t>
      </w:r>
      <w:r w:rsidRPr="00F7263B">
        <w:rPr>
          <w:b/>
          <w:sz w:val="20"/>
          <w:szCs w:val="20"/>
        </w:rPr>
        <w:t>will be conducted each year from September–</w:t>
      </w:r>
      <w:r w:rsidR="00280BFA" w:rsidRPr="00F7263B">
        <w:rPr>
          <w:b/>
          <w:sz w:val="20"/>
          <w:szCs w:val="20"/>
        </w:rPr>
        <w:t>November</w:t>
      </w:r>
      <w:r w:rsidR="00025663" w:rsidRPr="00F7263B">
        <w:rPr>
          <w:sz w:val="20"/>
          <w:szCs w:val="20"/>
        </w:rPr>
        <w:t xml:space="preserve">.  </w:t>
      </w:r>
      <w:r w:rsidRPr="00F7263B">
        <w:rPr>
          <w:sz w:val="20"/>
          <w:szCs w:val="20"/>
        </w:rPr>
        <w:t xml:space="preserve">The results will </w:t>
      </w:r>
      <w:r w:rsidR="00025663" w:rsidRPr="00F7263B">
        <w:rPr>
          <w:sz w:val="20"/>
          <w:szCs w:val="20"/>
        </w:rPr>
        <w:t>determine</w:t>
      </w:r>
      <w:r w:rsidRPr="00F7263B">
        <w:rPr>
          <w:sz w:val="20"/>
          <w:szCs w:val="20"/>
        </w:rPr>
        <w:t xml:space="preserve"> the P</w:t>
      </w:r>
      <w:r w:rsidR="00025663" w:rsidRPr="00F7263B">
        <w:rPr>
          <w:sz w:val="20"/>
          <w:szCs w:val="20"/>
        </w:rPr>
        <w:t>rogram</w:t>
      </w:r>
      <w:r w:rsidRPr="00F7263B">
        <w:rPr>
          <w:sz w:val="20"/>
          <w:szCs w:val="20"/>
        </w:rPr>
        <w:t xml:space="preserve"> allocations in the subsequent </w:t>
      </w:r>
      <w:r w:rsidR="00025663" w:rsidRPr="00F7263B">
        <w:rPr>
          <w:sz w:val="20"/>
          <w:szCs w:val="20"/>
        </w:rPr>
        <w:t xml:space="preserve">financial year.  For example, </w:t>
      </w:r>
      <w:r w:rsidRPr="00F7263B">
        <w:rPr>
          <w:sz w:val="20"/>
          <w:szCs w:val="20"/>
        </w:rPr>
        <w:t>the assessment to be conducted in September</w:t>
      </w:r>
      <w:r w:rsidR="00025663" w:rsidRPr="00F7263B">
        <w:rPr>
          <w:b/>
          <w:sz w:val="20"/>
          <w:szCs w:val="20"/>
        </w:rPr>
        <w:t>–</w:t>
      </w:r>
      <w:r w:rsidR="00280BFA" w:rsidRPr="00F7263B">
        <w:rPr>
          <w:sz w:val="20"/>
          <w:szCs w:val="20"/>
        </w:rPr>
        <w:t>November</w:t>
      </w:r>
      <w:r w:rsidRPr="00F7263B">
        <w:rPr>
          <w:sz w:val="20"/>
          <w:szCs w:val="20"/>
        </w:rPr>
        <w:t xml:space="preserve"> 2015 of </w:t>
      </w:r>
      <w:r w:rsidR="00025663" w:rsidRPr="00F7263B">
        <w:rPr>
          <w:sz w:val="20"/>
          <w:szCs w:val="20"/>
        </w:rPr>
        <w:t>cities’</w:t>
      </w:r>
      <w:r w:rsidRPr="00F7263B">
        <w:rPr>
          <w:sz w:val="20"/>
          <w:szCs w:val="20"/>
        </w:rPr>
        <w:t xml:space="preserve"> performance </w:t>
      </w:r>
      <w:r w:rsidR="00025663" w:rsidRPr="00F7263B">
        <w:rPr>
          <w:sz w:val="20"/>
          <w:szCs w:val="20"/>
        </w:rPr>
        <w:t>during</w:t>
      </w:r>
      <w:r w:rsidR="007E5065" w:rsidRPr="00F7263B">
        <w:rPr>
          <w:sz w:val="20"/>
          <w:szCs w:val="20"/>
        </w:rPr>
        <w:t>2014/</w:t>
      </w:r>
      <w:r w:rsidRPr="00F7263B">
        <w:rPr>
          <w:sz w:val="20"/>
          <w:szCs w:val="20"/>
        </w:rPr>
        <w:t>15 (E</w:t>
      </w:r>
      <w:r w:rsidR="00731DF1" w:rsidRPr="00F7263B">
        <w:rPr>
          <w:sz w:val="20"/>
          <w:szCs w:val="20"/>
        </w:rPr>
        <w:t>thiopian fi</w:t>
      </w:r>
      <w:r w:rsidR="005A02F1" w:rsidRPr="00F7263B">
        <w:rPr>
          <w:sz w:val="20"/>
          <w:szCs w:val="20"/>
        </w:rPr>
        <w:t>scal</w:t>
      </w:r>
      <w:r w:rsidR="00731DF1" w:rsidRPr="00F7263B">
        <w:rPr>
          <w:sz w:val="20"/>
          <w:szCs w:val="20"/>
        </w:rPr>
        <w:t xml:space="preserve"> year </w:t>
      </w:r>
      <w:r w:rsidRPr="00F7263B">
        <w:rPr>
          <w:sz w:val="20"/>
          <w:szCs w:val="20"/>
        </w:rPr>
        <w:t xml:space="preserve">2007) will </w:t>
      </w:r>
      <w:r w:rsidR="00025663" w:rsidRPr="00F7263B">
        <w:rPr>
          <w:sz w:val="20"/>
          <w:szCs w:val="20"/>
        </w:rPr>
        <w:t>determine the</w:t>
      </w:r>
      <w:r w:rsidR="00A2314D">
        <w:rPr>
          <w:sz w:val="20"/>
          <w:szCs w:val="20"/>
        </w:rPr>
        <w:t xml:space="preserve"> </w:t>
      </w:r>
      <w:r w:rsidR="00025663" w:rsidRPr="00F7263B">
        <w:rPr>
          <w:sz w:val="20"/>
          <w:szCs w:val="20"/>
        </w:rPr>
        <w:t>Program</w:t>
      </w:r>
      <w:r w:rsidRPr="00F7263B">
        <w:rPr>
          <w:sz w:val="20"/>
          <w:szCs w:val="20"/>
        </w:rPr>
        <w:t xml:space="preserve"> allocations for </w:t>
      </w:r>
      <w:r w:rsidR="007E5065" w:rsidRPr="00F7263B">
        <w:rPr>
          <w:sz w:val="20"/>
          <w:szCs w:val="20"/>
        </w:rPr>
        <w:t>2016/</w:t>
      </w:r>
      <w:r w:rsidRPr="00F7263B">
        <w:rPr>
          <w:sz w:val="20"/>
          <w:szCs w:val="20"/>
        </w:rPr>
        <w:t>17 (</w:t>
      </w:r>
      <w:r w:rsidR="00731DF1" w:rsidRPr="00F7263B">
        <w:rPr>
          <w:sz w:val="20"/>
          <w:szCs w:val="20"/>
        </w:rPr>
        <w:t>Ethiopian fi</w:t>
      </w:r>
      <w:r w:rsidR="005A02F1" w:rsidRPr="00F7263B">
        <w:rPr>
          <w:sz w:val="20"/>
          <w:szCs w:val="20"/>
        </w:rPr>
        <w:t xml:space="preserve">scal </w:t>
      </w:r>
      <w:r w:rsidR="00731DF1" w:rsidRPr="00F7263B">
        <w:rPr>
          <w:sz w:val="20"/>
          <w:szCs w:val="20"/>
        </w:rPr>
        <w:t>year 2009</w:t>
      </w:r>
      <w:r w:rsidRPr="00F7263B">
        <w:rPr>
          <w:sz w:val="20"/>
          <w:szCs w:val="20"/>
        </w:rPr>
        <w:t>)</w:t>
      </w:r>
      <w:r w:rsidR="00025663" w:rsidRPr="00F7263B">
        <w:rPr>
          <w:sz w:val="20"/>
          <w:szCs w:val="20"/>
        </w:rPr>
        <w:t xml:space="preserve">.  </w:t>
      </w:r>
      <w:r w:rsidRPr="00F7263B">
        <w:rPr>
          <w:sz w:val="20"/>
          <w:szCs w:val="20"/>
        </w:rPr>
        <w:t>However, as the audit results are only available by January 7 after the fi</w:t>
      </w:r>
      <w:r w:rsidR="00025663" w:rsidRPr="00F7263B">
        <w:rPr>
          <w:sz w:val="20"/>
          <w:szCs w:val="20"/>
        </w:rPr>
        <w:t xml:space="preserve">nancial </w:t>
      </w:r>
      <w:r w:rsidRPr="00F7263B">
        <w:rPr>
          <w:sz w:val="20"/>
          <w:szCs w:val="20"/>
        </w:rPr>
        <w:t xml:space="preserve">year for which </w:t>
      </w:r>
      <w:r w:rsidR="00731DF1" w:rsidRPr="00F7263B">
        <w:rPr>
          <w:sz w:val="20"/>
          <w:szCs w:val="20"/>
        </w:rPr>
        <w:t xml:space="preserve">they </w:t>
      </w:r>
      <w:r w:rsidRPr="00F7263B">
        <w:rPr>
          <w:sz w:val="20"/>
          <w:szCs w:val="20"/>
        </w:rPr>
        <w:t>are conducted, this will be the last “trigger” in th</w:t>
      </w:r>
      <w:r w:rsidR="00025663" w:rsidRPr="00F7263B">
        <w:rPr>
          <w:sz w:val="20"/>
          <w:szCs w:val="20"/>
        </w:rPr>
        <w:t xml:space="preserve">e APA.  </w:t>
      </w:r>
    </w:p>
    <w:p w:rsidR="00951220" w:rsidRPr="00F7263B" w:rsidRDefault="00951220" w:rsidP="00254260">
      <w:pPr>
        <w:pStyle w:val="ListParagraph"/>
        <w:ind w:left="0"/>
        <w:jc w:val="both"/>
        <w:rPr>
          <w:b/>
          <w:sz w:val="20"/>
          <w:szCs w:val="20"/>
        </w:rPr>
      </w:pPr>
    </w:p>
    <w:p w:rsidR="006E7278" w:rsidRPr="00F7263B" w:rsidRDefault="00025663" w:rsidP="00827BD7">
      <w:pPr>
        <w:pStyle w:val="ListParagraph"/>
        <w:numPr>
          <w:ilvl w:val="0"/>
          <w:numId w:val="29"/>
        </w:numPr>
        <w:ind w:left="0" w:firstLine="0"/>
        <w:jc w:val="both"/>
        <w:rPr>
          <w:sz w:val="20"/>
          <w:szCs w:val="20"/>
        </w:rPr>
      </w:pPr>
      <w:r w:rsidRPr="00F7263B">
        <w:rPr>
          <w:b/>
          <w:sz w:val="20"/>
          <w:szCs w:val="20"/>
        </w:rPr>
        <w:t>In the first y</w:t>
      </w:r>
      <w:r w:rsidR="00951220" w:rsidRPr="00F7263B">
        <w:rPr>
          <w:b/>
          <w:sz w:val="20"/>
          <w:szCs w:val="20"/>
        </w:rPr>
        <w:t>ear</w:t>
      </w:r>
      <w:r w:rsidR="00F21BB8" w:rsidRPr="00F7263B">
        <w:rPr>
          <w:b/>
          <w:sz w:val="20"/>
          <w:szCs w:val="20"/>
        </w:rPr>
        <w:t>,</w:t>
      </w:r>
      <w:r w:rsidR="00A2314D">
        <w:rPr>
          <w:b/>
          <w:sz w:val="20"/>
          <w:szCs w:val="20"/>
        </w:rPr>
        <w:t xml:space="preserve"> </w:t>
      </w:r>
      <w:r w:rsidR="00F21BB8" w:rsidRPr="00F7263B">
        <w:rPr>
          <w:b/>
          <w:sz w:val="20"/>
          <w:szCs w:val="20"/>
        </w:rPr>
        <w:t>m</w:t>
      </w:r>
      <w:r w:rsidRPr="00F7263B">
        <w:rPr>
          <w:b/>
          <w:sz w:val="20"/>
          <w:szCs w:val="20"/>
        </w:rPr>
        <w:t>inimum c</w:t>
      </w:r>
      <w:r w:rsidR="00951220" w:rsidRPr="00F7263B">
        <w:rPr>
          <w:b/>
          <w:sz w:val="20"/>
          <w:szCs w:val="20"/>
        </w:rPr>
        <w:t>onditions for all ULGs will be applied</w:t>
      </w:r>
      <w:r w:rsidR="00731DF1" w:rsidRPr="00F7263B">
        <w:rPr>
          <w:b/>
          <w:sz w:val="20"/>
          <w:szCs w:val="20"/>
        </w:rPr>
        <w:t>.  However</w:t>
      </w:r>
      <w:r w:rsidR="00951220" w:rsidRPr="00F7263B">
        <w:rPr>
          <w:b/>
          <w:sz w:val="20"/>
          <w:szCs w:val="20"/>
        </w:rPr>
        <w:t xml:space="preserve">, the </w:t>
      </w:r>
      <w:r w:rsidR="00F21BB8" w:rsidRPr="00F7263B">
        <w:rPr>
          <w:b/>
          <w:sz w:val="20"/>
          <w:szCs w:val="20"/>
        </w:rPr>
        <w:t>p</w:t>
      </w:r>
      <w:r w:rsidR="00951220" w:rsidRPr="00F7263B">
        <w:rPr>
          <w:b/>
          <w:sz w:val="20"/>
          <w:szCs w:val="20"/>
        </w:rPr>
        <w:t>erformance measures will appl</w:t>
      </w:r>
      <w:r w:rsidR="00F21BB8" w:rsidRPr="00F7263B">
        <w:rPr>
          <w:b/>
          <w:sz w:val="20"/>
          <w:szCs w:val="20"/>
        </w:rPr>
        <w:t>y only to the</w:t>
      </w:r>
      <w:r w:rsidR="00280BFA" w:rsidRPr="00F7263B">
        <w:rPr>
          <w:b/>
          <w:sz w:val="20"/>
          <w:szCs w:val="20"/>
        </w:rPr>
        <w:t xml:space="preserve">18 </w:t>
      </w:r>
      <w:r w:rsidR="00951220" w:rsidRPr="00F7263B">
        <w:rPr>
          <w:b/>
          <w:sz w:val="20"/>
          <w:szCs w:val="20"/>
        </w:rPr>
        <w:t>ULGs</w:t>
      </w:r>
      <w:r w:rsidR="00F21BB8" w:rsidRPr="00F7263B">
        <w:rPr>
          <w:b/>
          <w:sz w:val="20"/>
          <w:szCs w:val="20"/>
        </w:rPr>
        <w:t xml:space="preserve"> currently participating in the Program</w:t>
      </w:r>
      <w:r w:rsidRPr="00F7263B">
        <w:rPr>
          <w:sz w:val="20"/>
          <w:szCs w:val="20"/>
        </w:rPr>
        <w:t xml:space="preserve">.  </w:t>
      </w:r>
      <w:r w:rsidR="00951220" w:rsidRPr="00F7263B">
        <w:rPr>
          <w:sz w:val="20"/>
          <w:szCs w:val="20"/>
        </w:rPr>
        <w:t xml:space="preserve">The first assessment, which </w:t>
      </w:r>
      <w:r w:rsidR="00951220" w:rsidRPr="00F7263B">
        <w:rPr>
          <w:sz w:val="20"/>
          <w:szCs w:val="20"/>
        </w:rPr>
        <w:lastRenderedPageBreak/>
        <w:t xml:space="preserve">will be completed later than in the future years, </w:t>
      </w:r>
      <w:r w:rsidR="00731DF1" w:rsidRPr="00F7263B">
        <w:rPr>
          <w:sz w:val="20"/>
          <w:szCs w:val="20"/>
        </w:rPr>
        <w:t>is expected</w:t>
      </w:r>
      <w:r w:rsidR="00A2314D">
        <w:rPr>
          <w:sz w:val="20"/>
          <w:szCs w:val="20"/>
        </w:rPr>
        <w:t xml:space="preserve"> </w:t>
      </w:r>
      <w:r w:rsidR="00951220" w:rsidRPr="00F7263B">
        <w:rPr>
          <w:sz w:val="20"/>
          <w:szCs w:val="20"/>
        </w:rPr>
        <w:t xml:space="preserve">be completed by May 2014 </w:t>
      </w:r>
      <w:r w:rsidR="00F21BB8" w:rsidRPr="00F7263B">
        <w:rPr>
          <w:sz w:val="20"/>
          <w:szCs w:val="20"/>
        </w:rPr>
        <w:t>and</w:t>
      </w:r>
      <w:r w:rsidR="00731DF1" w:rsidRPr="00F7263B">
        <w:rPr>
          <w:sz w:val="20"/>
          <w:szCs w:val="20"/>
        </w:rPr>
        <w:t xml:space="preserve"> to</w:t>
      </w:r>
      <w:r w:rsidR="00F21BB8" w:rsidRPr="00F7263B">
        <w:rPr>
          <w:sz w:val="20"/>
          <w:szCs w:val="20"/>
        </w:rPr>
        <w:t xml:space="preserve"> be used to determine the allocations for </w:t>
      </w:r>
      <w:r w:rsidR="00731DF1" w:rsidRPr="00F7263B">
        <w:rPr>
          <w:sz w:val="20"/>
          <w:szCs w:val="20"/>
        </w:rPr>
        <w:t>20</w:t>
      </w:r>
      <w:r w:rsidR="00951220" w:rsidRPr="00F7263B">
        <w:rPr>
          <w:sz w:val="20"/>
          <w:szCs w:val="20"/>
        </w:rPr>
        <w:t>15</w:t>
      </w:r>
      <w:r w:rsidR="005A02F1" w:rsidRPr="00F7263B">
        <w:rPr>
          <w:sz w:val="20"/>
          <w:szCs w:val="20"/>
        </w:rPr>
        <w:t>/16</w:t>
      </w:r>
      <w:r w:rsidR="00951220" w:rsidRPr="00F7263B">
        <w:rPr>
          <w:sz w:val="20"/>
          <w:szCs w:val="20"/>
        </w:rPr>
        <w:t xml:space="preserve"> allocations (</w:t>
      </w:r>
      <w:r w:rsidR="00731DF1" w:rsidRPr="00F7263B">
        <w:rPr>
          <w:sz w:val="20"/>
          <w:szCs w:val="20"/>
        </w:rPr>
        <w:t>E</w:t>
      </w:r>
      <w:r w:rsidR="005A02F1" w:rsidRPr="00F7263B">
        <w:rPr>
          <w:sz w:val="20"/>
          <w:szCs w:val="20"/>
        </w:rPr>
        <w:t>thiopian fiscal</w:t>
      </w:r>
      <w:r w:rsidR="00731DF1" w:rsidRPr="00F7263B">
        <w:rPr>
          <w:sz w:val="20"/>
          <w:szCs w:val="20"/>
        </w:rPr>
        <w:t xml:space="preserve"> year 2007/08</w:t>
      </w:r>
      <w:r w:rsidR="00951220" w:rsidRPr="00F7263B">
        <w:rPr>
          <w:sz w:val="20"/>
          <w:szCs w:val="20"/>
        </w:rPr>
        <w:t>)</w:t>
      </w:r>
      <w:r w:rsidRPr="00F7263B">
        <w:rPr>
          <w:sz w:val="20"/>
          <w:szCs w:val="20"/>
        </w:rPr>
        <w:t xml:space="preserve">.  </w:t>
      </w:r>
      <w:r w:rsidR="00951220" w:rsidRPr="00F7263B">
        <w:rPr>
          <w:sz w:val="20"/>
          <w:szCs w:val="20"/>
        </w:rPr>
        <w:t>The APA cycle</w:t>
      </w:r>
      <w:r w:rsidR="00D22F52" w:rsidRPr="00F7263B">
        <w:rPr>
          <w:sz w:val="20"/>
          <w:szCs w:val="20"/>
        </w:rPr>
        <w:t>,</w:t>
      </w:r>
      <w:r w:rsidR="00A2314D">
        <w:rPr>
          <w:sz w:val="20"/>
          <w:szCs w:val="20"/>
        </w:rPr>
        <w:t xml:space="preserve"> </w:t>
      </w:r>
      <w:r w:rsidR="00913A93" w:rsidRPr="00F7263B">
        <w:rPr>
          <w:sz w:val="20"/>
          <w:szCs w:val="20"/>
        </w:rPr>
        <w:t>as</w:t>
      </w:r>
      <w:r w:rsidR="00951220" w:rsidRPr="00F7263B">
        <w:rPr>
          <w:sz w:val="20"/>
          <w:szCs w:val="20"/>
        </w:rPr>
        <w:t xml:space="preserve"> planned</w:t>
      </w:r>
      <w:r w:rsidR="00D22F52" w:rsidRPr="00F7263B">
        <w:rPr>
          <w:sz w:val="20"/>
          <w:szCs w:val="20"/>
        </w:rPr>
        <w:t>,</w:t>
      </w:r>
      <w:r w:rsidR="00A2314D">
        <w:rPr>
          <w:sz w:val="20"/>
          <w:szCs w:val="20"/>
        </w:rPr>
        <w:t xml:space="preserve"> </w:t>
      </w:r>
      <w:r w:rsidR="00913A93" w:rsidRPr="00F7263B">
        <w:rPr>
          <w:sz w:val="20"/>
          <w:szCs w:val="20"/>
        </w:rPr>
        <w:t>is presented below</w:t>
      </w:r>
      <w:r w:rsidR="00951220" w:rsidRPr="00F7263B">
        <w:rPr>
          <w:sz w:val="20"/>
          <w:szCs w:val="20"/>
        </w:rPr>
        <w:t xml:space="preserve"> (with the noted delays in the first </w:t>
      </w:r>
      <w:r w:rsidR="00913A93" w:rsidRPr="00F7263B">
        <w:rPr>
          <w:sz w:val="20"/>
          <w:szCs w:val="20"/>
        </w:rPr>
        <w:t>financial year</w:t>
      </w:r>
      <w:r w:rsidR="00951220" w:rsidRPr="00F7263B">
        <w:rPr>
          <w:sz w:val="20"/>
          <w:szCs w:val="20"/>
        </w:rPr>
        <w:t>):</w:t>
      </w:r>
    </w:p>
    <w:p w:rsidR="001E149C" w:rsidRPr="00F7263B" w:rsidRDefault="001E149C" w:rsidP="00254260">
      <w:pPr>
        <w:pStyle w:val="ListParagraph"/>
        <w:ind w:left="0"/>
        <w:jc w:val="both"/>
        <w:rPr>
          <w:sz w:val="20"/>
          <w:szCs w:val="20"/>
        </w:rPr>
      </w:pPr>
    </w:p>
    <w:p w:rsidR="00951220" w:rsidRPr="00F7263B" w:rsidRDefault="009774F8" w:rsidP="00951220">
      <w:pPr>
        <w:pStyle w:val="NoSpacing"/>
        <w:jc w:val="both"/>
        <w:rPr>
          <w:rFonts w:ascii="Times New Roman" w:hAnsi="Times New Roman"/>
          <w:i/>
          <w:sz w:val="20"/>
          <w:szCs w:val="20"/>
        </w:rPr>
      </w:pPr>
      <w:r w:rsidRPr="00F7263B">
        <w:rPr>
          <w:rFonts w:ascii="Times New Roman" w:hAnsi="Times New Roman"/>
          <w:i/>
          <w:sz w:val="20"/>
          <w:szCs w:val="20"/>
        </w:rPr>
        <w:t xml:space="preserve">First Assessment: </w:t>
      </w:r>
      <w:r w:rsidR="00C03B5E" w:rsidRPr="00F7263B">
        <w:rPr>
          <w:rFonts w:ascii="Times New Roman" w:hAnsi="Times New Roman"/>
          <w:i/>
          <w:sz w:val="20"/>
          <w:szCs w:val="20"/>
        </w:rPr>
        <w:t xml:space="preserve">For allocations in </w:t>
      </w:r>
      <w:r w:rsidR="00913A93" w:rsidRPr="00F7263B">
        <w:rPr>
          <w:rFonts w:ascii="Times New Roman" w:hAnsi="Times New Roman"/>
          <w:i/>
          <w:sz w:val="20"/>
          <w:szCs w:val="20"/>
        </w:rPr>
        <w:t>year</w:t>
      </w:r>
      <w:r w:rsidR="00951220" w:rsidRPr="00F7263B">
        <w:rPr>
          <w:rFonts w:ascii="Times New Roman" w:hAnsi="Times New Roman"/>
          <w:i/>
          <w:sz w:val="20"/>
          <w:szCs w:val="20"/>
        </w:rPr>
        <w:t xml:space="preserve"> 2014/15</w:t>
      </w:r>
    </w:p>
    <w:p w:rsidR="00913A93" w:rsidRPr="00F7263B" w:rsidRDefault="00913A93" w:rsidP="00254260">
      <w:pPr>
        <w:pStyle w:val="ListParagraph"/>
        <w:ind w:left="0"/>
        <w:jc w:val="both"/>
        <w:rPr>
          <w:sz w:val="20"/>
          <w:szCs w:val="20"/>
        </w:rPr>
      </w:pP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December 2013: Indicative planning figures</w:t>
      </w:r>
      <w:r w:rsidR="00913A93" w:rsidRPr="00F7263B">
        <w:rPr>
          <w:sz w:val="20"/>
          <w:szCs w:val="20"/>
        </w:rPr>
        <w:t>,</w:t>
      </w:r>
      <w:r w:rsidRPr="00F7263B">
        <w:rPr>
          <w:sz w:val="20"/>
          <w:szCs w:val="20"/>
        </w:rPr>
        <w:t xml:space="preserve"> based on expected full city compliance with the </w:t>
      </w:r>
      <w:r w:rsidR="00913A93" w:rsidRPr="00F7263B">
        <w:rPr>
          <w:sz w:val="20"/>
          <w:szCs w:val="20"/>
        </w:rPr>
        <w:t>minimum conditions</w:t>
      </w:r>
      <w:r w:rsidR="009774F8" w:rsidRPr="00F7263B">
        <w:rPr>
          <w:sz w:val="20"/>
          <w:szCs w:val="20"/>
        </w:rPr>
        <w:t xml:space="preserve">(all 44 cities), </w:t>
      </w:r>
      <w:r w:rsidRPr="00F7263B">
        <w:rPr>
          <w:sz w:val="20"/>
          <w:szCs w:val="20"/>
        </w:rPr>
        <w:t xml:space="preserve">and average scores on the </w:t>
      </w:r>
      <w:r w:rsidR="00913A93" w:rsidRPr="00F7263B">
        <w:rPr>
          <w:sz w:val="20"/>
          <w:szCs w:val="20"/>
        </w:rPr>
        <w:t>performance measures</w:t>
      </w:r>
      <w:r w:rsidR="009774F8" w:rsidRPr="00F7263B">
        <w:rPr>
          <w:sz w:val="20"/>
          <w:szCs w:val="20"/>
        </w:rPr>
        <w:t xml:space="preserve"> (the 18 </w:t>
      </w:r>
      <w:r w:rsidR="00913A93" w:rsidRPr="00F7263B">
        <w:rPr>
          <w:sz w:val="20"/>
          <w:szCs w:val="20"/>
        </w:rPr>
        <w:t>cities in the current Program</w:t>
      </w:r>
      <w:r w:rsidR="009774F8"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January</w:t>
      </w:r>
      <w:r w:rsidR="00280BFA" w:rsidRPr="00F7263B">
        <w:rPr>
          <w:sz w:val="20"/>
          <w:szCs w:val="20"/>
        </w:rPr>
        <w:t>/February</w:t>
      </w:r>
      <w:r w:rsidRPr="00F7263B">
        <w:rPr>
          <w:sz w:val="20"/>
          <w:szCs w:val="20"/>
        </w:rPr>
        <w:t xml:space="preserve"> 2014: </w:t>
      </w:r>
      <w:r w:rsidR="00913A93" w:rsidRPr="00F7263B">
        <w:rPr>
          <w:sz w:val="20"/>
          <w:szCs w:val="20"/>
        </w:rPr>
        <w:t>ULGs</w:t>
      </w:r>
      <w:r w:rsidRPr="00F7263B">
        <w:rPr>
          <w:sz w:val="20"/>
          <w:szCs w:val="20"/>
        </w:rPr>
        <w:t xml:space="preserve"> budgeting process for </w:t>
      </w:r>
      <w:r w:rsidR="00A9743F" w:rsidRPr="00F7263B">
        <w:rPr>
          <w:sz w:val="20"/>
          <w:szCs w:val="20"/>
        </w:rPr>
        <w:t>2014/</w:t>
      </w:r>
      <w:r w:rsidRPr="00F7263B">
        <w:rPr>
          <w:sz w:val="20"/>
          <w:szCs w:val="20"/>
        </w:rPr>
        <w:t xml:space="preserve">15 starts using the </w:t>
      </w:r>
      <w:r w:rsidR="00913A93" w:rsidRPr="00F7263B">
        <w:rPr>
          <w:sz w:val="20"/>
          <w:szCs w:val="20"/>
        </w:rPr>
        <w:t>indicative planning figures.</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Minimum requirement assessment and assessment of performance </w:t>
      </w:r>
      <w:r w:rsidR="00913A93" w:rsidRPr="00F7263B">
        <w:rPr>
          <w:sz w:val="20"/>
          <w:szCs w:val="20"/>
        </w:rPr>
        <w:t>(upon completion of contract</w:t>
      </w:r>
      <w:r w:rsidRPr="00F7263B">
        <w:rPr>
          <w:sz w:val="20"/>
          <w:szCs w:val="20"/>
        </w:rPr>
        <w:t xml:space="preserve"> with </w:t>
      </w:r>
      <w:r w:rsidR="00913A93" w:rsidRPr="00F7263B">
        <w:rPr>
          <w:sz w:val="20"/>
          <w:szCs w:val="20"/>
        </w:rPr>
        <w:t>firm</w:t>
      </w:r>
      <w:r w:rsidRPr="00F7263B">
        <w:rPr>
          <w:sz w:val="20"/>
          <w:szCs w:val="20"/>
        </w:rPr>
        <w:t>, expected in March 2014)</w:t>
      </w:r>
      <w:r w:rsidR="00913A93" w:rsidRPr="00F7263B">
        <w:rPr>
          <w:sz w:val="20"/>
          <w:szCs w:val="20"/>
        </w:rPr>
        <w:t xml:space="preserve">. </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May/June 2014: Final disbursement figures for 2014/15 </w:t>
      </w:r>
      <w:r w:rsidR="009774F8" w:rsidRPr="00F7263B">
        <w:rPr>
          <w:sz w:val="20"/>
          <w:szCs w:val="20"/>
        </w:rPr>
        <w:t>announced.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June 2014: Results incorporated in the city</w:t>
      </w:r>
      <w:r w:rsidR="009774F8" w:rsidRPr="00F7263B">
        <w:rPr>
          <w:sz w:val="20"/>
          <w:szCs w:val="20"/>
        </w:rPr>
        <w:t xml:space="preserve"> plans and budgets for 2</w:t>
      </w:r>
      <w:r w:rsidRPr="00F7263B">
        <w:rPr>
          <w:sz w:val="20"/>
          <w:szCs w:val="20"/>
        </w:rPr>
        <w:t>014/15</w:t>
      </w:r>
      <w:r w:rsidR="009774F8"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July/August 2014: Cities receive 50</w:t>
      </w:r>
      <w:r w:rsidR="009774F8" w:rsidRPr="00F7263B">
        <w:rPr>
          <w:sz w:val="20"/>
          <w:szCs w:val="20"/>
        </w:rPr>
        <w:t xml:space="preserve"> percent</w:t>
      </w:r>
      <w:r w:rsidRPr="00F7263B">
        <w:rPr>
          <w:sz w:val="20"/>
          <w:szCs w:val="20"/>
        </w:rPr>
        <w:t xml:space="preserve"> of the first</w:t>
      </w:r>
      <w:r w:rsidR="008E1E28" w:rsidRPr="00F7263B">
        <w:rPr>
          <w:sz w:val="20"/>
          <w:szCs w:val="20"/>
        </w:rPr>
        <w:t xml:space="preserve"> allocation</w:t>
      </w:r>
      <w:r w:rsidRPr="00F7263B">
        <w:rPr>
          <w:sz w:val="20"/>
          <w:szCs w:val="20"/>
        </w:rPr>
        <w:t xml:space="preserve"> disburse</w:t>
      </w:r>
      <w:r w:rsidR="008E1E28" w:rsidRPr="00F7263B">
        <w:rPr>
          <w:sz w:val="20"/>
          <w:szCs w:val="20"/>
        </w:rPr>
        <w:t>d</w:t>
      </w:r>
      <w:r w:rsidR="009774F8"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January 2015: Cities receive 50</w:t>
      </w:r>
      <w:r w:rsidR="009774F8" w:rsidRPr="00F7263B">
        <w:rPr>
          <w:sz w:val="20"/>
          <w:szCs w:val="20"/>
        </w:rPr>
        <w:t xml:space="preserve"> percent</w:t>
      </w:r>
      <w:r w:rsidRPr="00F7263B">
        <w:rPr>
          <w:sz w:val="20"/>
          <w:szCs w:val="20"/>
        </w:rPr>
        <w:t xml:space="preserve"> of the first </w:t>
      </w:r>
      <w:r w:rsidR="008E1E28" w:rsidRPr="00F7263B">
        <w:rPr>
          <w:sz w:val="20"/>
          <w:szCs w:val="20"/>
        </w:rPr>
        <w:t xml:space="preserve">allocation </w:t>
      </w:r>
      <w:r w:rsidRPr="00F7263B">
        <w:rPr>
          <w:sz w:val="20"/>
          <w:szCs w:val="20"/>
        </w:rPr>
        <w:t>disburse</w:t>
      </w:r>
      <w:r w:rsidR="008E1E28" w:rsidRPr="00F7263B">
        <w:rPr>
          <w:sz w:val="20"/>
          <w:szCs w:val="20"/>
        </w:rPr>
        <w:t>d</w:t>
      </w:r>
      <w:r w:rsidR="005A02F1" w:rsidRPr="00F7263B">
        <w:rPr>
          <w:sz w:val="20"/>
          <w:szCs w:val="20"/>
        </w:rPr>
        <w:t>.</w:t>
      </w:r>
    </w:p>
    <w:p w:rsidR="009774F8" w:rsidRPr="00F7263B" w:rsidRDefault="00951220" w:rsidP="00951220">
      <w:pPr>
        <w:pStyle w:val="NoSpacing"/>
        <w:jc w:val="both"/>
        <w:rPr>
          <w:rFonts w:ascii="Times New Roman" w:hAnsi="Times New Roman"/>
          <w:i/>
          <w:sz w:val="20"/>
          <w:szCs w:val="20"/>
        </w:rPr>
      </w:pPr>
      <w:r w:rsidRPr="00F7263B">
        <w:rPr>
          <w:rFonts w:ascii="Times New Roman" w:hAnsi="Times New Roman"/>
          <w:i/>
          <w:sz w:val="20"/>
          <w:szCs w:val="20"/>
        </w:rPr>
        <w:t>Second Assessment</w:t>
      </w:r>
      <w:r w:rsidR="000C3BFC" w:rsidRPr="00F7263B">
        <w:rPr>
          <w:rFonts w:ascii="Times New Roman" w:hAnsi="Times New Roman"/>
          <w:i/>
          <w:sz w:val="20"/>
          <w:szCs w:val="20"/>
        </w:rPr>
        <w:t>:</w:t>
      </w:r>
      <w:r w:rsidR="00C03B5E" w:rsidRPr="00F7263B">
        <w:rPr>
          <w:rFonts w:ascii="Times New Roman" w:hAnsi="Times New Roman"/>
          <w:i/>
          <w:sz w:val="20"/>
          <w:szCs w:val="20"/>
        </w:rPr>
        <w:t xml:space="preserve"> For allocations in</w:t>
      </w:r>
      <w:r w:rsidR="009774F8" w:rsidRPr="00F7263B">
        <w:rPr>
          <w:rFonts w:ascii="Times New Roman" w:hAnsi="Times New Roman"/>
          <w:i/>
          <w:sz w:val="20"/>
          <w:szCs w:val="20"/>
        </w:rPr>
        <w:t xml:space="preserve"> 2015/16</w:t>
      </w:r>
    </w:p>
    <w:p w:rsidR="000C3BFC" w:rsidRPr="00F7263B" w:rsidRDefault="000C3BFC" w:rsidP="00951220">
      <w:pPr>
        <w:pStyle w:val="NoSpacing"/>
        <w:jc w:val="both"/>
        <w:rPr>
          <w:rFonts w:ascii="Times New Roman" w:hAnsi="Times New Roman"/>
          <w:i/>
          <w:sz w:val="20"/>
          <w:szCs w:val="20"/>
        </w:rPr>
      </w:pPr>
    </w:p>
    <w:p w:rsidR="000C3BFC" w:rsidRPr="00F7263B" w:rsidRDefault="000C3BFC" w:rsidP="000C3BFC">
      <w:pPr>
        <w:pStyle w:val="NoSpacing"/>
        <w:jc w:val="both"/>
        <w:rPr>
          <w:rFonts w:ascii="Times New Roman" w:hAnsi="Times New Roman"/>
          <w:sz w:val="20"/>
          <w:szCs w:val="20"/>
        </w:rPr>
      </w:pPr>
      <w:r w:rsidRPr="00F7263B">
        <w:rPr>
          <w:rFonts w:ascii="Times New Roman" w:hAnsi="Times New Roman"/>
          <w:sz w:val="20"/>
          <w:szCs w:val="20"/>
        </w:rPr>
        <w:t xml:space="preserve">The APA will be conducted tracking most performance measures. </w:t>
      </w:r>
    </w:p>
    <w:p w:rsidR="009774F8" w:rsidRPr="00F7263B" w:rsidRDefault="009774F8" w:rsidP="00951220">
      <w:pPr>
        <w:pStyle w:val="NoSpacing"/>
        <w:jc w:val="both"/>
        <w:rPr>
          <w:rFonts w:ascii="Times New Roman" w:hAnsi="Times New Roman"/>
          <w:i/>
          <w:sz w:val="20"/>
          <w:szCs w:val="20"/>
        </w:rPr>
      </w:pP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September 2014: A</w:t>
      </w:r>
      <w:r w:rsidR="000C3BFC" w:rsidRPr="00F7263B">
        <w:rPr>
          <w:sz w:val="20"/>
          <w:szCs w:val="20"/>
        </w:rPr>
        <w:t xml:space="preserve">ssessment of minimum conditions and </w:t>
      </w:r>
      <w:r w:rsidRPr="00F7263B">
        <w:rPr>
          <w:sz w:val="20"/>
          <w:szCs w:val="20"/>
        </w:rPr>
        <w:t>performance measure</w:t>
      </w:r>
      <w:r w:rsidR="000C3BFC" w:rsidRPr="00F7263B">
        <w:rPr>
          <w:sz w:val="20"/>
          <w:szCs w:val="20"/>
        </w:rPr>
        <w:t>s</w:t>
      </w:r>
      <w:r w:rsidRPr="00F7263B">
        <w:rPr>
          <w:sz w:val="20"/>
          <w:szCs w:val="20"/>
        </w:rPr>
        <w:t xml:space="preserve"> started</w:t>
      </w:r>
      <w:r w:rsidR="000C3BFC" w:rsidRPr="00F7263B">
        <w:rPr>
          <w:sz w:val="20"/>
          <w:szCs w:val="20"/>
        </w:rPr>
        <w:t>.</w:t>
      </w:r>
    </w:p>
    <w:p w:rsidR="006E7278" w:rsidRPr="00F7263B" w:rsidRDefault="00521A2A" w:rsidP="00056FC8">
      <w:pPr>
        <w:pStyle w:val="ListParagraph"/>
        <w:numPr>
          <w:ilvl w:val="1"/>
          <w:numId w:val="61"/>
        </w:numPr>
        <w:spacing w:after="200"/>
        <w:ind w:hanging="720"/>
        <w:jc w:val="both"/>
        <w:rPr>
          <w:sz w:val="20"/>
          <w:szCs w:val="20"/>
        </w:rPr>
      </w:pPr>
      <w:r w:rsidRPr="00F7263B">
        <w:rPr>
          <w:sz w:val="20"/>
          <w:szCs w:val="20"/>
        </w:rPr>
        <w:t>November</w:t>
      </w:r>
      <w:r w:rsidR="00951220" w:rsidRPr="00F7263B">
        <w:rPr>
          <w:sz w:val="20"/>
          <w:szCs w:val="20"/>
        </w:rPr>
        <w:t>: Assessment complete</w:t>
      </w:r>
      <w:r w:rsidR="003A2D81" w:rsidRPr="00F7263B">
        <w:rPr>
          <w:sz w:val="20"/>
          <w:szCs w:val="20"/>
        </w:rPr>
        <w:t>d</w:t>
      </w:r>
      <w:r w:rsidR="00951220" w:rsidRPr="00F7263B">
        <w:rPr>
          <w:sz w:val="20"/>
          <w:szCs w:val="20"/>
        </w:rPr>
        <w:t>, except for the audit findings</w:t>
      </w:r>
      <w:r w:rsidR="000C3BFC" w:rsidRPr="00F7263B">
        <w:rPr>
          <w:sz w:val="20"/>
          <w:szCs w:val="20"/>
        </w:rPr>
        <w:t>.</w:t>
      </w:r>
    </w:p>
    <w:p w:rsidR="006E7278" w:rsidRPr="00F7263B" w:rsidRDefault="000C3BFC" w:rsidP="00056FC8">
      <w:pPr>
        <w:pStyle w:val="ListParagraph"/>
        <w:numPr>
          <w:ilvl w:val="1"/>
          <w:numId w:val="61"/>
        </w:numPr>
        <w:spacing w:after="200"/>
        <w:ind w:hanging="720"/>
        <w:jc w:val="both"/>
        <w:rPr>
          <w:sz w:val="20"/>
          <w:szCs w:val="20"/>
        </w:rPr>
      </w:pPr>
      <w:r w:rsidRPr="00F7263B">
        <w:rPr>
          <w:sz w:val="20"/>
          <w:szCs w:val="20"/>
        </w:rPr>
        <w:t>January 2015: Audit results are incorporated in the APA.</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January 2015: Allocations announced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2015: </w:t>
      </w:r>
      <w:r w:rsidR="000C3BFC" w:rsidRPr="00F7263B">
        <w:rPr>
          <w:sz w:val="20"/>
          <w:szCs w:val="20"/>
        </w:rPr>
        <w:t>ULG</w:t>
      </w:r>
      <w:r w:rsidRPr="00F7263B">
        <w:rPr>
          <w:sz w:val="20"/>
          <w:szCs w:val="20"/>
        </w:rPr>
        <w:t xml:space="preserve"> budgeting process for 2015/16 starts, </w:t>
      </w:r>
      <w:r w:rsidR="000C3BFC" w:rsidRPr="00F7263B">
        <w:rPr>
          <w:sz w:val="20"/>
          <w:szCs w:val="20"/>
        </w:rPr>
        <w:t>based on actual allocations.</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July 2015: 50</w:t>
      </w:r>
      <w:r w:rsidR="000C3BFC" w:rsidRPr="00F7263B">
        <w:rPr>
          <w:sz w:val="20"/>
          <w:szCs w:val="20"/>
        </w:rPr>
        <w:t xml:space="preserve"> percent</w:t>
      </w:r>
      <w:r w:rsidRPr="00F7263B">
        <w:rPr>
          <w:sz w:val="20"/>
          <w:szCs w:val="20"/>
        </w:rPr>
        <w:t xml:space="preserve"> of annual allocation disbursed</w:t>
      </w:r>
      <w:r w:rsidR="000C3BFC"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January 2016: 50</w:t>
      </w:r>
      <w:r w:rsidR="000C3BFC" w:rsidRPr="00F7263B">
        <w:rPr>
          <w:sz w:val="20"/>
          <w:szCs w:val="20"/>
        </w:rPr>
        <w:t xml:space="preserve"> percent</w:t>
      </w:r>
      <w:r w:rsidRPr="00F7263B">
        <w:rPr>
          <w:sz w:val="20"/>
          <w:szCs w:val="20"/>
        </w:rPr>
        <w:t xml:space="preserve"> of annual allocation disbursed</w:t>
      </w:r>
      <w:r w:rsidR="000C3BFC" w:rsidRPr="00F7263B">
        <w:rPr>
          <w:sz w:val="20"/>
          <w:szCs w:val="20"/>
        </w:rPr>
        <w:t>.</w:t>
      </w:r>
    </w:p>
    <w:p w:rsidR="000C3BFC" w:rsidRPr="00F7263B" w:rsidRDefault="005340D3" w:rsidP="00951220">
      <w:pPr>
        <w:pStyle w:val="NoSpacing"/>
        <w:jc w:val="both"/>
        <w:rPr>
          <w:rFonts w:ascii="Times New Roman" w:hAnsi="Times New Roman"/>
          <w:sz w:val="20"/>
          <w:szCs w:val="20"/>
        </w:rPr>
      </w:pPr>
      <w:r w:rsidRPr="00F7263B">
        <w:rPr>
          <w:rFonts w:ascii="Times New Roman" w:hAnsi="Times New Roman"/>
          <w:i/>
          <w:sz w:val="20"/>
          <w:szCs w:val="20"/>
        </w:rPr>
        <w:t xml:space="preserve">Third assessment: </w:t>
      </w:r>
      <w:r w:rsidR="000C3BFC" w:rsidRPr="00F7263B">
        <w:rPr>
          <w:rFonts w:ascii="Times New Roman" w:hAnsi="Times New Roman"/>
          <w:i/>
          <w:sz w:val="20"/>
          <w:szCs w:val="20"/>
        </w:rPr>
        <w:t>2016/17</w:t>
      </w:r>
    </w:p>
    <w:p w:rsidR="000C3BFC" w:rsidRPr="00F7263B" w:rsidRDefault="000C3BFC" w:rsidP="00951220">
      <w:pPr>
        <w:pStyle w:val="NoSpacing"/>
        <w:jc w:val="both"/>
        <w:rPr>
          <w:rFonts w:ascii="Times New Roman" w:hAnsi="Times New Roman"/>
          <w:sz w:val="20"/>
          <w:szCs w:val="20"/>
        </w:rPr>
      </w:pPr>
    </w:p>
    <w:p w:rsidR="00951220" w:rsidRPr="00F7263B" w:rsidRDefault="00951220" w:rsidP="00951220">
      <w:pPr>
        <w:pStyle w:val="NoSpacing"/>
        <w:jc w:val="both"/>
        <w:rPr>
          <w:rFonts w:ascii="Times New Roman" w:hAnsi="Times New Roman"/>
          <w:sz w:val="20"/>
          <w:szCs w:val="20"/>
        </w:rPr>
      </w:pPr>
      <w:r w:rsidRPr="00F7263B">
        <w:rPr>
          <w:rFonts w:ascii="Times New Roman" w:hAnsi="Times New Roman"/>
          <w:sz w:val="20"/>
          <w:szCs w:val="20"/>
        </w:rPr>
        <w:t xml:space="preserve">The full </w:t>
      </w:r>
      <w:r w:rsidR="000C3BFC" w:rsidRPr="00F7263B">
        <w:rPr>
          <w:rFonts w:ascii="Times New Roman" w:hAnsi="Times New Roman"/>
          <w:sz w:val="20"/>
          <w:szCs w:val="20"/>
        </w:rPr>
        <w:t xml:space="preserve">APA </w:t>
      </w:r>
      <w:r w:rsidRPr="00F7263B">
        <w:rPr>
          <w:rFonts w:ascii="Times New Roman" w:hAnsi="Times New Roman"/>
          <w:sz w:val="20"/>
          <w:szCs w:val="20"/>
        </w:rPr>
        <w:t xml:space="preserve">will be conducted </w:t>
      </w:r>
      <w:r w:rsidR="000C3BFC" w:rsidRPr="00F7263B">
        <w:rPr>
          <w:rFonts w:ascii="Times New Roman" w:hAnsi="Times New Roman"/>
          <w:sz w:val="20"/>
          <w:szCs w:val="20"/>
        </w:rPr>
        <w:t>tracking</w:t>
      </w:r>
      <w:r w:rsidR="00A2314D">
        <w:rPr>
          <w:rFonts w:ascii="Times New Roman" w:hAnsi="Times New Roman"/>
          <w:sz w:val="20"/>
          <w:szCs w:val="20"/>
        </w:rPr>
        <w:t xml:space="preserve"> </w:t>
      </w:r>
      <w:r w:rsidRPr="00F7263B">
        <w:rPr>
          <w:rFonts w:ascii="Times New Roman" w:hAnsi="Times New Roman"/>
          <w:sz w:val="20"/>
          <w:szCs w:val="20"/>
        </w:rPr>
        <w:t>all performance measures</w:t>
      </w:r>
      <w:r w:rsidR="000C3BFC" w:rsidRPr="00F7263B">
        <w:rPr>
          <w:rFonts w:ascii="Times New Roman" w:hAnsi="Times New Roman"/>
          <w:sz w:val="20"/>
          <w:szCs w:val="20"/>
        </w:rPr>
        <w:t xml:space="preserve">. </w:t>
      </w:r>
    </w:p>
    <w:p w:rsidR="00951220" w:rsidRPr="00F7263B" w:rsidRDefault="00951220" w:rsidP="00254260">
      <w:pPr>
        <w:pStyle w:val="NoSpacing"/>
        <w:jc w:val="both"/>
        <w:rPr>
          <w:rFonts w:ascii="Times New Roman" w:hAnsi="Times New Roman"/>
          <w:sz w:val="20"/>
          <w:szCs w:val="20"/>
        </w:rPr>
      </w:pP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September 2015: </w:t>
      </w:r>
      <w:r w:rsidR="000C3BFC" w:rsidRPr="00F7263B">
        <w:rPr>
          <w:sz w:val="20"/>
          <w:szCs w:val="20"/>
        </w:rPr>
        <w:t>Assessment of minimum conditions and all performance measures started.</w:t>
      </w:r>
    </w:p>
    <w:p w:rsidR="006E7278" w:rsidRPr="00F7263B" w:rsidRDefault="00521A2A" w:rsidP="00056FC8">
      <w:pPr>
        <w:pStyle w:val="ListParagraph"/>
        <w:numPr>
          <w:ilvl w:val="1"/>
          <w:numId w:val="61"/>
        </w:numPr>
        <w:spacing w:after="200"/>
        <w:ind w:hanging="720"/>
        <w:jc w:val="both"/>
        <w:rPr>
          <w:sz w:val="20"/>
          <w:szCs w:val="20"/>
        </w:rPr>
      </w:pPr>
      <w:r w:rsidRPr="00F7263B">
        <w:rPr>
          <w:sz w:val="20"/>
          <w:szCs w:val="20"/>
        </w:rPr>
        <w:t>November</w:t>
      </w:r>
      <w:r w:rsidR="00951220" w:rsidRPr="00F7263B">
        <w:rPr>
          <w:sz w:val="20"/>
          <w:szCs w:val="20"/>
        </w:rPr>
        <w:t xml:space="preserve"> 2015: Assessment complete</w:t>
      </w:r>
      <w:r w:rsidR="003A2D81" w:rsidRPr="00F7263B">
        <w:rPr>
          <w:sz w:val="20"/>
          <w:szCs w:val="20"/>
        </w:rPr>
        <w:t>d</w:t>
      </w:r>
      <w:r w:rsidR="00951220" w:rsidRPr="00F7263B">
        <w:rPr>
          <w:sz w:val="20"/>
          <w:szCs w:val="20"/>
        </w:rPr>
        <w:t>, except for the audit results</w:t>
      </w:r>
      <w:r w:rsidR="00A26A2B"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2016: </w:t>
      </w:r>
      <w:r w:rsidR="00A26A2B" w:rsidRPr="00F7263B">
        <w:rPr>
          <w:sz w:val="20"/>
          <w:szCs w:val="20"/>
        </w:rPr>
        <w:t>Audit results are incorporated in the APA.</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2016: </w:t>
      </w:r>
      <w:r w:rsidR="00A26A2B" w:rsidRPr="00F7263B">
        <w:rPr>
          <w:sz w:val="20"/>
          <w:szCs w:val="20"/>
        </w:rPr>
        <w:t>Allocations announced.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2016: </w:t>
      </w:r>
      <w:r w:rsidR="00A26A2B" w:rsidRPr="00F7263B">
        <w:rPr>
          <w:sz w:val="20"/>
          <w:szCs w:val="20"/>
        </w:rPr>
        <w:t>ULG budgeting process for 201</w:t>
      </w:r>
      <w:r w:rsidR="00B1718C" w:rsidRPr="00F7263B">
        <w:rPr>
          <w:sz w:val="20"/>
          <w:szCs w:val="20"/>
        </w:rPr>
        <w:t>6</w:t>
      </w:r>
      <w:r w:rsidR="00A26A2B" w:rsidRPr="00F7263B">
        <w:rPr>
          <w:sz w:val="20"/>
          <w:szCs w:val="20"/>
        </w:rPr>
        <w:t>/1</w:t>
      </w:r>
      <w:r w:rsidR="00CC2084" w:rsidRPr="00F7263B">
        <w:rPr>
          <w:sz w:val="20"/>
          <w:szCs w:val="20"/>
        </w:rPr>
        <w:t>7</w:t>
      </w:r>
      <w:r w:rsidR="00A26A2B" w:rsidRPr="00F7263B">
        <w:rPr>
          <w:sz w:val="20"/>
          <w:szCs w:val="20"/>
        </w:rPr>
        <w:t xml:space="preserve"> starts, based on actual allocations.</w:t>
      </w:r>
    </w:p>
    <w:p w:rsidR="006E7278" w:rsidRPr="00F7263B" w:rsidRDefault="00A26A2B" w:rsidP="00056FC8">
      <w:pPr>
        <w:pStyle w:val="ListParagraph"/>
        <w:numPr>
          <w:ilvl w:val="1"/>
          <w:numId w:val="61"/>
        </w:numPr>
        <w:spacing w:after="200"/>
        <w:ind w:hanging="720"/>
        <w:jc w:val="both"/>
        <w:rPr>
          <w:sz w:val="20"/>
          <w:szCs w:val="20"/>
        </w:rPr>
      </w:pPr>
      <w:r w:rsidRPr="00F7263B">
        <w:rPr>
          <w:sz w:val="20"/>
          <w:szCs w:val="20"/>
        </w:rPr>
        <w:t>July 2016: 50 percent</w:t>
      </w:r>
      <w:r w:rsidR="00951220" w:rsidRPr="00F7263B">
        <w:rPr>
          <w:sz w:val="20"/>
          <w:szCs w:val="20"/>
        </w:rPr>
        <w:t xml:space="preserve"> of the allocations disbursed</w:t>
      </w:r>
      <w:r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January 2017: 50</w:t>
      </w:r>
      <w:r w:rsidR="00A26A2B" w:rsidRPr="00F7263B">
        <w:rPr>
          <w:sz w:val="20"/>
          <w:szCs w:val="20"/>
        </w:rPr>
        <w:t xml:space="preserve"> percent</w:t>
      </w:r>
      <w:r w:rsidRPr="00F7263B">
        <w:rPr>
          <w:sz w:val="20"/>
          <w:szCs w:val="20"/>
        </w:rPr>
        <w:t xml:space="preserve"> of annual allocation disbursed</w:t>
      </w:r>
      <w:r w:rsidR="00A26A2B" w:rsidRPr="00F7263B">
        <w:rPr>
          <w:sz w:val="20"/>
          <w:szCs w:val="20"/>
        </w:rPr>
        <w:t>.</w:t>
      </w:r>
    </w:p>
    <w:p w:rsidR="00951220" w:rsidRPr="00F7263B" w:rsidRDefault="005340D3" w:rsidP="00951220">
      <w:pPr>
        <w:jc w:val="both"/>
        <w:rPr>
          <w:i/>
          <w:sz w:val="20"/>
          <w:szCs w:val="20"/>
        </w:rPr>
      </w:pPr>
      <w:r w:rsidRPr="00F7263B">
        <w:rPr>
          <w:i/>
          <w:sz w:val="20"/>
          <w:szCs w:val="20"/>
        </w:rPr>
        <w:t>Fourth assessment: 2017/18</w:t>
      </w:r>
    </w:p>
    <w:p w:rsidR="005340D3" w:rsidRPr="00F7263B" w:rsidRDefault="005340D3" w:rsidP="00951220">
      <w:pPr>
        <w:jc w:val="both"/>
        <w:rPr>
          <w:i/>
          <w:sz w:val="20"/>
          <w:szCs w:val="20"/>
        </w:rPr>
      </w:pPr>
    </w:p>
    <w:p w:rsidR="006E7278" w:rsidRPr="00F7263B" w:rsidRDefault="00CC2084" w:rsidP="00056FC8">
      <w:pPr>
        <w:pStyle w:val="ListParagraph"/>
        <w:numPr>
          <w:ilvl w:val="1"/>
          <w:numId w:val="61"/>
        </w:numPr>
        <w:spacing w:after="200"/>
        <w:ind w:hanging="720"/>
        <w:jc w:val="both"/>
        <w:rPr>
          <w:sz w:val="20"/>
          <w:szCs w:val="20"/>
        </w:rPr>
      </w:pPr>
      <w:r w:rsidRPr="00F7263B">
        <w:rPr>
          <w:sz w:val="20"/>
          <w:szCs w:val="20"/>
        </w:rPr>
        <w:t>September 2016: A</w:t>
      </w:r>
      <w:r w:rsidR="00951220" w:rsidRPr="00F7263B">
        <w:rPr>
          <w:sz w:val="20"/>
          <w:szCs w:val="20"/>
        </w:rPr>
        <w:t>ssessment started</w:t>
      </w:r>
      <w:r w:rsidRPr="00F7263B">
        <w:rPr>
          <w:sz w:val="20"/>
          <w:szCs w:val="20"/>
        </w:rPr>
        <w:t>.</w:t>
      </w:r>
    </w:p>
    <w:p w:rsidR="006E7278" w:rsidRPr="00F7263B" w:rsidRDefault="00C72DBD" w:rsidP="00056FC8">
      <w:pPr>
        <w:pStyle w:val="ListParagraph"/>
        <w:numPr>
          <w:ilvl w:val="1"/>
          <w:numId w:val="61"/>
        </w:numPr>
        <w:spacing w:after="200"/>
        <w:ind w:hanging="720"/>
        <w:jc w:val="both"/>
        <w:rPr>
          <w:sz w:val="20"/>
          <w:szCs w:val="20"/>
        </w:rPr>
      </w:pPr>
      <w:r w:rsidRPr="00F7263B">
        <w:rPr>
          <w:sz w:val="20"/>
          <w:szCs w:val="20"/>
        </w:rPr>
        <w:t>November</w:t>
      </w:r>
      <w:r w:rsidR="00951220" w:rsidRPr="00F7263B">
        <w:rPr>
          <w:sz w:val="20"/>
          <w:szCs w:val="20"/>
        </w:rPr>
        <w:t xml:space="preserve"> 2016: Assessment complete</w:t>
      </w:r>
      <w:r w:rsidR="00CC2084" w:rsidRPr="00F7263B">
        <w:rPr>
          <w:sz w:val="20"/>
          <w:szCs w:val="20"/>
        </w:rPr>
        <w:t>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January 2017: Audit results incorporated</w:t>
      </w:r>
      <w:r w:rsidR="00CC2084"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2017: </w:t>
      </w:r>
      <w:r w:rsidR="00CC2084" w:rsidRPr="00F7263B">
        <w:rPr>
          <w:sz w:val="20"/>
          <w:szCs w:val="20"/>
        </w:rPr>
        <w:t>Allocations announced.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2017: </w:t>
      </w:r>
      <w:r w:rsidR="00CC2084" w:rsidRPr="00F7263B">
        <w:rPr>
          <w:sz w:val="20"/>
          <w:szCs w:val="20"/>
        </w:rPr>
        <w:t>ULG budgeting process for 2017/18 starts, based on actual allocations.</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July 2017: 50</w:t>
      </w:r>
      <w:r w:rsidR="00CC2084" w:rsidRPr="00F7263B">
        <w:rPr>
          <w:sz w:val="20"/>
          <w:szCs w:val="20"/>
        </w:rPr>
        <w:t xml:space="preserve"> percent</w:t>
      </w:r>
      <w:r w:rsidRPr="00F7263B">
        <w:rPr>
          <w:sz w:val="20"/>
          <w:szCs w:val="20"/>
        </w:rPr>
        <w:t xml:space="preserve"> of annual allocation disbursed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2018: 50 </w:t>
      </w:r>
      <w:r w:rsidR="00CC2084" w:rsidRPr="00F7263B">
        <w:rPr>
          <w:sz w:val="20"/>
          <w:szCs w:val="20"/>
        </w:rPr>
        <w:t>percent</w:t>
      </w:r>
      <w:r w:rsidRPr="00F7263B">
        <w:rPr>
          <w:sz w:val="20"/>
          <w:szCs w:val="20"/>
        </w:rPr>
        <w:t xml:space="preserve"> of the annual allocation disbursed</w:t>
      </w:r>
      <w:r w:rsidR="00A9743F" w:rsidRPr="00F7263B">
        <w:rPr>
          <w:sz w:val="20"/>
          <w:szCs w:val="20"/>
        </w:rPr>
        <w:t>.</w:t>
      </w:r>
    </w:p>
    <w:p w:rsidR="00951220" w:rsidRPr="00F7263B" w:rsidRDefault="00CC2084" w:rsidP="00951220">
      <w:pPr>
        <w:jc w:val="both"/>
        <w:rPr>
          <w:sz w:val="20"/>
          <w:szCs w:val="20"/>
        </w:rPr>
      </w:pPr>
      <w:r w:rsidRPr="00F7263B">
        <w:rPr>
          <w:i/>
          <w:sz w:val="20"/>
          <w:szCs w:val="20"/>
        </w:rPr>
        <w:t>Fifth assessment: 2018/19</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September 2017: Third full assessment started</w:t>
      </w:r>
      <w:r w:rsidR="00CC2084" w:rsidRPr="00F7263B">
        <w:rPr>
          <w:sz w:val="20"/>
          <w:szCs w:val="20"/>
        </w:rPr>
        <w:t>.</w:t>
      </w:r>
    </w:p>
    <w:p w:rsidR="006E7278" w:rsidRPr="00F7263B" w:rsidRDefault="00C72DBD" w:rsidP="00056FC8">
      <w:pPr>
        <w:pStyle w:val="ListParagraph"/>
        <w:numPr>
          <w:ilvl w:val="1"/>
          <w:numId w:val="61"/>
        </w:numPr>
        <w:spacing w:after="200"/>
        <w:ind w:hanging="720"/>
        <w:jc w:val="both"/>
        <w:rPr>
          <w:sz w:val="20"/>
          <w:szCs w:val="20"/>
        </w:rPr>
      </w:pPr>
      <w:r w:rsidRPr="00F7263B">
        <w:rPr>
          <w:sz w:val="20"/>
          <w:szCs w:val="20"/>
        </w:rPr>
        <w:t>November</w:t>
      </w:r>
      <w:r w:rsidR="00951220" w:rsidRPr="00F7263B">
        <w:rPr>
          <w:sz w:val="20"/>
          <w:szCs w:val="20"/>
        </w:rPr>
        <w:t xml:space="preserve"> 2017: Assessment complete</w:t>
      </w:r>
      <w:r w:rsidR="00CC2084" w:rsidRPr="00F7263B">
        <w:rPr>
          <w:sz w:val="20"/>
          <w:szCs w:val="20"/>
        </w:rPr>
        <w:t>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lastRenderedPageBreak/>
        <w:t>January 2018: Audit results are incorporated</w:t>
      </w:r>
      <w:r w:rsidR="00CC2084"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2018: </w:t>
      </w:r>
      <w:r w:rsidR="00CC2084" w:rsidRPr="00F7263B">
        <w:rPr>
          <w:sz w:val="20"/>
          <w:szCs w:val="20"/>
        </w:rPr>
        <w:t>Allocations announced.</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 xml:space="preserve">January 2018: </w:t>
      </w:r>
      <w:r w:rsidR="00CC2084" w:rsidRPr="00F7263B">
        <w:rPr>
          <w:sz w:val="20"/>
          <w:szCs w:val="20"/>
        </w:rPr>
        <w:t>ULG budgeting process for 2017/18 starts, based on actual allocations.</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July 2018: 50</w:t>
      </w:r>
      <w:r w:rsidR="00CC2084" w:rsidRPr="00F7263B">
        <w:rPr>
          <w:sz w:val="20"/>
          <w:szCs w:val="20"/>
        </w:rPr>
        <w:t xml:space="preserve"> percent</w:t>
      </w:r>
      <w:r w:rsidRPr="00F7263B">
        <w:rPr>
          <w:sz w:val="20"/>
          <w:szCs w:val="20"/>
        </w:rPr>
        <w:t xml:space="preserve"> of annual allocation disbursed</w:t>
      </w:r>
      <w:r w:rsidR="00CC2084" w:rsidRPr="00F7263B">
        <w:rPr>
          <w:sz w:val="20"/>
          <w:szCs w:val="20"/>
        </w:rPr>
        <w:t>.</w:t>
      </w:r>
    </w:p>
    <w:p w:rsidR="006E7278" w:rsidRPr="00F7263B" w:rsidRDefault="00951220" w:rsidP="00056FC8">
      <w:pPr>
        <w:pStyle w:val="ListParagraph"/>
        <w:numPr>
          <w:ilvl w:val="1"/>
          <w:numId w:val="61"/>
        </w:numPr>
        <w:spacing w:after="200"/>
        <w:ind w:hanging="720"/>
        <w:jc w:val="both"/>
        <w:rPr>
          <w:sz w:val="20"/>
          <w:szCs w:val="20"/>
        </w:rPr>
      </w:pPr>
      <w:r w:rsidRPr="00F7263B">
        <w:rPr>
          <w:sz w:val="20"/>
          <w:szCs w:val="20"/>
        </w:rPr>
        <w:t>January 2019: 50</w:t>
      </w:r>
      <w:r w:rsidR="00CC2084" w:rsidRPr="00F7263B">
        <w:rPr>
          <w:sz w:val="20"/>
          <w:szCs w:val="20"/>
        </w:rPr>
        <w:t xml:space="preserve"> percent</w:t>
      </w:r>
      <w:r w:rsidRPr="00F7263B">
        <w:rPr>
          <w:sz w:val="20"/>
          <w:szCs w:val="20"/>
        </w:rPr>
        <w:t xml:space="preserve"> of annual allocation disbursed</w:t>
      </w:r>
      <w:r w:rsidR="00CC2084" w:rsidRPr="00F7263B">
        <w:rPr>
          <w:sz w:val="20"/>
          <w:szCs w:val="20"/>
        </w:rPr>
        <w:t>.</w:t>
      </w:r>
    </w:p>
    <w:p w:rsidR="006E7278" w:rsidRPr="00F7263B" w:rsidRDefault="00951220" w:rsidP="00056FC8">
      <w:pPr>
        <w:pStyle w:val="ListParagraph"/>
        <w:numPr>
          <w:ilvl w:val="1"/>
          <w:numId w:val="61"/>
        </w:numPr>
        <w:ind w:hanging="720"/>
        <w:jc w:val="both"/>
        <w:rPr>
          <w:sz w:val="20"/>
          <w:szCs w:val="20"/>
        </w:rPr>
      </w:pPr>
      <w:r w:rsidRPr="00F7263B">
        <w:rPr>
          <w:sz w:val="20"/>
          <w:szCs w:val="20"/>
        </w:rPr>
        <w:t>December 2019: End of Program</w:t>
      </w:r>
      <w:r w:rsidR="00CC2084" w:rsidRPr="00F7263B">
        <w:rPr>
          <w:sz w:val="20"/>
          <w:szCs w:val="20"/>
        </w:rPr>
        <w:t>.</w:t>
      </w:r>
    </w:p>
    <w:p w:rsidR="00951220" w:rsidRPr="00F7263B" w:rsidRDefault="00951220" w:rsidP="001139A8">
      <w:pPr>
        <w:rPr>
          <w:rFonts w:cs="Times New Roman"/>
          <w:i/>
          <w:sz w:val="20"/>
          <w:szCs w:val="20"/>
        </w:rPr>
      </w:pPr>
    </w:p>
    <w:p w:rsidR="00951220" w:rsidRPr="00F7263B" w:rsidRDefault="00A9743F" w:rsidP="00254260">
      <w:pPr>
        <w:pStyle w:val="ListParagraph"/>
        <w:numPr>
          <w:ilvl w:val="0"/>
          <w:numId w:val="29"/>
        </w:numPr>
        <w:ind w:left="0" w:firstLine="0"/>
        <w:jc w:val="both"/>
        <w:rPr>
          <w:rFonts w:cs="Times New Roman"/>
          <w:sz w:val="20"/>
          <w:szCs w:val="20"/>
        </w:rPr>
      </w:pPr>
      <w:r w:rsidRPr="00F7263B">
        <w:rPr>
          <w:rFonts w:cs="Times New Roman"/>
          <w:sz w:val="20"/>
          <w:szCs w:val="20"/>
        </w:rPr>
        <w:t>Figure 1 below shows a regular assessment process, whereby the results are fitting into the cities’ annual planning and budgeting process.</w:t>
      </w:r>
      <w:r w:rsidRPr="00F7263B">
        <w:rPr>
          <w:rStyle w:val="FootnoteReference"/>
          <w:rFonts w:cs="Times New Roman"/>
          <w:sz w:val="20"/>
          <w:szCs w:val="20"/>
        </w:rPr>
        <w:footnoteReference w:id="22"/>
      </w:r>
    </w:p>
    <w:p w:rsidR="005E354D" w:rsidRPr="00F7263B" w:rsidRDefault="005E354D" w:rsidP="00951220">
      <w:pPr>
        <w:jc w:val="center"/>
        <w:rPr>
          <w:rFonts w:cs="Times New Roman"/>
          <w:b/>
          <w:sz w:val="20"/>
          <w:szCs w:val="20"/>
        </w:rPr>
      </w:pPr>
    </w:p>
    <w:p w:rsidR="005E354D" w:rsidRPr="00F7263B" w:rsidRDefault="005E354D" w:rsidP="00951220">
      <w:pPr>
        <w:jc w:val="center"/>
        <w:rPr>
          <w:b/>
          <w:sz w:val="20"/>
          <w:szCs w:val="20"/>
        </w:rPr>
      </w:pPr>
    </w:p>
    <w:p w:rsidR="00951220" w:rsidRPr="00F7263B" w:rsidRDefault="00CC2084" w:rsidP="00951220">
      <w:pPr>
        <w:jc w:val="center"/>
        <w:rPr>
          <w:b/>
          <w:sz w:val="20"/>
          <w:szCs w:val="20"/>
        </w:rPr>
      </w:pPr>
      <w:r w:rsidRPr="00F7263B">
        <w:rPr>
          <w:b/>
          <w:sz w:val="20"/>
          <w:szCs w:val="20"/>
        </w:rPr>
        <w:t xml:space="preserve">Figure 1: </w:t>
      </w:r>
      <w:r w:rsidR="00951220" w:rsidRPr="00F7263B">
        <w:rPr>
          <w:b/>
          <w:sz w:val="20"/>
          <w:szCs w:val="20"/>
        </w:rPr>
        <w:t>Regular Assessment Cycle</w:t>
      </w:r>
      <w:r w:rsidR="00A9743F" w:rsidRPr="00F7263B">
        <w:rPr>
          <w:b/>
          <w:sz w:val="20"/>
          <w:szCs w:val="20"/>
        </w:rPr>
        <w:t>:</w:t>
      </w:r>
      <w:r w:rsidR="00951220" w:rsidRPr="00F7263B">
        <w:rPr>
          <w:b/>
          <w:sz w:val="20"/>
          <w:szCs w:val="20"/>
        </w:rPr>
        <w:t xml:space="preserve"> 2014 to 2019</w:t>
      </w:r>
    </w:p>
    <w:p w:rsidR="00951220" w:rsidRPr="00F7263B" w:rsidRDefault="00951220" w:rsidP="00951220">
      <w:pPr>
        <w:pStyle w:val="NoSpacing"/>
        <w:jc w:val="both"/>
        <w:rPr>
          <w:rFonts w:ascii="Times New Roman" w:hAnsi="Times New Roman"/>
          <w:sz w:val="20"/>
          <w:szCs w:val="20"/>
        </w:rPr>
      </w:pPr>
    </w:p>
    <w:p w:rsidR="00951220" w:rsidRPr="00F7263B" w:rsidRDefault="00951220" w:rsidP="00951220">
      <w:pPr>
        <w:pStyle w:val="NoSpacing"/>
        <w:jc w:val="both"/>
        <w:rPr>
          <w:rFonts w:ascii="Times New Roman" w:hAnsi="Times New Roman"/>
          <w:sz w:val="20"/>
          <w:szCs w:val="20"/>
        </w:rPr>
      </w:pPr>
      <w:r w:rsidRPr="00F7263B">
        <w:rPr>
          <w:rFonts w:ascii="Times New Roman" w:hAnsi="Times New Roman"/>
          <w:noProof/>
          <w:sz w:val="20"/>
          <w:szCs w:val="20"/>
        </w:rPr>
        <w:drawing>
          <wp:inline distT="0" distB="0" distL="0" distR="0">
            <wp:extent cx="5960745" cy="2997200"/>
            <wp:effectExtent l="0" t="247650" r="0" b="222250"/>
            <wp:docPr id="6"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51220" w:rsidRPr="00F7263B" w:rsidRDefault="00951220" w:rsidP="00951220">
      <w:pPr>
        <w:jc w:val="both"/>
        <w:rPr>
          <w:b/>
          <w:sz w:val="20"/>
          <w:szCs w:val="20"/>
        </w:rPr>
      </w:pPr>
    </w:p>
    <w:p w:rsidR="00A9743F" w:rsidRPr="00F7263B" w:rsidRDefault="00A9743F" w:rsidP="00951220">
      <w:pPr>
        <w:jc w:val="both"/>
        <w:rPr>
          <w:b/>
          <w:sz w:val="20"/>
          <w:szCs w:val="20"/>
        </w:rPr>
      </w:pPr>
    </w:p>
    <w:p w:rsidR="007B6DA5" w:rsidRPr="00F7263B" w:rsidRDefault="0034402D" w:rsidP="0034402D">
      <w:pPr>
        <w:rPr>
          <w:b/>
          <w:sz w:val="20"/>
          <w:szCs w:val="20"/>
        </w:rPr>
      </w:pPr>
      <w:r w:rsidRPr="00F7263B">
        <w:rPr>
          <w:b/>
          <w:sz w:val="20"/>
          <w:szCs w:val="20"/>
        </w:rPr>
        <w:t>Typology of Program activities</w:t>
      </w:r>
    </w:p>
    <w:p w:rsidR="008902A1" w:rsidRPr="00F7263B" w:rsidRDefault="008902A1" w:rsidP="008902A1">
      <w:pPr>
        <w:pStyle w:val="ListParagraph"/>
        <w:spacing w:after="200" w:line="276" w:lineRule="auto"/>
        <w:jc w:val="both"/>
        <w:rPr>
          <w:sz w:val="20"/>
          <w:szCs w:val="20"/>
        </w:rPr>
      </w:pPr>
    </w:p>
    <w:p w:rsidR="006E7278" w:rsidRPr="00F7263B" w:rsidRDefault="009217AF" w:rsidP="00827BD7">
      <w:pPr>
        <w:pStyle w:val="ListParagraph"/>
        <w:numPr>
          <w:ilvl w:val="0"/>
          <w:numId w:val="29"/>
        </w:numPr>
        <w:ind w:left="0" w:firstLine="0"/>
        <w:jc w:val="both"/>
        <w:rPr>
          <w:sz w:val="20"/>
          <w:szCs w:val="20"/>
        </w:rPr>
      </w:pPr>
      <w:r w:rsidRPr="00F7263B">
        <w:rPr>
          <w:rFonts w:cs="Times New Roman"/>
          <w:sz w:val="20"/>
          <w:szCs w:val="20"/>
        </w:rPr>
        <w:t xml:space="preserve">The menu </w:t>
      </w:r>
      <w:r w:rsidR="009E1029" w:rsidRPr="00F7263B">
        <w:rPr>
          <w:rFonts w:cs="Times New Roman"/>
          <w:sz w:val="20"/>
          <w:szCs w:val="20"/>
        </w:rPr>
        <w:t>of investments</w:t>
      </w:r>
      <w:r w:rsidR="00A2314D">
        <w:rPr>
          <w:rFonts w:cs="Times New Roman"/>
          <w:sz w:val="20"/>
          <w:szCs w:val="20"/>
        </w:rPr>
        <w:t xml:space="preserve"> </w:t>
      </w:r>
      <w:r w:rsidR="009E1029" w:rsidRPr="00F7263B">
        <w:rPr>
          <w:sz w:val="20"/>
          <w:szCs w:val="20"/>
        </w:rPr>
        <w:t>eligible</w:t>
      </w:r>
      <w:r w:rsidR="00A2314D">
        <w:rPr>
          <w:sz w:val="20"/>
          <w:szCs w:val="20"/>
        </w:rPr>
        <w:t xml:space="preserve"> </w:t>
      </w:r>
      <w:r w:rsidR="009E1029" w:rsidRPr="00F7263B">
        <w:rPr>
          <w:rFonts w:cs="Times New Roman"/>
          <w:sz w:val="20"/>
          <w:szCs w:val="20"/>
        </w:rPr>
        <w:t xml:space="preserve">for funding under the Program </w:t>
      </w:r>
      <w:r w:rsidRPr="00F7263B">
        <w:rPr>
          <w:rFonts w:cs="Times New Roman"/>
          <w:sz w:val="20"/>
          <w:szCs w:val="20"/>
        </w:rPr>
        <w:t xml:space="preserve">will </w:t>
      </w:r>
      <w:r w:rsidR="009E1029" w:rsidRPr="00F7263B">
        <w:rPr>
          <w:rFonts w:cs="Times New Roman"/>
          <w:sz w:val="20"/>
          <w:szCs w:val="20"/>
        </w:rPr>
        <w:t xml:space="preserve">be the same as in </w:t>
      </w:r>
      <w:r w:rsidR="007414BF" w:rsidRPr="00F7263B">
        <w:rPr>
          <w:rFonts w:cs="Times New Roman"/>
          <w:sz w:val="20"/>
          <w:szCs w:val="20"/>
        </w:rPr>
        <w:t>Operational Manual</w:t>
      </w:r>
      <w:r w:rsidR="009E1029" w:rsidRPr="00F7263B">
        <w:rPr>
          <w:rFonts w:cs="Times New Roman"/>
          <w:sz w:val="20"/>
          <w:szCs w:val="20"/>
        </w:rPr>
        <w:t xml:space="preserve"> of the ongoing ULGDP</w:t>
      </w:r>
      <w:r w:rsidRPr="00F7263B">
        <w:rPr>
          <w:rFonts w:cs="Times New Roman"/>
          <w:sz w:val="20"/>
          <w:szCs w:val="20"/>
        </w:rPr>
        <w:t>, with a few modifications</w:t>
      </w:r>
      <w:r w:rsidR="009E1029" w:rsidRPr="00F7263B">
        <w:rPr>
          <w:rFonts w:cs="Times New Roman"/>
          <w:sz w:val="20"/>
          <w:szCs w:val="20"/>
        </w:rPr>
        <w:t xml:space="preserve">.  The full list is presented in </w:t>
      </w:r>
      <w:r w:rsidRPr="00F7263B">
        <w:rPr>
          <w:rFonts w:cs="Times New Roman"/>
          <w:sz w:val="20"/>
          <w:szCs w:val="20"/>
        </w:rPr>
        <w:t>the table below.</w:t>
      </w:r>
      <w:r w:rsidR="008A56EB" w:rsidRPr="00F7263B">
        <w:rPr>
          <w:rFonts w:cs="Times New Roman"/>
          <w:sz w:val="20"/>
          <w:szCs w:val="20"/>
        </w:rPr>
        <w:t>ULGs are encouraged to focus on projects that will contribute directly to creating jobs and inc</w:t>
      </w:r>
      <w:r w:rsidR="009E1029" w:rsidRPr="00F7263B">
        <w:rPr>
          <w:rFonts w:cs="Times New Roman"/>
          <w:sz w:val="20"/>
          <w:szCs w:val="20"/>
        </w:rPr>
        <w:t>reasing incomes, including those using labo</w:t>
      </w:r>
      <w:r w:rsidR="008A56EB" w:rsidRPr="00F7263B">
        <w:rPr>
          <w:rFonts w:cs="Times New Roman"/>
          <w:sz w:val="20"/>
          <w:szCs w:val="20"/>
        </w:rPr>
        <w:t>r</w:t>
      </w:r>
      <w:r w:rsidR="009E1029" w:rsidRPr="00F7263B">
        <w:rPr>
          <w:rFonts w:cs="Times New Roman"/>
          <w:sz w:val="20"/>
          <w:szCs w:val="20"/>
        </w:rPr>
        <w:t>-</w:t>
      </w:r>
      <w:r w:rsidR="008A56EB" w:rsidRPr="00F7263B">
        <w:rPr>
          <w:rFonts w:cs="Times New Roman"/>
          <w:sz w:val="20"/>
          <w:szCs w:val="20"/>
        </w:rPr>
        <w:t xml:space="preserve">intensive </w:t>
      </w:r>
      <w:r w:rsidR="009E1029" w:rsidRPr="00F7263B">
        <w:rPr>
          <w:rFonts w:cs="Times New Roman"/>
          <w:sz w:val="20"/>
          <w:szCs w:val="20"/>
        </w:rPr>
        <w:t>techniques</w:t>
      </w:r>
      <w:r w:rsidR="008A56EB" w:rsidRPr="00F7263B">
        <w:rPr>
          <w:rFonts w:cs="Times New Roman"/>
          <w:sz w:val="20"/>
          <w:szCs w:val="20"/>
        </w:rPr>
        <w:t xml:space="preserve">. </w:t>
      </w:r>
    </w:p>
    <w:p w:rsidR="009E1029" w:rsidRPr="00F7263B" w:rsidRDefault="009E1029" w:rsidP="009E1029">
      <w:pPr>
        <w:spacing w:line="276" w:lineRule="auto"/>
        <w:jc w:val="both"/>
        <w:rPr>
          <w:rFonts w:cs="Times New Roman"/>
          <w:b/>
          <w:sz w:val="20"/>
          <w:szCs w:val="20"/>
        </w:rPr>
      </w:pPr>
      <w:bookmarkStart w:id="36" w:name="_Toc184905400"/>
      <w:bookmarkStart w:id="37" w:name="_Toc184905436"/>
      <w:bookmarkStart w:id="38" w:name="_Ref185059408"/>
      <w:bookmarkStart w:id="39" w:name="_Toc187116499"/>
      <w:bookmarkStart w:id="40" w:name="_Ref187223116"/>
      <w:bookmarkStart w:id="41" w:name="_Ref187223140"/>
      <w:bookmarkStart w:id="42" w:name="_Ref187223170"/>
      <w:bookmarkStart w:id="43" w:name="_Toc187489738"/>
      <w:bookmarkStart w:id="44" w:name="_Toc368574875"/>
    </w:p>
    <w:p w:rsidR="002C2842" w:rsidRPr="00F7263B" w:rsidRDefault="00C72DBD" w:rsidP="00254260">
      <w:pPr>
        <w:spacing w:after="60" w:line="276" w:lineRule="auto"/>
        <w:jc w:val="both"/>
        <w:rPr>
          <w:rFonts w:cs="Times New Roman"/>
          <w:b/>
          <w:sz w:val="20"/>
          <w:szCs w:val="20"/>
        </w:rPr>
      </w:pPr>
      <w:r w:rsidRPr="00F7263B">
        <w:rPr>
          <w:rFonts w:cs="Times New Roman"/>
          <w:b/>
          <w:sz w:val="20"/>
          <w:szCs w:val="20"/>
        </w:rPr>
        <w:t xml:space="preserve">Table 4: </w:t>
      </w:r>
      <w:r w:rsidR="009E1029" w:rsidRPr="00F7263B">
        <w:rPr>
          <w:rFonts w:cs="Times New Roman"/>
          <w:b/>
          <w:sz w:val="20"/>
          <w:szCs w:val="20"/>
        </w:rPr>
        <w:t>ULGDP II performance g</w:t>
      </w:r>
      <w:r w:rsidR="00790C3E" w:rsidRPr="00F7263B">
        <w:rPr>
          <w:rFonts w:cs="Times New Roman"/>
          <w:b/>
          <w:sz w:val="20"/>
          <w:szCs w:val="20"/>
        </w:rPr>
        <w:t>rant</w:t>
      </w:r>
      <w:r w:rsidR="009E1029" w:rsidRPr="00F7263B">
        <w:rPr>
          <w:rFonts w:cs="Times New Roman"/>
          <w:b/>
          <w:sz w:val="20"/>
          <w:szCs w:val="20"/>
        </w:rPr>
        <w:t xml:space="preserve"> investment m</w:t>
      </w:r>
      <w:r w:rsidR="00790C3E" w:rsidRPr="00F7263B">
        <w:rPr>
          <w:rFonts w:cs="Times New Roman"/>
          <w:b/>
          <w:sz w:val="20"/>
          <w:szCs w:val="20"/>
        </w:rPr>
        <w:t>enu</w:t>
      </w:r>
      <w:bookmarkEnd w:id="36"/>
      <w:bookmarkEnd w:id="37"/>
      <w:bookmarkEnd w:id="38"/>
      <w:bookmarkEnd w:id="39"/>
      <w:bookmarkEnd w:id="40"/>
      <w:bookmarkEnd w:id="41"/>
      <w:bookmarkEnd w:id="42"/>
      <w:bookmarkEnd w:id="43"/>
      <w:bookmarkEnd w:id="44"/>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30"/>
      </w:tblGrid>
      <w:tr w:rsidR="00FD6952" w:rsidRPr="00F7263B" w:rsidTr="00254260">
        <w:tc>
          <w:tcPr>
            <w:tcW w:w="3528" w:type="dxa"/>
            <w:tcBorders>
              <w:bottom w:val="single" w:sz="4" w:space="0" w:color="auto"/>
            </w:tcBorders>
            <w:shd w:val="clear" w:color="auto" w:fill="D9D9D9" w:themeFill="background1" w:themeFillShade="D9"/>
          </w:tcPr>
          <w:p w:rsidR="00FD6952" w:rsidRPr="00F7263B" w:rsidRDefault="00FD6952" w:rsidP="00055B8C">
            <w:pPr>
              <w:spacing w:before="20" w:after="20"/>
              <w:rPr>
                <w:b/>
                <w:sz w:val="20"/>
                <w:szCs w:val="20"/>
              </w:rPr>
            </w:pPr>
            <w:r w:rsidRPr="00F7263B">
              <w:rPr>
                <w:b/>
                <w:sz w:val="20"/>
                <w:szCs w:val="20"/>
              </w:rPr>
              <w:t>Infrastructure/Service</w:t>
            </w:r>
          </w:p>
        </w:tc>
        <w:tc>
          <w:tcPr>
            <w:tcW w:w="6030" w:type="dxa"/>
            <w:tcBorders>
              <w:bottom w:val="single" w:sz="4" w:space="0" w:color="auto"/>
            </w:tcBorders>
            <w:shd w:val="clear" w:color="auto" w:fill="D9D9D9" w:themeFill="background1" w:themeFillShade="D9"/>
          </w:tcPr>
          <w:p w:rsidR="00FD6952" w:rsidRPr="00F7263B" w:rsidRDefault="00FD6952" w:rsidP="00055B8C">
            <w:pPr>
              <w:spacing w:before="20" w:after="20"/>
              <w:rPr>
                <w:b/>
                <w:sz w:val="20"/>
                <w:szCs w:val="20"/>
              </w:rPr>
            </w:pPr>
            <w:r w:rsidRPr="00F7263B">
              <w:rPr>
                <w:b/>
                <w:sz w:val="20"/>
                <w:szCs w:val="20"/>
              </w:rPr>
              <w:t>Type</w:t>
            </w:r>
          </w:p>
        </w:tc>
      </w:tr>
      <w:tr w:rsidR="00FD6952" w:rsidRPr="00F7263B" w:rsidTr="00254260">
        <w:tc>
          <w:tcPr>
            <w:tcW w:w="3528" w:type="dxa"/>
            <w:tcBorders>
              <w:bottom w:val="nil"/>
            </w:tcBorders>
          </w:tcPr>
          <w:p w:rsidR="00FD6952" w:rsidRPr="00F7263B" w:rsidRDefault="00FD6952" w:rsidP="00055B8C">
            <w:pPr>
              <w:spacing w:before="20" w:after="20"/>
              <w:rPr>
                <w:b/>
                <w:sz w:val="20"/>
                <w:szCs w:val="20"/>
              </w:rPr>
            </w:pPr>
            <w:r w:rsidRPr="00F7263B">
              <w:rPr>
                <w:b/>
                <w:sz w:val="20"/>
                <w:szCs w:val="20"/>
              </w:rPr>
              <w:t>Roads</w:t>
            </w:r>
          </w:p>
        </w:tc>
        <w:tc>
          <w:tcPr>
            <w:tcW w:w="6030" w:type="dxa"/>
            <w:tcBorders>
              <w:bottom w:val="nil"/>
            </w:tcBorders>
          </w:tcPr>
          <w:p w:rsidR="00FD6952" w:rsidRPr="00F7263B" w:rsidRDefault="00FD6952">
            <w:pPr>
              <w:spacing w:before="20" w:after="20"/>
              <w:rPr>
                <w:rFonts w:eastAsia="Times New Roman" w:cs="Times New Roman"/>
                <w:i/>
                <w:sz w:val="20"/>
                <w:szCs w:val="20"/>
              </w:rPr>
            </w:pPr>
            <w:r w:rsidRPr="00F7263B">
              <w:rPr>
                <w:rFonts w:eastAsia="Times New Roman" w:cs="Times New Roman"/>
                <w:i/>
                <w:sz w:val="20"/>
                <w:szCs w:val="20"/>
              </w:rPr>
              <w:t>Expenditure group 1</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Cobblestone, gravel</w:t>
            </w:r>
            <w:r w:rsidR="00CB10FF" w:rsidRPr="00F7263B">
              <w:rPr>
                <w:sz w:val="20"/>
                <w:szCs w:val="20"/>
              </w:rPr>
              <w:t>’</w:t>
            </w:r>
            <w:r w:rsidRPr="00F7263B">
              <w:rPr>
                <w:sz w:val="20"/>
                <w:szCs w:val="20"/>
              </w:rPr>
              <w:t xml:space="preserve"> and red ash roads</w:t>
            </w:r>
            <w:r w:rsidR="00CB10FF" w:rsidRPr="00F7263B">
              <w:rPr>
                <w:sz w:val="20"/>
                <w:szCs w:val="20"/>
              </w:rPr>
              <w:t>.</w:t>
            </w:r>
          </w:p>
          <w:p w:rsidR="00FD6952" w:rsidRPr="00F7263B" w:rsidRDefault="00FD6952" w:rsidP="00570442">
            <w:pPr>
              <w:spacing w:before="20" w:after="20"/>
              <w:rPr>
                <w:i/>
                <w:sz w:val="20"/>
                <w:szCs w:val="20"/>
              </w:rPr>
            </w:pPr>
          </w:p>
        </w:tc>
      </w:tr>
      <w:tr w:rsidR="00CB10FF" w:rsidRPr="00F7263B" w:rsidTr="00254260">
        <w:tc>
          <w:tcPr>
            <w:tcW w:w="3528" w:type="dxa"/>
            <w:tcBorders>
              <w:top w:val="nil"/>
            </w:tcBorders>
          </w:tcPr>
          <w:p w:rsidR="00CB10FF" w:rsidRPr="00F7263B" w:rsidRDefault="00CB10FF" w:rsidP="00055B8C">
            <w:pPr>
              <w:spacing w:before="20" w:after="20"/>
              <w:rPr>
                <w:b/>
                <w:sz w:val="20"/>
                <w:szCs w:val="20"/>
              </w:rPr>
            </w:pPr>
          </w:p>
        </w:tc>
        <w:tc>
          <w:tcPr>
            <w:tcW w:w="6030" w:type="dxa"/>
            <w:tcBorders>
              <w:top w:val="nil"/>
            </w:tcBorders>
          </w:tcPr>
          <w:p w:rsidR="00CB10FF" w:rsidRPr="00F7263B" w:rsidRDefault="00CB10FF" w:rsidP="00CB10FF">
            <w:pPr>
              <w:spacing w:before="20" w:after="20"/>
              <w:ind w:left="72"/>
              <w:rPr>
                <w:rFonts w:eastAsia="Times New Roman" w:cs="Times New Roman"/>
                <w:i/>
                <w:sz w:val="20"/>
                <w:szCs w:val="20"/>
              </w:rPr>
            </w:pPr>
            <w:r w:rsidRPr="00F7263B">
              <w:rPr>
                <w:rFonts w:eastAsia="Times New Roman" w:cs="Times New Roman"/>
                <w:i/>
                <w:sz w:val="20"/>
                <w:szCs w:val="20"/>
              </w:rPr>
              <w:t>Expenditure group 2</w:t>
            </w:r>
          </w:p>
          <w:p w:rsidR="00CB10FF" w:rsidRPr="00F7263B" w:rsidRDefault="00CB10FF" w:rsidP="00CB10FF">
            <w:pPr>
              <w:pStyle w:val="ListParagraph"/>
              <w:numPr>
                <w:ilvl w:val="0"/>
                <w:numId w:val="72"/>
              </w:numPr>
              <w:spacing w:before="20" w:after="20"/>
              <w:ind w:left="432"/>
              <w:rPr>
                <w:rFonts w:eastAsia="Times New Roman" w:cs="Times New Roman"/>
                <w:sz w:val="20"/>
                <w:szCs w:val="20"/>
              </w:rPr>
            </w:pPr>
            <w:r w:rsidRPr="00F7263B">
              <w:rPr>
                <w:sz w:val="20"/>
                <w:szCs w:val="20"/>
              </w:rPr>
              <w:t xml:space="preserve">Rehabilitation of roads </w:t>
            </w:r>
          </w:p>
          <w:p w:rsidR="00CB10FF" w:rsidRPr="00F7263B" w:rsidRDefault="00CB10FF" w:rsidP="00CB10FF">
            <w:pPr>
              <w:pStyle w:val="ListParagraph"/>
              <w:numPr>
                <w:ilvl w:val="0"/>
                <w:numId w:val="72"/>
              </w:numPr>
              <w:spacing w:before="20" w:after="20"/>
              <w:ind w:left="432"/>
              <w:rPr>
                <w:rFonts w:eastAsia="Times New Roman" w:cs="Times New Roman"/>
                <w:sz w:val="20"/>
                <w:szCs w:val="20"/>
              </w:rPr>
            </w:pPr>
            <w:r w:rsidRPr="00F7263B">
              <w:rPr>
                <w:sz w:val="20"/>
                <w:szCs w:val="20"/>
              </w:rPr>
              <w:t>Bridges, fords and culverts</w:t>
            </w:r>
          </w:p>
          <w:p w:rsidR="00CB10FF" w:rsidRPr="00F7263B" w:rsidRDefault="00CB10FF" w:rsidP="00CB10FF">
            <w:pPr>
              <w:pStyle w:val="ListParagraph"/>
              <w:numPr>
                <w:ilvl w:val="0"/>
                <w:numId w:val="72"/>
              </w:numPr>
              <w:spacing w:before="20" w:after="20"/>
              <w:ind w:left="432"/>
              <w:rPr>
                <w:rFonts w:eastAsia="Times New Roman" w:cs="Times New Roman"/>
                <w:sz w:val="20"/>
                <w:szCs w:val="20"/>
              </w:rPr>
            </w:pPr>
            <w:r w:rsidRPr="00F7263B">
              <w:rPr>
                <w:sz w:val="20"/>
                <w:szCs w:val="20"/>
              </w:rPr>
              <w:t>Pedestrian walkways</w:t>
            </w:r>
          </w:p>
          <w:p w:rsidR="00CB10FF" w:rsidRPr="00F7263B" w:rsidRDefault="00CB10FF" w:rsidP="00CB10FF">
            <w:pPr>
              <w:pStyle w:val="ListParagraph"/>
              <w:numPr>
                <w:ilvl w:val="0"/>
                <w:numId w:val="72"/>
              </w:numPr>
              <w:spacing w:before="20" w:after="20"/>
              <w:ind w:left="432"/>
              <w:rPr>
                <w:rFonts w:eastAsia="Times New Roman" w:cs="Times New Roman"/>
                <w:sz w:val="20"/>
                <w:szCs w:val="20"/>
              </w:rPr>
            </w:pPr>
            <w:r w:rsidRPr="00F7263B">
              <w:rPr>
                <w:sz w:val="20"/>
                <w:szCs w:val="20"/>
              </w:rPr>
              <w:t>Street lighting, etc.</w:t>
            </w:r>
          </w:p>
          <w:p w:rsidR="00CB10FF" w:rsidRPr="00F7263B" w:rsidRDefault="00CB10FF" w:rsidP="00CB10FF">
            <w:pPr>
              <w:spacing w:before="20" w:after="20"/>
              <w:rPr>
                <w:i/>
                <w:sz w:val="20"/>
                <w:szCs w:val="20"/>
              </w:rPr>
            </w:pPr>
          </w:p>
          <w:p w:rsidR="00CB10FF" w:rsidRPr="00F7263B" w:rsidRDefault="00CB10FF" w:rsidP="00CB10FF">
            <w:pPr>
              <w:spacing w:before="20" w:after="20"/>
              <w:rPr>
                <w:rFonts w:eastAsia="Times New Roman" w:cs="Times New Roman"/>
                <w:i/>
                <w:sz w:val="20"/>
                <w:szCs w:val="20"/>
              </w:rPr>
            </w:pPr>
            <w:r w:rsidRPr="00F7263B">
              <w:rPr>
                <w:i/>
                <w:sz w:val="20"/>
                <w:szCs w:val="20"/>
              </w:rPr>
              <w:t>Construction or rehabilitation of roadsthat require significant resettlement of people (more than 200 people) will not be eligible for funding under the ULGDP II.</w:t>
            </w:r>
          </w:p>
        </w:tc>
      </w:tr>
      <w:tr w:rsidR="00FD6952" w:rsidRPr="00F7263B" w:rsidTr="00254260">
        <w:tc>
          <w:tcPr>
            <w:tcW w:w="3528" w:type="dxa"/>
          </w:tcPr>
          <w:p w:rsidR="00FD6952" w:rsidRPr="00F7263B" w:rsidRDefault="00FD6952" w:rsidP="00055B8C">
            <w:pPr>
              <w:spacing w:before="20" w:after="20"/>
              <w:rPr>
                <w:b/>
                <w:sz w:val="20"/>
                <w:szCs w:val="20"/>
              </w:rPr>
            </w:pPr>
            <w:r w:rsidRPr="00F7263B">
              <w:rPr>
                <w:b/>
                <w:sz w:val="20"/>
                <w:szCs w:val="20"/>
              </w:rPr>
              <w:t>Integrated multiple infrastructure and land services (residential, micro and small enterprises, industrial zones)</w:t>
            </w:r>
          </w:p>
        </w:tc>
        <w:tc>
          <w:tcPr>
            <w:tcW w:w="6030" w:type="dxa"/>
          </w:tcPr>
          <w:p w:rsidR="00FD6952" w:rsidRPr="00F7263B" w:rsidRDefault="00FD6952" w:rsidP="00055B8C">
            <w:pPr>
              <w:rPr>
                <w:i/>
                <w:sz w:val="20"/>
                <w:szCs w:val="20"/>
              </w:rPr>
            </w:pPr>
            <w:r w:rsidRPr="00F7263B">
              <w:rPr>
                <w:i/>
                <w:sz w:val="20"/>
                <w:szCs w:val="20"/>
              </w:rPr>
              <w:t xml:space="preserve">Expenditure group 3 </w:t>
            </w:r>
          </w:p>
          <w:p w:rsidR="00FD6952" w:rsidRPr="00F7263B" w:rsidRDefault="00FD6952" w:rsidP="00254260">
            <w:pPr>
              <w:pStyle w:val="ListParagraph"/>
              <w:numPr>
                <w:ilvl w:val="0"/>
                <w:numId w:val="72"/>
              </w:numPr>
              <w:spacing w:before="20" w:after="20"/>
              <w:ind w:left="432"/>
              <w:rPr>
                <w:sz w:val="20"/>
                <w:szCs w:val="20"/>
              </w:rPr>
            </w:pPr>
            <w:r w:rsidRPr="00F7263B">
              <w:rPr>
                <w:sz w:val="20"/>
                <w:szCs w:val="20"/>
              </w:rPr>
              <w:t>Servicing of land with utilities (water supply, electricity, telecommunications, roads and drains (within existing right of way), solid and liquid waste collection and disposal, and other core urban infrastructure).</w:t>
            </w:r>
          </w:p>
        </w:tc>
      </w:tr>
      <w:tr w:rsidR="00FD6952" w:rsidRPr="00F7263B" w:rsidTr="00254260">
        <w:tc>
          <w:tcPr>
            <w:tcW w:w="3528" w:type="dxa"/>
          </w:tcPr>
          <w:p w:rsidR="00FD6952" w:rsidRPr="00F7263B" w:rsidRDefault="00FD6952" w:rsidP="00055B8C">
            <w:pPr>
              <w:spacing w:before="20" w:after="20"/>
              <w:rPr>
                <w:b/>
                <w:sz w:val="20"/>
                <w:szCs w:val="20"/>
              </w:rPr>
            </w:pPr>
            <w:r w:rsidRPr="00F7263B">
              <w:rPr>
                <w:b/>
                <w:sz w:val="20"/>
                <w:szCs w:val="20"/>
              </w:rPr>
              <w:t>Sanitation (liquid waste)</w:t>
            </w:r>
          </w:p>
        </w:tc>
        <w:tc>
          <w:tcPr>
            <w:tcW w:w="6030" w:type="dxa"/>
          </w:tcPr>
          <w:p w:rsidR="00FD6952" w:rsidRPr="00F7263B" w:rsidRDefault="00FD6952">
            <w:pPr>
              <w:spacing w:before="20" w:after="20"/>
              <w:rPr>
                <w:rFonts w:eastAsia="Times New Roman" w:cs="Times New Roman"/>
                <w:i/>
                <w:sz w:val="20"/>
                <w:szCs w:val="20"/>
              </w:rPr>
            </w:pPr>
            <w:r w:rsidRPr="00F7263B">
              <w:rPr>
                <w:rFonts w:eastAsia="Times New Roman" w:cs="Times New Roman"/>
                <w:i/>
                <w:sz w:val="20"/>
                <w:szCs w:val="20"/>
              </w:rPr>
              <w:t>Expenditure group 4</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Sewer reticulation systems(no large canals</w:t>
            </w:r>
            <w:r w:rsidR="009D00C4" w:rsidRPr="00F7263B">
              <w:rPr>
                <w:rStyle w:val="FootnoteReference"/>
                <w:sz w:val="20"/>
                <w:szCs w:val="20"/>
              </w:rPr>
              <w:footnoteReference w:id="23"/>
            </w:r>
            <w:r w:rsidR="009D00C4" w:rsidRPr="00F7263B">
              <w:rPr>
                <w:sz w:val="20"/>
                <w:szCs w:val="20"/>
              </w:rPr>
              <w:t>)</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Wastewater treatment ponds</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Sludge ponds</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Community soak away pit and septic tanks</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Community latrines: dry pit, ventilated improved pit, ecosan, composting</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Vacuum trucks, vacuum handcarts, and the like.</w:t>
            </w:r>
          </w:p>
        </w:tc>
      </w:tr>
      <w:tr w:rsidR="00FD6952" w:rsidRPr="00F7263B" w:rsidTr="00254260">
        <w:tc>
          <w:tcPr>
            <w:tcW w:w="3528" w:type="dxa"/>
          </w:tcPr>
          <w:p w:rsidR="00FD6952" w:rsidRPr="00F7263B" w:rsidRDefault="00FD6952" w:rsidP="00055B8C">
            <w:pPr>
              <w:spacing w:before="20" w:after="20"/>
              <w:rPr>
                <w:b/>
                <w:sz w:val="20"/>
                <w:szCs w:val="20"/>
              </w:rPr>
            </w:pPr>
            <w:r w:rsidRPr="00F7263B">
              <w:rPr>
                <w:b/>
                <w:sz w:val="20"/>
                <w:szCs w:val="20"/>
              </w:rPr>
              <w:t>Solid waste management</w:t>
            </w:r>
          </w:p>
        </w:tc>
        <w:tc>
          <w:tcPr>
            <w:tcW w:w="6030" w:type="dxa"/>
          </w:tcPr>
          <w:p w:rsidR="00FD6952" w:rsidRPr="00F7263B" w:rsidRDefault="00FD6952">
            <w:pPr>
              <w:spacing w:before="20" w:after="20"/>
              <w:rPr>
                <w:rFonts w:eastAsia="Times New Roman" w:cs="Times New Roman"/>
                <w:i/>
                <w:sz w:val="20"/>
                <w:szCs w:val="20"/>
              </w:rPr>
            </w:pPr>
            <w:r w:rsidRPr="00F7263B">
              <w:rPr>
                <w:rFonts w:eastAsia="Times New Roman" w:cs="Times New Roman"/>
                <w:i/>
                <w:sz w:val="20"/>
                <w:szCs w:val="20"/>
              </w:rPr>
              <w:t>Expenditure group 5</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 xml:space="preserve">Collection trucks and other collection equipment, collection bins, transfer stations, collection points </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 xml:space="preserve">Landfills (of the size of maximum 10 hectares and minimum design criteria as per the </w:t>
            </w:r>
            <w:r w:rsidR="00B1718C" w:rsidRPr="00F7263B">
              <w:rPr>
                <w:sz w:val="20"/>
                <w:szCs w:val="20"/>
              </w:rPr>
              <w:t>solid waste management m</w:t>
            </w:r>
            <w:r w:rsidRPr="00F7263B">
              <w:rPr>
                <w:sz w:val="20"/>
                <w:szCs w:val="20"/>
              </w:rPr>
              <w:t xml:space="preserve">anual)  </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Biogas and composting plants</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 xml:space="preserve">Landfill site equipment including compaction vehicles, </w:t>
            </w:r>
            <w:r w:rsidR="00CB10FF" w:rsidRPr="00F7263B">
              <w:rPr>
                <w:sz w:val="20"/>
                <w:szCs w:val="20"/>
              </w:rPr>
              <w:t>and the like</w:t>
            </w:r>
            <w:r w:rsidRPr="00F7263B">
              <w:rPr>
                <w:sz w:val="20"/>
                <w:szCs w:val="20"/>
              </w:rPr>
              <w:t>.</w:t>
            </w:r>
          </w:p>
        </w:tc>
      </w:tr>
      <w:tr w:rsidR="00FD6952" w:rsidRPr="00F7263B" w:rsidTr="00254260">
        <w:tc>
          <w:tcPr>
            <w:tcW w:w="3528" w:type="dxa"/>
          </w:tcPr>
          <w:p w:rsidR="00FD6952" w:rsidRPr="00F7263B" w:rsidRDefault="00FD6952" w:rsidP="00570442">
            <w:pPr>
              <w:spacing w:before="20" w:after="20"/>
              <w:rPr>
                <w:b/>
                <w:sz w:val="20"/>
                <w:szCs w:val="20"/>
              </w:rPr>
            </w:pPr>
            <w:r w:rsidRPr="00F7263B">
              <w:rPr>
                <w:b/>
                <w:sz w:val="20"/>
                <w:szCs w:val="20"/>
              </w:rPr>
              <w:t>Water supply</w:t>
            </w:r>
            <w:r w:rsidRPr="00F7263B">
              <w:rPr>
                <w:sz w:val="20"/>
                <w:szCs w:val="20"/>
              </w:rPr>
              <w:t>(schemes to be financed under the program will follow the policies and principles of those of the Ministry of Water and Irrigation and Energy)</w:t>
            </w:r>
          </w:p>
        </w:tc>
        <w:tc>
          <w:tcPr>
            <w:tcW w:w="6030" w:type="dxa"/>
          </w:tcPr>
          <w:p w:rsidR="00FD6952" w:rsidRPr="00F7263B" w:rsidRDefault="00FD6952">
            <w:pPr>
              <w:spacing w:before="20" w:after="20"/>
              <w:rPr>
                <w:rFonts w:eastAsia="Times New Roman" w:cs="Times New Roman"/>
                <w:i/>
                <w:sz w:val="20"/>
                <w:szCs w:val="20"/>
              </w:rPr>
            </w:pPr>
            <w:r w:rsidRPr="00F7263B">
              <w:rPr>
                <w:rFonts w:eastAsia="Times New Roman" w:cs="Times New Roman"/>
                <w:i/>
                <w:sz w:val="20"/>
                <w:szCs w:val="20"/>
              </w:rPr>
              <w:t>Expenditure group 6</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 xml:space="preserve">Spring catchments and gravity distribution system </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River intake (run of river/dam), treatment works</w:t>
            </w:r>
            <w:r w:rsidR="00CB10FF" w:rsidRPr="00F7263B">
              <w:rPr>
                <w:sz w:val="20"/>
                <w:szCs w:val="20"/>
              </w:rPr>
              <w:t>,</w:t>
            </w:r>
            <w:r w:rsidRPr="00F7263B">
              <w:rPr>
                <w:sz w:val="20"/>
                <w:szCs w:val="20"/>
              </w:rPr>
              <w:t> and pressure distribution</w:t>
            </w:r>
            <w:r w:rsidR="00CB10FF" w:rsidRPr="00F7263B">
              <w:rPr>
                <w:sz w:val="20"/>
                <w:szCs w:val="20"/>
              </w:rPr>
              <w:t>.</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Wells with submersible pumps, treatment works, and pressure distribution</w:t>
            </w:r>
            <w:r w:rsidR="00CB10FF" w:rsidRPr="00F7263B">
              <w:rPr>
                <w:sz w:val="20"/>
                <w:szCs w:val="20"/>
              </w:rPr>
              <w:t>.</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 xml:space="preserve">Rehabilitation or expansion of existing system, communal standpipes, </w:t>
            </w:r>
            <w:r w:rsidR="00CB10FF" w:rsidRPr="00F7263B">
              <w:rPr>
                <w:sz w:val="20"/>
                <w:szCs w:val="20"/>
              </w:rPr>
              <w:t>and the like</w:t>
            </w:r>
            <w:r w:rsidRPr="00F7263B">
              <w:rPr>
                <w:sz w:val="20"/>
                <w:szCs w:val="20"/>
              </w:rPr>
              <w:t>.</w:t>
            </w:r>
          </w:p>
        </w:tc>
      </w:tr>
      <w:tr w:rsidR="00FD6952" w:rsidRPr="00F7263B" w:rsidTr="00254260">
        <w:tc>
          <w:tcPr>
            <w:tcW w:w="3528" w:type="dxa"/>
          </w:tcPr>
          <w:p w:rsidR="00FD6952" w:rsidRPr="00F7263B" w:rsidRDefault="00FD6952" w:rsidP="00055B8C">
            <w:pPr>
              <w:spacing w:before="20" w:after="20"/>
              <w:rPr>
                <w:b/>
                <w:sz w:val="20"/>
                <w:szCs w:val="20"/>
              </w:rPr>
            </w:pPr>
            <w:r w:rsidRPr="00F7263B">
              <w:rPr>
                <w:b/>
                <w:sz w:val="20"/>
                <w:szCs w:val="20"/>
              </w:rPr>
              <w:t>Urban drainage</w:t>
            </w:r>
          </w:p>
        </w:tc>
        <w:tc>
          <w:tcPr>
            <w:tcW w:w="6030" w:type="dxa"/>
          </w:tcPr>
          <w:p w:rsidR="00FD6952" w:rsidRPr="00F7263B" w:rsidRDefault="00FD6952">
            <w:pPr>
              <w:spacing w:before="20" w:after="20"/>
              <w:rPr>
                <w:rFonts w:eastAsia="Times New Roman" w:cs="Times New Roman"/>
                <w:sz w:val="20"/>
                <w:szCs w:val="20"/>
              </w:rPr>
            </w:pPr>
            <w:r w:rsidRPr="00F7263B">
              <w:rPr>
                <w:rFonts w:eastAsia="Times New Roman" w:cs="Times New Roman"/>
                <w:i/>
                <w:sz w:val="20"/>
                <w:szCs w:val="20"/>
              </w:rPr>
              <w:t>Expenditure group 7</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Drainage systems</w:t>
            </w:r>
          </w:p>
          <w:p w:rsidR="00FD6952" w:rsidRPr="00F7263B" w:rsidRDefault="00FD6952" w:rsidP="00570442">
            <w:pPr>
              <w:pStyle w:val="ListParagraph"/>
              <w:numPr>
                <w:ilvl w:val="0"/>
                <w:numId w:val="72"/>
              </w:numPr>
              <w:spacing w:before="20" w:after="20"/>
              <w:ind w:left="432"/>
              <w:rPr>
                <w:rFonts w:eastAsia="Times New Roman" w:cs="Times New Roman"/>
                <w:sz w:val="20"/>
                <w:szCs w:val="20"/>
              </w:rPr>
            </w:pPr>
            <w:r w:rsidRPr="00F7263B">
              <w:rPr>
                <w:sz w:val="20"/>
                <w:szCs w:val="20"/>
              </w:rPr>
              <w:t xml:space="preserve">Flood control systems, </w:t>
            </w:r>
            <w:r w:rsidR="00CB10FF" w:rsidRPr="00F7263B">
              <w:rPr>
                <w:sz w:val="20"/>
                <w:szCs w:val="20"/>
              </w:rPr>
              <w:t>and the like.</w:t>
            </w:r>
          </w:p>
        </w:tc>
      </w:tr>
      <w:tr w:rsidR="00FD6952" w:rsidRPr="00F7263B" w:rsidTr="00254260">
        <w:tc>
          <w:tcPr>
            <w:tcW w:w="3528" w:type="dxa"/>
          </w:tcPr>
          <w:p w:rsidR="00FD6952" w:rsidRPr="00F7263B" w:rsidRDefault="00FD6952" w:rsidP="00055B8C">
            <w:pPr>
              <w:spacing w:before="20" w:after="20"/>
              <w:rPr>
                <w:b/>
                <w:sz w:val="20"/>
                <w:szCs w:val="20"/>
              </w:rPr>
            </w:pPr>
            <w:r w:rsidRPr="00F7263B">
              <w:rPr>
                <w:b/>
                <w:sz w:val="20"/>
                <w:szCs w:val="20"/>
              </w:rPr>
              <w:t>Built facilities</w:t>
            </w:r>
          </w:p>
        </w:tc>
        <w:tc>
          <w:tcPr>
            <w:tcW w:w="6030" w:type="dxa"/>
          </w:tcPr>
          <w:p w:rsidR="00FD6952" w:rsidRPr="00F7263B" w:rsidRDefault="00FD6952">
            <w:pPr>
              <w:spacing w:before="20" w:after="20"/>
              <w:rPr>
                <w:rFonts w:eastAsia="Times New Roman" w:cs="Times New Roman"/>
                <w:i/>
                <w:sz w:val="20"/>
                <w:szCs w:val="20"/>
              </w:rPr>
            </w:pPr>
            <w:r w:rsidRPr="00F7263B">
              <w:rPr>
                <w:rFonts w:eastAsia="Times New Roman" w:cs="Times New Roman"/>
                <w:i/>
                <w:sz w:val="20"/>
                <w:szCs w:val="20"/>
              </w:rPr>
              <w:t>Expenditure group 8</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Urban markets with associated services (water supply, drainage, access roads, and the like)</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Development of production and market centers for small businesses</w:t>
            </w:r>
          </w:p>
          <w:p w:rsidR="00FD6952" w:rsidRPr="00F7263B" w:rsidRDefault="00FD6952" w:rsidP="00FD6952">
            <w:pPr>
              <w:pStyle w:val="ListParagraph"/>
              <w:numPr>
                <w:ilvl w:val="0"/>
                <w:numId w:val="72"/>
              </w:numPr>
              <w:spacing w:before="20" w:after="20"/>
              <w:ind w:left="432"/>
              <w:rPr>
                <w:rFonts w:eastAsia="Times New Roman" w:cs="Times New Roman"/>
                <w:sz w:val="20"/>
                <w:szCs w:val="20"/>
              </w:rPr>
            </w:pPr>
            <w:r w:rsidRPr="00F7263B">
              <w:rPr>
                <w:sz w:val="20"/>
                <w:szCs w:val="20"/>
              </w:rPr>
              <w:t>Slaughter houses (abattoirs), with by-products and processing facilities.</w:t>
            </w:r>
          </w:p>
        </w:tc>
      </w:tr>
      <w:tr w:rsidR="00FD6952" w:rsidRPr="00F7263B" w:rsidTr="00254260">
        <w:tc>
          <w:tcPr>
            <w:tcW w:w="3528" w:type="dxa"/>
          </w:tcPr>
          <w:p w:rsidR="00FD6952" w:rsidRPr="00F7263B" w:rsidRDefault="00FD6952" w:rsidP="00055B8C">
            <w:pPr>
              <w:spacing w:before="20" w:after="20"/>
              <w:rPr>
                <w:b/>
                <w:sz w:val="20"/>
                <w:szCs w:val="20"/>
              </w:rPr>
            </w:pPr>
            <w:r w:rsidRPr="00F7263B">
              <w:rPr>
                <w:b/>
                <w:sz w:val="20"/>
                <w:szCs w:val="20"/>
              </w:rPr>
              <w:t>Urban parks and greenery</w:t>
            </w:r>
          </w:p>
        </w:tc>
        <w:tc>
          <w:tcPr>
            <w:tcW w:w="6030" w:type="dxa"/>
          </w:tcPr>
          <w:p w:rsidR="00FD6952" w:rsidRPr="00F7263B" w:rsidRDefault="00FD6952">
            <w:pPr>
              <w:spacing w:before="20" w:after="20"/>
              <w:rPr>
                <w:i/>
                <w:sz w:val="20"/>
                <w:szCs w:val="20"/>
              </w:rPr>
            </w:pPr>
            <w:r w:rsidRPr="00F7263B">
              <w:rPr>
                <w:i/>
                <w:sz w:val="20"/>
                <w:szCs w:val="20"/>
              </w:rPr>
              <w:t>Expenditure group 9</w:t>
            </w:r>
          </w:p>
          <w:p w:rsidR="00FD6952" w:rsidRPr="00F7263B" w:rsidRDefault="00FD6952">
            <w:pPr>
              <w:pStyle w:val="ListParagraph"/>
              <w:numPr>
                <w:ilvl w:val="0"/>
                <w:numId w:val="81"/>
              </w:numPr>
              <w:spacing w:before="20" w:after="20"/>
              <w:rPr>
                <w:sz w:val="20"/>
                <w:szCs w:val="20"/>
              </w:rPr>
            </w:pPr>
            <w:r w:rsidRPr="00F7263B">
              <w:rPr>
                <w:sz w:val="20"/>
                <w:szCs w:val="20"/>
              </w:rPr>
              <w:lastRenderedPageBreak/>
              <w:t xml:space="preserve">Support to urban parks and greenery development projects for beautification. </w:t>
            </w:r>
          </w:p>
        </w:tc>
      </w:tr>
      <w:tr w:rsidR="00FD6952" w:rsidRPr="00F7263B" w:rsidTr="00254260">
        <w:tc>
          <w:tcPr>
            <w:tcW w:w="3528" w:type="dxa"/>
          </w:tcPr>
          <w:p w:rsidR="00FD6952" w:rsidRPr="00F7263B" w:rsidRDefault="00FD6952" w:rsidP="00055B8C">
            <w:pPr>
              <w:spacing w:before="20" w:after="20"/>
              <w:rPr>
                <w:b/>
                <w:sz w:val="20"/>
                <w:szCs w:val="20"/>
              </w:rPr>
            </w:pPr>
            <w:r w:rsidRPr="00F7263B">
              <w:rPr>
                <w:b/>
                <w:sz w:val="20"/>
                <w:szCs w:val="20"/>
              </w:rPr>
              <w:lastRenderedPageBreak/>
              <w:t>Consultancy services for design and contract management</w:t>
            </w:r>
          </w:p>
        </w:tc>
        <w:tc>
          <w:tcPr>
            <w:tcW w:w="6030" w:type="dxa"/>
          </w:tcPr>
          <w:p w:rsidR="00FD6952" w:rsidRPr="00F7263B" w:rsidRDefault="00FD6952">
            <w:pPr>
              <w:spacing w:before="20" w:after="20"/>
              <w:rPr>
                <w:i/>
                <w:sz w:val="20"/>
                <w:szCs w:val="20"/>
              </w:rPr>
            </w:pPr>
            <w:r w:rsidRPr="00F7263B">
              <w:rPr>
                <w:i/>
                <w:sz w:val="20"/>
                <w:szCs w:val="20"/>
              </w:rPr>
              <w:t>Expenditure group 10</w:t>
            </w:r>
          </w:p>
          <w:p w:rsidR="00FD6952" w:rsidRPr="00F7263B" w:rsidRDefault="00FD6952">
            <w:pPr>
              <w:pStyle w:val="ListParagraph"/>
              <w:numPr>
                <w:ilvl w:val="0"/>
                <w:numId w:val="81"/>
              </w:numPr>
              <w:spacing w:before="20" w:after="20"/>
              <w:rPr>
                <w:sz w:val="20"/>
                <w:szCs w:val="20"/>
              </w:rPr>
            </w:pPr>
            <w:r w:rsidRPr="00F7263B">
              <w:rPr>
                <w:sz w:val="20"/>
                <w:szCs w:val="20"/>
              </w:rPr>
              <w:t>For studies relating to preliminary and detailed design, contract documentation and supervision relating to the above infrastructure and services, and the like.</w:t>
            </w:r>
          </w:p>
        </w:tc>
      </w:tr>
      <w:tr w:rsidR="00FD6952" w:rsidRPr="00F7263B" w:rsidTr="00254260">
        <w:tc>
          <w:tcPr>
            <w:tcW w:w="3528" w:type="dxa"/>
            <w:shd w:val="clear" w:color="auto" w:fill="EEECE1" w:themeFill="background2"/>
          </w:tcPr>
          <w:p w:rsidR="00FD6952" w:rsidRPr="00F7263B" w:rsidRDefault="00FD6952" w:rsidP="00055B8C">
            <w:pPr>
              <w:spacing w:before="20" w:after="20"/>
              <w:rPr>
                <w:b/>
                <w:sz w:val="20"/>
                <w:szCs w:val="20"/>
              </w:rPr>
            </w:pPr>
            <w:r w:rsidRPr="00F7263B">
              <w:rPr>
                <w:b/>
                <w:sz w:val="20"/>
                <w:szCs w:val="20"/>
              </w:rPr>
              <w:t>Capacity Building Support</w:t>
            </w:r>
          </w:p>
        </w:tc>
        <w:tc>
          <w:tcPr>
            <w:tcW w:w="6030" w:type="dxa"/>
            <w:shd w:val="clear" w:color="auto" w:fill="EEECE1" w:themeFill="background2"/>
          </w:tcPr>
          <w:p w:rsidR="00FD6952" w:rsidRPr="00F7263B" w:rsidRDefault="00FD6952" w:rsidP="00055B8C">
            <w:pPr>
              <w:spacing w:before="20" w:after="20"/>
              <w:rPr>
                <w:i/>
                <w:sz w:val="20"/>
                <w:szCs w:val="20"/>
              </w:rPr>
            </w:pPr>
            <w:r w:rsidRPr="00F7263B">
              <w:rPr>
                <w:i/>
                <w:sz w:val="20"/>
                <w:szCs w:val="20"/>
              </w:rPr>
              <w:t>Expenditure group 11</w:t>
            </w:r>
          </w:p>
          <w:p w:rsidR="00FD6952" w:rsidRPr="00F7263B" w:rsidRDefault="00FD6952" w:rsidP="00055B8C">
            <w:pPr>
              <w:spacing w:before="20" w:after="20"/>
              <w:rPr>
                <w:sz w:val="20"/>
                <w:szCs w:val="20"/>
              </w:rPr>
            </w:pPr>
          </w:p>
          <w:p w:rsidR="00FD6952" w:rsidRPr="00F7263B" w:rsidRDefault="00FD6952" w:rsidP="00570442">
            <w:pPr>
              <w:spacing w:before="20" w:after="20"/>
              <w:rPr>
                <w:sz w:val="20"/>
                <w:szCs w:val="20"/>
              </w:rPr>
            </w:pPr>
            <w:r w:rsidRPr="00F7263B">
              <w:rPr>
                <w:sz w:val="20"/>
                <w:szCs w:val="20"/>
              </w:rPr>
              <w:t xml:space="preserve">Up to 5 </w:t>
            </w:r>
            <w:r w:rsidR="00CB10FF" w:rsidRPr="00F7263B">
              <w:rPr>
                <w:sz w:val="20"/>
                <w:szCs w:val="20"/>
              </w:rPr>
              <w:t xml:space="preserve">percent </w:t>
            </w:r>
            <w:r w:rsidRPr="00F7263B">
              <w:rPr>
                <w:sz w:val="20"/>
                <w:szCs w:val="20"/>
              </w:rPr>
              <w:t xml:space="preserve">of investment grants can be utilized on </w:t>
            </w:r>
            <w:r w:rsidR="001509A0" w:rsidRPr="00F7263B">
              <w:rPr>
                <w:sz w:val="20"/>
                <w:szCs w:val="20"/>
              </w:rPr>
              <w:t xml:space="preserve">capacity building </w:t>
            </w:r>
            <w:r w:rsidRPr="00F7263B">
              <w:rPr>
                <w:sz w:val="20"/>
                <w:szCs w:val="20"/>
              </w:rPr>
              <w:t>support</w:t>
            </w:r>
            <w:r w:rsidR="000A2752" w:rsidRPr="00F7263B">
              <w:rPr>
                <w:sz w:val="20"/>
                <w:szCs w:val="20"/>
              </w:rPr>
              <w:t xml:space="preserve">, see menu for </w:t>
            </w:r>
            <w:r w:rsidR="001509A0" w:rsidRPr="00F7263B">
              <w:rPr>
                <w:sz w:val="20"/>
                <w:szCs w:val="20"/>
              </w:rPr>
              <w:t xml:space="preserve">capacity building </w:t>
            </w:r>
            <w:r w:rsidR="000A2752" w:rsidRPr="00F7263B">
              <w:rPr>
                <w:sz w:val="20"/>
                <w:szCs w:val="20"/>
              </w:rPr>
              <w:t xml:space="preserve">support below. </w:t>
            </w:r>
          </w:p>
        </w:tc>
      </w:tr>
    </w:tbl>
    <w:p w:rsidR="009D00C4" w:rsidRPr="00F7263B" w:rsidRDefault="009D00C4" w:rsidP="00D2551C">
      <w:pPr>
        <w:rPr>
          <w:b/>
          <w:sz w:val="20"/>
          <w:szCs w:val="20"/>
        </w:rPr>
      </w:pPr>
    </w:p>
    <w:p w:rsidR="00205AB8" w:rsidRPr="00F7263B" w:rsidRDefault="00D2551C" w:rsidP="00D2551C">
      <w:pPr>
        <w:rPr>
          <w:b/>
          <w:sz w:val="20"/>
          <w:szCs w:val="20"/>
        </w:rPr>
      </w:pPr>
      <w:r w:rsidRPr="00F7263B">
        <w:rPr>
          <w:b/>
          <w:sz w:val="20"/>
          <w:szCs w:val="20"/>
        </w:rPr>
        <w:t>Capacity building</w:t>
      </w:r>
    </w:p>
    <w:p w:rsidR="00205AB8" w:rsidRPr="00F7263B" w:rsidRDefault="00205AB8" w:rsidP="00556F1B">
      <w:pPr>
        <w:jc w:val="both"/>
        <w:rPr>
          <w:rFonts w:cs="Times New Roman"/>
          <w:i/>
          <w:sz w:val="20"/>
          <w:szCs w:val="20"/>
        </w:rPr>
      </w:pPr>
    </w:p>
    <w:p w:rsidR="00205AB8" w:rsidRPr="00F7263B" w:rsidRDefault="00790C3E" w:rsidP="00205AB8">
      <w:pPr>
        <w:jc w:val="both"/>
        <w:rPr>
          <w:b/>
          <w:sz w:val="20"/>
          <w:szCs w:val="20"/>
        </w:rPr>
      </w:pPr>
      <w:r w:rsidRPr="00F7263B">
        <w:rPr>
          <w:b/>
          <w:sz w:val="20"/>
          <w:szCs w:val="20"/>
        </w:rPr>
        <w:t>Background</w:t>
      </w:r>
    </w:p>
    <w:p w:rsidR="006E6935" w:rsidRPr="00F7263B" w:rsidRDefault="006E6935" w:rsidP="00205AB8">
      <w:pPr>
        <w:jc w:val="both"/>
        <w:rPr>
          <w:b/>
          <w:sz w:val="20"/>
          <w:szCs w:val="20"/>
        </w:rPr>
      </w:pPr>
    </w:p>
    <w:p w:rsidR="006E7278" w:rsidRPr="00F7263B" w:rsidRDefault="00D2551C" w:rsidP="00827BD7">
      <w:pPr>
        <w:pStyle w:val="ListParagraph"/>
        <w:numPr>
          <w:ilvl w:val="0"/>
          <w:numId w:val="29"/>
        </w:numPr>
        <w:ind w:left="0" w:firstLine="0"/>
        <w:jc w:val="both"/>
        <w:rPr>
          <w:rFonts w:cs="Times New Roman"/>
          <w:sz w:val="20"/>
          <w:szCs w:val="20"/>
        </w:rPr>
      </w:pPr>
      <w:r w:rsidRPr="00F7263B">
        <w:rPr>
          <w:rFonts w:cs="Times New Roman"/>
          <w:b/>
          <w:sz w:val="20"/>
          <w:szCs w:val="20"/>
        </w:rPr>
        <w:t>The existing ULGDP mainly relied on the legacies of capacity building support from past projects.</w:t>
      </w:r>
      <w:r w:rsidRPr="00F7263B">
        <w:rPr>
          <w:rFonts w:cs="Times New Roman"/>
          <w:sz w:val="20"/>
          <w:szCs w:val="20"/>
        </w:rPr>
        <w:t xml:space="preserve">  Capacity building of urban local governments started with the World Bank-financed Capacity Building for Decentralized Service Delivery Project (2003–08).  The 18 ULGs that are benefiting under the existing ULGDP all received initial capacity building support from that project.  In addition, the Public Sector Capacity Building Program Support Project (PSCAP) (2004–09), provided capacity building support for the federal ministries and agencies, and the nine regional governments.  Under the ULGDP, the participating ULGs are benefitting primarily from backstopping support from the MUDHCo through a federal mobile team of experts.  </w:t>
      </w:r>
    </w:p>
    <w:p w:rsidR="00205AB8" w:rsidRPr="00F7263B" w:rsidRDefault="00205AB8" w:rsidP="00580367">
      <w:pPr>
        <w:pStyle w:val="ListParagraph"/>
        <w:ind w:left="360"/>
        <w:jc w:val="both"/>
        <w:rPr>
          <w:sz w:val="20"/>
          <w:szCs w:val="20"/>
        </w:rPr>
      </w:pPr>
    </w:p>
    <w:p w:rsidR="006E7278" w:rsidRPr="00F7263B" w:rsidRDefault="000B7F72" w:rsidP="00827BD7">
      <w:pPr>
        <w:pStyle w:val="ListParagraph"/>
        <w:numPr>
          <w:ilvl w:val="0"/>
          <w:numId w:val="29"/>
        </w:numPr>
        <w:ind w:left="0" w:firstLine="0"/>
        <w:jc w:val="both"/>
        <w:rPr>
          <w:sz w:val="20"/>
          <w:szCs w:val="20"/>
        </w:rPr>
      </w:pPr>
      <w:r w:rsidRPr="00F7263B">
        <w:rPr>
          <w:rFonts w:cs="Times New Roman"/>
          <w:b/>
          <w:sz w:val="20"/>
          <w:szCs w:val="20"/>
        </w:rPr>
        <w:t xml:space="preserve">Three years into the ULGDP, it became apparent that continuous and strengthened capacity building support for urban management and good governance is still required.  </w:t>
      </w:r>
      <w:r w:rsidRPr="00F7263B">
        <w:rPr>
          <w:rFonts w:cs="Times New Roman"/>
          <w:sz w:val="20"/>
          <w:szCs w:val="20"/>
        </w:rPr>
        <w:t>With the opportunity of Additional Financing for ULGDP in 2011, 18 new ULGsstarted to receive capacity building support for urban management and governance, to prepare them for participation in the ULGDP II.  Two multi-disciplinary consultant teams (with 20 and 25 expertsrespectively) have been deployed for this purpose.</w:t>
      </w:r>
      <w:r w:rsidRPr="00F7263B">
        <w:rPr>
          <w:rStyle w:val="FootnoteReference"/>
          <w:rFonts w:cs="Times New Roman"/>
          <w:sz w:val="20"/>
          <w:szCs w:val="20"/>
        </w:rPr>
        <w:footnoteReference w:id="24"/>
      </w:r>
      <w:r w:rsidRPr="00F7263B">
        <w:rPr>
          <w:rFonts w:cs="Times New Roman"/>
          <w:sz w:val="20"/>
          <w:szCs w:val="20"/>
        </w:rPr>
        <w:t>These teams are also enhancing the capacity of the 18 ULGs already participating in the ULGDP.  A parallel GIZ-financed Urban Governance and Decentralization Program is providing capacity building support to a further eight citiesand nine regional governments on issues such as participatory planning, urban finance, and other areas of urban management.</w:t>
      </w:r>
      <w:r w:rsidRPr="00F7263B">
        <w:rPr>
          <w:rStyle w:val="FootnoteReference"/>
          <w:rFonts w:cs="Times New Roman"/>
          <w:sz w:val="20"/>
          <w:szCs w:val="20"/>
        </w:rPr>
        <w:footnoteReference w:id="25"/>
      </w:r>
      <w:r w:rsidRPr="00F7263B">
        <w:rPr>
          <w:rFonts w:cs="Times New Roman"/>
          <w:sz w:val="20"/>
          <w:szCs w:val="20"/>
        </w:rPr>
        <w:t xml:space="preserve"> The work of the two consultant teams and of the GIZ-financed program will end in December 2014.</w:t>
      </w:r>
    </w:p>
    <w:p w:rsidR="00607293" w:rsidRPr="00F7263B" w:rsidRDefault="00607293" w:rsidP="00205AB8">
      <w:pPr>
        <w:rPr>
          <w:b/>
          <w:sz w:val="20"/>
          <w:szCs w:val="20"/>
        </w:rPr>
      </w:pPr>
    </w:p>
    <w:p w:rsidR="00205AB8" w:rsidRPr="00F7263B" w:rsidRDefault="00205AB8" w:rsidP="00205AB8">
      <w:pPr>
        <w:rPr>
          <w:b/>
          <w:sz w:val="20"/>
          <w:szCs w:val="20"/>
        </w:rPr>
      </w:pPr>
      <w:r w:rsidRPr="00F7263B">
        <w:rPr>
          <w:b/>
          <w:sz w:val="20"/>
          <w:szCs w:val="20"/>
        </w:rPr>
        <w:t xml:space="preserve">ULGDP II </w:t>
      </w:r>
      <w:r w:rsidR="00790C3E" w:rsidRPr="00F7263B">
        <w:rPr>
          <w:b/>
          <w:sz w:val="20"/>
          <w:szCs w:val="20"/>
        </w:rPr>
        <w:t>Capacity Building Architecture</w:t>
      </w:r>
    </w:p>
    <w:p w:rsidR="009F4BC3" w:rsidRPr="00F7263B" w:rsidRDefault="009F4BC3" w:rsidP="00205AB8">
      <w:pPr>
        <w:rPr>
          <w:sz w:val="20"/>
          <w:szCs w:val="20"/>
        </w:rPr>
      </w:pPr>
    </w:p>
    <w:p w:rsidR="006E7278" w:rsidRPr="00F7263B" w:rsidRDefault="00514EAB" w:rsidP="00827BD7">
      <w:pPr>
        <w:pStyle w:val="ListParagraph"/>
        <w:numPr>
          <w:ilvl w:val="0"/>
          <w:numId w:val="29"/>
        </w:numPr>
        <w:ind w:left="0" w:firstLine="0"/>
        <w:jc w:val="both"/>
        <w:rPr>
          <w:sz w:val="20"/>
          <w:szCs w:val="20"/>
        </w:rPr>
      </w:pPr>
      <w:r w:rsidRPr="00F7263B">
        <w:rPr>
          <w:rFonts w:cs="Times New Roman"/>
          <w:b/>
          <w:sz w:val="20"/>
          <w:szCs w:val="20"/>
        </w:rPr>
        <w:t>Under ULGDP II, a more structured and systematic approach will be adopted for capacity building activities that will focus on all three government levels: federal, regional and urban</w:t>
      </w:r>
      <w:r w:rsidRPr="00F7263B">
        <w:rPr>
          <w:rFonts w:cs="Times New Roman"/>
          <w:sz w:val="20"/>
          <w:szCs w:val="20"/>
        </w:rPr>
        <w:t>.  First, dedicated federal and regional mobile teams will support capacity building activities for all levels throughout the program period.  In addition, capacity building support will be tailored to the needs of federal, regional, and local levels.  For the federal level, capacity building support will aim to strengthen coordination for capacity building, oversight, and backstopping functions in serving the regional and local governments.  Regions will be supported to strengthen their urban governance and management roles and in turn, provide capacity building support to ULGs in their jurisdictions.  For ULGs, both supply and demand side interventions will be provided to raise their general capacity and enable them to respond to the performance incentive mechanism.</w:t>
      </w:r>
    </w:p>
    <w:p w:rsidR="00205AB8" w:rsidRPr="00F7263B" w:rsidRDefault="00205AB8" w:rsidP="00DC5F20">
      <w:pPr>
        <w:pStyle w:val="ListParagraph"/>
        <w:ind w:left="0"/>
        <w:jc w:val="both"/>
        <w:rPr>
          <w:sz w:val="20"/>
          <w:szCs w:val="20"/>
        </w:rPr>
      </w:pPr>
    </w:p>
    <w:p w:rsidR="006E7278" w:rsidRPr="00F7263B" w:rsidRDefault="00DC5F20" w:rsidP="00827BD7">
      <w:pPr>
        <w:pStyle w:val="ListParagraph"/>
        <w:numPr>
          <w:ilvl w:val="0"/>
          <w:numId w:val="29"/>
        </w:numPr>
        <w:ind w:left="0" w:firstLine="0"/>
        <w:jc w:val="both"/>
        <w:rPr>
          <w:sz w:val="20"/>
          <w:szCs w:val="20"/>
        </w:rPr>
      </w:pPr>
      <w:r w:rsidRPr="00F7263B">
        <w:rPr>
          <w:rFonts w:cs="Times New Roman"/>
          <w:b/>
          <w:sz w:val="20"/>
          <w:szCs w:val="20"/>
        </w:rPr>
        <w:t>The main focus of the capacity buildingsupport is on enhancing urban governance and management to achieve better service delivery.</w:t>
      </w:r>
      <w:r w:rsidRPr="00F7263B">
        <w:rPr>
          <w:rFonts w:cs="Times New Roman"/>
          <w:sz w:val="20"/>
          <w:szCs w:val="20"/>
        </w:rPr>
        <w:t xml:space="preserve">Due to the cross-cutting nature of the subject,capacity building will aim to strengthen the governments’ capacity in a variety of areas, such as participatory planning, budgeting, revenue mobilization, financial management, procurement, infrastructure asset management, contract management and execution, urban planning, environmental and social safeguards, audit, ethics, fraud and corruption, and monitoring </w:t>
      </w:r>
      <w:r w:rsidRPr="00F7263B">
        <w:rPr>
          <w:rFonts w:cs="Times New Roman"/>
          <w:sz w:val="20"/>
          <w:szCs w:val="20"/>
        </w:rPr>
        <w:lastRenderedPageBreak/>
        <w:t>and evaluation.  The intention is both to strengthen staff skillsand systems for urban management (such as IT system, accounting systems, monitoring and evaluation systems, and the like).  The annual performance assessments will provide a comprehensive, regular check on the capacity improvements and achievements, and identify gaps and weaknesses to be improved upon for each ULG.</w:t>
      </w:r>
    </w:p>
    <w:p w:rsidR="00DC5F20" w:rsidRPr="00F7263B" w:rsidRDefault="00DC5F20" w:rsidP="00DC5F20">
      <w:pPr>
        <w:pStyle w:val="ListParagraph"/>
        <w:ind w:left="0"/>
        <w:jc w:val="both"/>
        <w:rPr>
          <w:sz w:val="20"/>
          <w:szCs w:val="20"/>
        </w:rPr>
      </w:pPr>
    </w:p>
    <w:p w:rsidR="00205AB8" w:rsidRPr="00F7263B" w:rsidRDefault="00205AB8" w:rsidP="00DC5F20">
      <w:pPr>
        <w:rPr>
          <w:i/>
          <w:sz w:val="20"/>
          <w:szCs w:val="20"/>
        </w:rPr>
      </w:pPr>
      <w:r w:rsidRPr="00F7263B">
        <w:rPr>
          <w:i/>
          <w:sz w:val="20"/>
          <w:szCs w:val="20"/>
        </w:rPr>
        <w:t>Phasing</w:t>
      </w:r>
    </w:p>
    <w:p w:rsidR="00DC5F20" w:rsidRPr="00F7263B" w:rsidRDefault="00DC5F20" w:rsidP="00DC5F20">
      <w:pPr>
        <w:pStyle w:val="ListParagraph"/>
        <w:ind w:left="0"/>
        <w:jc w:val="both"/>
        <w:rPr>
          <w:sz w:val="20"/>
          <w:szCs w:val="20"/>
        </w:rPr>
      </w:pPr>
    </w:p>
    <w:p w:rsidR="006E7278" w:rsidRPr="00F7263B" w:rsidRDefault="00557EA1" w:rsidP="00827BD7">
      <w:pPr>
        <w:pStyle w:val="ListParagraph"/>
        <w:numPr>
          <w:ilvl w:val="0"/>
          <w:numId w:val="29"/>
        </w:numPr>
        <w:ind w:left="0" w:firstLine="0"/>
        <w:jc w:val="both"/>
        <w:rPr>
          <w:sz w:val="20"/>
          <w:szCs w:val="20"/>
        </w:rPr>
      </w:pPr>
      <w:r w:rsidRPr="00F7263B">
        <w:rPr>
          <w:rFonts w:cs="Times New Roman"/>
          <w:b/>
          <w:sz w:val="20"/>
          <w:szCs w:val="20"/>
        </w:rPr>
        <w:t>To ensure effective transition from ULGDP to ULGDP II, capacity building activities will be provided in two phases.</w:t>
      </w:r>
      <w:r w:rsidRPr="00F7263B">
        <w:rPr>
          <w:rFonts w:cs="Times New Roman"/>
          <w:sz w:val="20"/>
          <w:szCs w:val="20"/>
        </w:rPr>
        <w:t xml:space="preserve">  Phase 1, starting in November 2013 and continuing until December 2014, will be a transition period.  Phase 2, starting in August 2014 and lasting until Program closing in December 2019, will constitute the main capacity building efforts of ULGDP II.  In Phase 1, current capacity building arrangements under ULGDP and GIZ support will continue, and the former will start preparing for ULGDP II requirements.  Concurrently, preparations for Phase 2 capacity building activities will commence and be in place before ULGDP II program effectiveness.  Phase 2 will overlap with Phase 1 to allow time for proper handing-over.</w:t>
      </w:r>
    </w:p>
    <w:p w:rsidR="00205AB8" w:rsidRPr="00F7263B" w:rsidRDefault="00205AB8" w:rsidP="00607293">
      <w:pPr>
        <w:pStyle w:val="ListParagraph"/>
        <w:ind w:left="0"/>
        <w:jc w:val="both"/>
        <w:rPr>
          <w:sz w:val="20"/>
          <w:szCs w:val="20"/>
        </w:rPr>
      </w:pPr>
    </w:p>
    <w:p w:rsidR="00E24D07" w:rsidRPr="00F7263B" w:rsidRDefault="00E24D07" w:rsidP="00E24D07">
      <w:pPr>
        <w:pStyle w:val="Caption"/>
        <w:spacing w:after="60"/>
      </w:pPr>
      <w:r w:rsidRPr="00F7263B">
        <w:t xml:space="preserve">Table </w:t>
      </w:r>
      <w:r w:rsidR="00161D92" w:rsidRPr="00F7263B">
        <w:t>5</w:t>
      </w:r>
      <w:r w:rsidRPr="00F7263B">
        <w:t>: Main capacity building activities in each phase</w:t>
      </w:r>
    </w:p>
    <w:tbl>
      <w:tblPr>
        <w:tblStyle w:val="TableGrid"/>
        <w:tblW w:w="0" w:type="auto"/>
        <w:tblInd w:w="108" w:type="dxa"/>
        <w:tblLook w:val="04A0" w:firstRow="1" w:lastRow="0" w:firstColumn="1" w:lastColumn="0" w:noHBand="0" w:noVBand="1"/>
      </w:tblPr>
      <w:tblGrid>
        <w:gridCol w:w="5040"/>
        <w:gridCol w:w="4410"/>
      </w:tblGrid>
      <w:tr w:rsidR="00E24D07" w:rsidRPr="00F7263B">
        <w:tc>
          <w:tcPr>
            <w:tcW w:w="5040" w:type="dxa"/>
          </w:tcPr>
          <w:p w:rsidR="00E24D07" w:rsidRPr="00F7263B" w:rsidRDefault="00E24D07" w:rsidP="00DA1689">
            <w:pPr>
              <w:rPr>
                <w:rFonts w:cs="Times New Roman"/>
                <w:i/>
                <w:sz w:val="20"/>
                <w:szCs w:val="20"/>
              </w:rPr>
            </w:pPr>
            <w:r w:rsidRPr="00F7263B">
              <w:rPr>
                <w:rFonts w:cs="Times New Roman"/>
                <w:i/>
                <w:sz w:val="20"/>
                <w:szCs w:val="20"/>
              </w:rPr>
              <w:t>Phase 1 (November 2013 to December 2014)</w:t>
            </w:r>
          </w:p>
        </w:tc>
        <w:tc>
          <w:tcPr>
            <w:tcW w:w="4410" w:type="dxa"/>
          </w:tcPr>
          <w:p w:rsidR="00E24D07" w:rsidRPr="00F7263B" w:rsidRDefault="00E24D07" w:rsidP="00DA1689">
            <w:pPr>
              <w:rPr>
                <w:rFonts w:cs="Times New Roman"/>
                <w:i/>
                <w:sz w:val="20"/>
                <w:szCs w:val="20"/>
              </w:rPr>
            </w:pPr>
            <w:r w:rsidRPr="00F7263B">
              <w:rPr>
                <w:rFonts w:cs="Times New Roman"/>
                <w:i/>
                <w:sz w:val="20"/>
                <w:szCs w:val="20"/>
              </w:rPr>
              <w:t>Phase 2 (August 2014 to December 2019)</w:t>
            </w:r>
          </w:p>
        </w:tc>
      </w:tr>
      <w:tr w:rsidR="00E24D07" w:rsidRPr="00F7263B">
        <w:tc>
          <w:tcPr>
            <w:tcW w:w="5040" w:type="dxa"/>
          </w:tcPr>
          <w:p w:rsidR="006E7278" w:rsidRPr="00F7263B" w:rsidRDefault="00E24D07" w:rsidP="00827BD7">
            <w:pPr>
              <w:pStyle w:val="ListParagraph"/>
              <w:numPr>
                <w:ilvl w:val="0"/>
                <w:numId w:val="13"/>
              </w:numPr>
              <w:ind w:left="342" w:hanging="342"/>
              <w:rPr>
                <w:rFonts w:cs="Times New Roman"/>
                <w:sz w:val="20"/>
                <w:szCs w:val="20"/>
              </w:rPr>
            </w:pPr>
            <w:r w:rsidRPr="00F7263B">
              <w:rPr>
                <w:rFonts w:cs="Times New Roman"/>
                <w:sz w:val="20"/>
                <w:szCs w:val="20"/>
              </w:rPr>
              <w:t xml:space="preserve">Federal mobile team </w:t>
            </w:r>
          </w:p>
          <w:p w:rsidR="006E7278" w:rsidRPr="00F7263B" w:rsidRDefault="00E24D07" w:rsidP="00827BD7">
            <w:pPr>
              <w:pStyle w:val="ListParagraph"/>
              <w:numPr>
                <w:ilvl w:val="0"/>
                <w:numId w:val="13"/>
              </w:numPr>
              <w:ind w:left="342" w:hanging="342"/>
              <w:rPr>
                <w:rFonts w:cs="Times New Roman"/>
                <w:sz w:val="20"/>
                <w:szCs w:val="20"/>
              </w:rPr>
            </w:pPr>
            <w:r w:rsidRPr="00F7263B">
              <w:rPr>
                <w:rFonts w:cs="Times New Roman"/>
                <w:sz w:val="20"/>
                <w:szCs w:val="20"/>
              </w:rPr>
              <w:t>Two technical consultant teams with capacity building support for ULGs (phased out by end of period)</w:t>
            </w:r>
          </w:p>
          <w:p w:rsidR="006E7278" w:rsidRPr="00F7263B" w:rsidRDefault="00E24D07" w:rsidP="00827BD7">
            <w:pPr>
              <w:pStyle w:val="ListParagraph"/>
              <w:numPr>
                <w:ilvl w:val="0"/>
                <w:numId w:val="13"/>
              </w:numPr>
              <w:ind w:left="342" w:hanging="342"/>
              <w:rPr>
                <w:rFonts w:cs="Times New Roman"/>
                <w:b/>
                <w:sz w:val="20"/>
                <w:szCs w:val="20"/>
              </w:rPr>
            </w:pPr>
            <w:r w:rsidRPr="00F7263B">
              <w:rPr>
                <w:rFonts w:cs="Times New Roman"/>
                <w:sz w:val="20"/>
                <w:szCs w:val="20"/>
              </w:rPr>
              <w:t>GIZ financed support for capacity building of regional governments and eight cities (phased out by end of period)</w:t>
            </w:r>
          </w:p>
        </w:tc>
        <w:tc>
          <w:tcPr>
            <w:tcW w:w="4410" w:type="dxa"/>
          </w:tcPr>
          <w:p w:rsidR="006E7278" w:rsidRPr="00F7263B" w:rsidRDefault="00E24D07"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Expanded federal mobile team and functions</w:t>
            </w:r>
          </w:p>
          <w:p w:rsidR="006E7278" w:rsidRPr="00F7263B" w:rsidRDefault="00E24D07"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Four new regional mobile teams</w:t>
            </w:r>
          </w:p>
          <w:p w:rsidR="006E7278" w:rsidRPr="00F7263B" w:rsidRDefault="00E24D07"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New urban management course for ULGs</w:t>
            </w:r>
          </w:p>
          <w:p w:rsidR="006E7278" w:rsidRPr="00F7263B" w:rsidRDefault="00E24D07" w:rsidP="00827BD7">
            <w:pPr>
              <w:pStyle w:val="ListParagraph"/>
              <w:numPr>
                <w:ilvl w:val="0"/>
                <w:numId w:val="14"/>
              </w:numPr>
              <w:ind w:left="342" w:hanging="342"/>
              <w:rPr>
                <w:rFonts w:eastAsia="Times New Roman" w:cs="Times New Roman"/>
                <w:sz w:val="20"/>
                <w:szCs w:val="20"/>
              </w:rPr>
            </w:pPr>
            <w:r w:rsidRPr="00F7263B">
              <w:rPr>
                <w:rFonts w:cs="Times New Roman"/>
                <w:sz w:val="20"/>
                <w:szCs w:val="20"/>
              </w:rPr>
              <w:t>Demand-driven capacity building for ULGs</w:t>
            </w:r>
          </w:p>
        </w:tc>
      </w:tr>
    </w:tbl>
    <w:p w:rsidR="00E24D07" w:rsidRPr="00F7263B" w:rsidRDefault="00E24D07" w:rsidP="00E24D07">
      <w:pPr>
        <w:rPr>
          <w:rFonts w:cs="Times New Roman"/>
          <w:sz w:val="20"/>
          <w:szCs w:val="20"/>
        </w:rPr>
      </w:pPr>
    </w:p>
    <w:p w:rsidR="00205AB8" w:rsidRPr="00F7263B" w:rsidRDefault="0066320D" w:rsidP="0066320D">
      <w:pPr>
        <w:rPr>
          <w:sz w:val="20"/>
          <w:szCs w:val="20"/>
        </w:rPr>
      </w:pPr>
      <w:r w:rsidRPr="00F7263B">
        <w:rPr>
          <w:rFonts w:cs="Times New Roman"/>
          <w:i/>
          <w:sz w:val="20"/>
          <w:szCs w:val="20"/>
        </w:rPr>
        <w:t>Federal and regional capacity building mobile teams</w:t>
      </w:r>
    </w:p>
    <w:p w:rsidR="00E24D07" w:rsidRPr="00F7263B" w:rsidRDefault="00E24D07" w:rsidP="0066320D">
      <w:pPr>
        <w:rPr>
          <w:rFonts w:cs="Times New Roman"/>
          <w:sz w:val="20"/>
          <w:szCs w:val="20"/>
        </w:rPr>
      </w:pPr>
    </w:p>
    <w:p w:rsidR="006E7278" w:rsidRPr="00F7263B" w:rsidRDefault="0066320D" w:rsidP="00827BD7">
      <w:pPr>
        <w:pStyle w:val="ListParagraph"/>
        <w:numPr>
          <w:ilvl w:val="0"/>
          <w:numId w:val="29"/>
        </w:numPr>
        <w:ind w:left="0" w:firstLine="0"/>
        <w:jc w:val="both"/>
        <w:rPr>
          <w:rFonts w:cs="Times New Roman"/>
          <w:sz w:val="20"/>
          <w:szCs w:val="20"/>
        </w:rPr>
      </w:pPr>
      <w:r w:rsidRPr="00F7263B">
        <w:rPr>
          <w:rFonts w:cs="Times New Roman"/>
          <w:b/>
          <w:sz w:val="20"/>
          <w:szCs w:val="20"/>
        </w:rPr>
        <w:t>Underpinning the capacity building provided to all three levels of government throughout ULGDP II are the federal and regional capacity building mobile teams which deliver on-the-job issue-specific guidance.</w:t>
      </w:r>
      <w:r w:rsidRPr="00F7263B">
        <w:rPr>
          <w:rFonts w:cs="Times New Roman"/>
          <w:sz w:val="20"/>
          <w:szCs w:val="20"/>
        </w:rPr>
        <w:t>With the expanded scope of ULGDP II to include a total of 44 ULGs, the current MUDHC</w:t>
      </w:r>
      <w:r w:rsidR="00213603" w:rsidRPr="00F7263B">
        <w:rPr>
          <w:rFonts w:cs="Times New Roman"/>
          <w:sz w:val="20"/>
          <w:szCs w:val="20"/>
        </w:rPr>
        <w:t>o</w:t>
      </w:r>
      <w:r w:rsidRPr="00F7263B">
        <w:rPr>
          <w:rFonts w:cs="Times New Roman"/>
          <w:sz w:val="20"/>
          <w:szCs w:val="20"/>
        </w:rPr>
        <w:t xml:space="preserve"> multi-disciplinary team comprising 12 specialistswill be further enhanced with the addition ofsome 34 specialists.  MUDHC</w:t>
      </w:r>
      <w:r w:rsidR="00213603" w:rsidRPr="00F7263B">
        <w:rPr>
          <w:rFonts w:cs="Times New Roman"/>
          <w:sz w:val="20"/>
          <w:szCs w:val="20"/>
        </w:rPr>
        <w:t>o</w:t>
      </w:r>
      <w:r w:rsidRPr="00F7263B">
        <w:rPr>
          <w:rFonts w:cs="Times New Roman"/>
          <w:sz w:val="20"/>
          <w:szCs w:val="20"/>
        </w:rPr>
        <w:t xml:space="preserve"> will procure these specialists.  The additional expertise will first boost the capacity within the MUDHC</w:t>
      </w:r>
      <w:r w:rsidR="00213603" w:rsidRPr="00F7263B">
        <w:rPr>
          <w:rFonts w:cs="Times New Roman"/>
          <w:sz w:val="20"/>
          <w:szCs w:val="20"/>
        </w:rPr>
        <w:t>o</w:t>
      </w:r>
      <w:r w:rsidRPr="00F7263B">
        <w:rPr>
          <w:rFonts w:cs="Times New Roman"/>
          <w:sz w:val="20"/>
          <w:szCs w:val="20"/>
        </w:rPr>
        <w:t xml:space="preserve"> to tackle the greater demands of the program and also afford greater capacity building support to the regions and ULGs.  The federal mobile team will be stationed atMUDHC</w:t>
      </w:r>
      <w:r w:rsidR="00213603" w:rsidRPr="00F7263B">
        <w:rPr>
          <w:rFonts w:cs="Times New Roman"/>
          <w:sz w:val="20"/>
          <w:szCs w:val="20"/>
        </w:rPr>
        <w:t>o</w:t>
      </w:r>
      <w:r w:rsidRPr="00F7263B">
        <w:rPr>
          <w:rFonts w:cs="Times New Roman"/>
          <w:sz w:val="20"/>
          <w:szCs w:val="20"/>
        </w:rPr>
        <w:t xml:space="preserve"> but will regularly travel to the field to support both regional governments and ULGs.  The main functions of the federal mobile team are:</w:t>
      </w:r>
    </w:p>
    <w:p w:rsidR="0066320D" w:rsidRPr="00F7263B" w:rsidRDefault="0066320D" w:rsidP="00604D00">
      <w:pPr>
        <w:pStyle w:val="ListParagraph"/>
        <w:tabs>
          <w:tab w:val="left" w:pos="0"/>
        </w:tabs>
        <w:ind w:left="0"/>
        <w:jc w:val="both"/>
        <w:rPr>
          <w:rFonts w:cs="Times New Roman"/>
          <w:sz w:val="20"/>
          <w:szCs w:val="20"/>
        </w:rPr>
      </w:pPr>
    </w:p>
    <w:p w:rsidR="006E7278" w:rsidRPr="00F7263B" w:rsidRDefault="0066320D" w:rsidP="00827BD7">
      <w:pPr>
        <w:pStyle w:val="ListParagraph"/>
        <w:numPr>
          <w:ilvl w:val="0"/>
          <w:numId w:val="17"/>
        </w:numPr>
        <w:ind w:left="720" w:hanging="720"/>
        <w:rPr>
          <w:rFonts w:cs="Times New Roman"/>
          <w:sz w:val="20"/>
          <w:szCs w:val="20"/>
        </w:rPr>
      </w:pPr>
      <w:r w:rsidRPr="00F7263B">
        <w:rPr>
          <w:rFonts w:cs="Times New Roman"/>
          <w:sz w:val="20"/>
          <w:szCs w:val="20"/>
        </w:rPr>
        <w:t xml:space="preserve">Focused support for: </w:t>
      </w:r>
    </w:p>
    <w:p w:rsidR="006E7278" w:rsidRPr="00F7263B" w:rsidRDefault="0066320D" w:rsidP="00056FC8">
      <w:pPr>
        <w:pStyle w:val="ListParagraph"/>
        <w:numPr>
          <w:ilvl w:val="1"/>
          <w:numId w:val="73"/>
        </w:numPr>
        <w:ind w:left="1440" w:hanging="720"/>
        <w:rPr>
          <w:rFonts w:cs="Times New Roman"/>
          <w:sz w:val="20"/>
          <w:szCs w:val="20"/>
        </w:rPr>
      </w:pPr>
      <w:r w:rsidRPr="00F7263B">
        <w:rPr>
          <w:rFonts w:cs="Times New Roman"/>
          <w:sz w:val="20"/>
          <w:szCs w:val="20"/>
        </w:rPr>
        <w:t>The four new ULGDP II developing regional states</w:t>
      </w:r>
    </w:p>
    <w:p w:rsidR="006E7278" w:rsidRPr="00F7263B" w:rsidRDefault="0066320D" w:rsidP="00056FC8">
      <w:pPr>
        <w:pStyle w:val="ListParagraph"/>
        <w:numPr>
          <w:ilvl w:val="1"/>
          <w:numId w:val="73"/>
        </w:numPr>
        <w:ind w:left="1440" w:hanging="720"/>
        <w:rPr>
          <w:rFonts w:cs="Times New Roman"/>
          <w:sz w:val="20"/>
          <w:szCs w:val="20"/>
        </w:rPr>
      </w:pPr>
      <w:r w:rsidRPr="00F7263B">
        <w:rPr>
          <w:rFonts w:cs="Times New Roman"/>
          <w:sz w:val="20"/>
          <w:szCs w:val="20"/>
        </w:rPr>
        <w:t>The four ULGs in the developing regional states</w:t>
      </w:r>
    </w:p>
    <w:p w:rsidR="006E7278" w:rsidRPr="00F7263B" w:rsidRDefault="0066320D" w:rsidP="00056FC8">
      <w:pPr>
        <w:pStyle w:val="ListParagraph"/>
        <w:numPr>
          <w:ilvl w:val="1"/>
          <w:numId w:val="73"/>
        </w:numPr>
        <w:ind w:left="1440" w:hanging="720"/>
        <w:rPr>
          <w:rFonts w:cs="Times New Roman"/>
          <w:sz w:val="20"/>
          <w:szCs w:val="20"/>
        </w:rPr>
      </w:pPr>
      <w:r w:rsidRPr="00F7263B">
        <w:rPr>
          <w:rFonts w:cs="Times New Roman"/>
          <w:sz w:val="20"/>
          <w:szCs w:val="20"/>
        </w:rPr>
        <w:t>The two single-city regions of Dire Dawa and Harar</w:t>
      </w:r>
    </w:p>
    <w:p w:rsidR="00713BB0" w:rsidRPr="00F7263B" w:rsidRDefault="00C05F95" w:rsidP="0068255C">
      <w:pPr>
        <w:pStyle w:val="ListParagraph"/>
        <w:numPr>
          <w:ilvl w:val="0"/>
          <w:numId w:val="17"/>
        </w:numPr>
        <w:ind w:left="720" w:hanging="720"/>
        <w:rPr>
          <w:rFonts w:cs="Times New Roman"/>
          <w:sz w:val="20"/>
          <w:szCs w:val="20"/>
        </w:rPr>
      </w:pPr>
      <w:r w:rsidRPr="00F7263B">
        <w:rPr>
          <w:rFonts w:cs="Times New Roman"/>
          <w:sz w:val="20"/>
          <w:szCs w:val="20"/>
        </w:rPr>
        <w:t>Monitoring and evaluation</w:t>
      </w:r>
    </w:p>
    <w:p w:rsidR="006E7278" w:rsidRPr="00F7263B" w:rsidRDefault="0066320D" w:rsidP="00827BD7">
      <w:pPr>
        <w:pStyle w:val="ListParagraph"/>
        <w:numPr>
          <w:ilvl w:val="0"/>
          <w:numId w:val="17"/>
        </w:numPr>
        <w:ind w:hanging="720"/>
        <w:rPr>
          <w:rFonts w:cs="Times New Roman"/>
          <w:sz w:val="20"/>
          <w:szCs w:val="20"/>
        </w:rPr>
      </w:pPr>
      <w:r w:rsidRPr="00F7263B">
        <w:rPr>
          <w:rFonts w:cs="Times New Roman"/>
          <w:sz w:val="20"/>
          <w:szCs w:val="20"/>
        </w:rPr>
        <w:t xml:space="preserve">General backstopping support for all other regions; </w:t>
      </w:r>
    </w:p>
    <w:p w:rsidR="006E7278" w:rsidRPr="00F7263B" w:rsidRDefault="0066320D" w:rsidP="00827BD7">
      <w:pPr>
        <w:pStyle w:val="ListParagraph"/>
        <w:numPr>
          <w:ilvl w:val="0"/>
          <w:numId w:val="17"/>
        </w:numPr>
        <w:ind w:left="720" w:hanging="720"/>
        <w:rPr>
          <w:rFonts w:cs="Times New Roman"/>
          <w:sz w:val="20"/>
          <w:szCs w:val="20"/>
        </w:rPr>
      </w:pPr>
      <w:r w:rsidRPr="00F7263B">
        <w:rPr>
          <w:rFonts w:cs="Times New Roman"/>
          <w:sz w:val="20"/>
          <w:szCs w:val="20"/>
        </w:rPr>
        <w:t xml:space="preserve">Mentoring the four regional mobile teams; </w:t>
      </w:r>
    </w:p>
    <w:p w:rsidR="006E7278" w:rsidRPr="00F7263B" w:rsidRDefault="0066320D" w:rsidP="00827BD7">
      <w:pPr>
        <w:pStyle w:val="ListParagraph"/>
        <w:numPr>
          <w:ilvl w:val="0"/>
          <w:numId w:val="17"/>
        </w:numPr>
        <w:ind w:left="720" w:hanging="720"/>
        <w:rPr>
          <w:rFonts w:cs="Times New Roman"/>
          <w:sz w:val="20"/>
          <w:szCs w:val="20"/>
        </w:rPr>
      </w:pPr>
      <w:r w:rsidRPr="00F7263B">
        <w:rPr>
          <w:rFonts w:cs="Times New Roman"/>
          <w:sz w:val="20"/>
          <w:szCs w:val="20"/>
        </w:rPr>
        <w:t xml:space="preserve">Capacity building for MUDHC </w:t>
      </w:r>
    </w:p>
    <w:p w:rsidR="006E7278" w:rsidRPr="00F7263B" w:rsidRDefault="0066320D" w:rsidP="00827BD7">
      <w:pPr>
        <w:pStyle w:val="ListParagraph"/>
        <w:numPr>
          <w:ilvl w:val="0"/>
          <w:numId w:val="17"/>
        </w:numPr>
        <w:ind w:left="720" w:hanging="720"/>
        <w:rPr>
          <w:rFonts w:cs="Times New Roman"/>
          <w:sz w:val="20"/>
          <w:szCs w:val="20"/>
        </w:rPr>
      </w:pPr>
      <w:r w:rsidRPr="00F7263B">
        <w:rPr>
          <w:rFonts w:cs="Times New Roman"/>
          <w:sz w:val="20"/>
          <w:szCs w:val="20"/>
        </w:rPr>
        <w:t xml:space="preserve">Overall coordination and oversight of capacity building activities under ULGDP II including the urban management courses to be provided by the Ethiopian Civil Service University or other institute (described in later sections).  </w:t>
      </w:r>
    </w:p>
    <w:p w:rsidR="00205AB8" w:rsidRPr="00F7263B" w:rsidRDefault="00205AB8" w:rsidP="00205AB8">
      <w:pPr>
        <w:pStyle w:val="ListParagraph"/>
        <w:jc w:val="both"/>
        <w:rPr>
          <w:sz w:val="20"/>
          <w:szCs w:val="20"/>
        </w:rPr>
      </w:pPr>
    </w:p>
    <w:p w:rsidR="006E7278" w:rsidRPr="00F7263B" w:rsidRDefault="0066320D" w:rsidP="00827BD7">
      <w:pPr>
        <w:pStyle w:val="ListParagraph"/>
        <w:numPr>
          <w:ilvl w:val="0"/>
          <w:numId w:val="29"/>
        </w:numPr>
        <w:ind w:left="0" w:firstLine="0"/>
        <w:jc w:val="both"/>
        <w:rPr>
          <w:sz w:val="20"/>
          <w:szCs w:val="20"/>
        </w:rPr>
      </w:pPr>
      <w:r w:rsidRPr="00F7263B">
        <w:rPr>
          <w:rFonts w:cs="Times New Roman"/>
          <w:b/>
          <w:sz w:val="20"/>
          <w:szCs w:val="20"/>
        </w:rPr>
        <w:t xml:space="preserve">Four new regional mobile teams will be formed under ULGDP II.  </w:t>
      </w:r>
      <w:r w:rsidRPr="00F7263B">
        <w:rPr>
          <w:rFonts w:cs="Times New Roman"/>
          <w:sz w:val="20"/>
          <w:szCs w:val="20"/>
        </w:rPr>
        <w:t>The main functions of theregional mobile teams are to (a) provide capacity building support to the host region, and (b) to provide capacity building support to the 38 participating ULGs in the respective regions.  Each regional mobile team will consist of approximately ten multi-disciplinary specialists.  Each will be based in the regions with large numbers of participating ULG: Amhara (10 ULGs), Tigray (8 ULGs), Oromia (11 ULGs) and SNNPR (9 ULGs).  The teams will be based at the B</w:t>
      </w:r>
      <w:r w:rsidRPr="00F7263B">
        <w:rPr>
          <w:sz w:val="20"/>
          <w:szCs w:val="20"/>
        </w:rPr>
        <w:t>ureau</w:t>
      </w:r>
      <w:r w:rsidRPr="00F7263B">
        <w:rPr>
          <w:rFonts w:cs="Times New Roman"/>
          <w:sz w:val="20"/>
          <w:szCs w:val="20"/>
        </w:rPr>
        <w:t xml:space="preserve"> of Trade, Industry,</w:t>
      </w:r>
      <w:r w:rsidRPr="00F7263B">
        <w:rPr>
          <w:sz w:val="20"/>
          <w:szCs w:val="20"/>
        </w:rPr>
        <w:t xml:space="preserve"> and Urban Development</w:t>
      </w:r>
      <w:r w:rsidRPr="00F7263B">
        <w:rPr>
          <w:rFonts w:cs="Times New Roman"/>
          <w:sz w:val="20"/>
          <w:szCs w:val="20"/>
        </w:rPr>
        <w:t>(</w:t>
      </w:r>
      <w:r w:rsidR="00AF73B3" w:rsidRPr="00F7263B">
        <w:rPr>
          <w:rFonts w:cs="Times New Roman"/>
          <w:sz w:val="20"/>
          <w:szCs w:val="20"/>
        </w:rPr>
        <w:t>BUD</w:t>
      </w:r>
      <w:r w:rsidRPr="00F7263B">
        <w:rPr>
          <w:rFonts w:cs="Times New Roman"/>
          <w:sz w:val="20"/>
          <w:szCs w:val="20"/>
        </w:rPr>
        <w:t xml:space="preserve">) (or their equivalent).  Each team will spend one out of four weeks per month working with the regional government, and the rest of the time working with </w:t>
      </w:r>
      <w:r w:rsidRPr="00F7263B">
        <w:rPr>
          <w:rFonts w:cs="Times New Roman"/>
          <w:sz w:val="20"/>
          <w:szCs w:val="20"/>
        </w:rPr>
        <w:lastRenderedPageBreak/>
        <w:t xml:space="preserve">the ULGs.  While in the field, they will work closely with the relevant technical staff to provide mentorship and issue-specific support.  </w:t>
      </w:r>
    </w:p>
    <w:p w:rsidR="00205AB8" w:rsidRPr="00F7263B" w:rsidRDefault="00205AB8" w:rsidP="00604D00">
      <w:pPr>
        <w:pStyle w:val="ListParagraph"/>
        <w:ind w:left="360"/>
        <w:jc w:val="both"/>
        <w:rPr>
          <w:sz w:val="20"/>
          <w:szCs w:val="20"/>
        </w:rPr>
      </w:pPr>
    </w:p>
    <w:p w:rsidR="006E7278" w:rsidRPr="00F7263B" w:rsidRDefault="00C61106" w:rsidP="00827BD7">
      <w:pPr>
        <w:pStyle w:val="ListParagraph"/>
        <w:numPr>
          <w:ilvl w:val="0"/>
          <w:numId w:val="29"/>
        </w:numPr>
        <w:ind w:left="0" w:firstLine="0"/>
        <w:jc w:val="both"/>
        <w:rPr>
          <w:sz w:val="20"/>
          <w:szCs w:val="20"/>
        </w:rPr>
      </w:pPr>
      <w:r w:rsidRPr="00F7263B">
        <w:rPr>
          <w:rFonts w:cs="Times New Roman"/>
          <w:b/>
          <w:sz w:val="20"/>
          <w:szCs w:val="20"/>
        </w:rPr>
        <w:t>The regional governments—with technical support from MUDHC—will procure the regional mobile teams.</w:t>
      </w:r>
      <w:r w:rsidRPr="00F7263B">
        <w:rPr>
          <w:rFonts w:cs="Times New Roman"/>
          <w:sz w:val="20"/>
          <w:szCs w:val="20"/>
        </w:rPr>
        <w:t xml:space="preserve">  The ministry’s support will include facilitating nation-wide advertisements to identify optimal candidates.  As part of the region’s backstopping functions, this process of procuring and managing the regional mobile teams will instill ownership, confer greater responsibility, and strengthen the capacity of regional governments.  </w:t>
      </w:r>
    </w:p>
    <w:p w:rsidR="00205AB8" w:rsidRPr="00F7263B" w:rsidRDefault="00205AB8" w:rsidP="00604D00">
      <w:pPr>
        <w:pStyle w:val="ListParagraph"/>
        <w:ind w:left="0"/>
        <w:jc w:val="both"/>
        <w:rPr>
          <w:b/>
          <w:sz w:val="20"/>
          <w:szCs w:val="20"/>
        </w:rPr>
      </w:pPr>
    </w:p>
    <w:p w:rsidR="006E7278" w:rsidRPr="00F7263B" w:rsidRDefault="00BD7ADA" w:rsidP="00827BD7">
      <w:pPr>
        <w:pStyle w:val="ListParagraph"/>
        <w:numPr>
          <w:ilvl w:val="0"/>
          <w:numId w:val="29"/>
        </w:numPr>
        <w:ind w:left="0" w:firstLine="0"/>
        <w:jc w:val="both"/>
        <w:rPr>
          <w:sz w:val="20"/>
          <w:szCs w:val="20"/>
        </w:rPr>
      </w:pPr>
      <w:r w:rsidRPr="00F7263B">
        <w:rPr>
          <w:rFonts w:cs="Times New Roman"/>
          <w:b/>
          <w:sz w:val="20"/>
          <w:szCs w:val="20"/>
        </w:rPr>
        <w:t>The capacity of the regional governments to procure and manage these teams is assessed to be adequate.</w:t>
      </w:r>
      <w:r w:rsidRPr="00F7263B">
        <w:rPr>
          <w:rFonts w:cs="Times New Roman"/>
          <w:sz w:val="20"/>
          <w:szCs w:val="20"/>
        </w:rPr>
        <w:t>Under past and current Bank-financed operations—including PSCAP, Protection of Basic Services, and Productive Safety Net Project—the regional governments have procured and are presently managing similar teams.  For example, under the urban management capacity building sub-program of PSCAP, the regional bureaus of urban developmentare responsible for all regional level activities.</w:t>
      </w:r>
      <w:r w:rsidRPr="00F7263B">
        <w:rPr>
          <w:rStyle w:val="FootnoteReference"/>
          <w:rFonts w:cs="Times New Roman"/>
          <w:sz w:val="20"/>
          <w:szCs w:val="20"/>
        </w:rPr>
        <w:footnoteReference w:id="26"/>
      </w:r>
      <w:r w:rsidRPr="00F7263B">
        <w:rPr>
          <w:rFonts w:cs="Times New Roman"/>
          <w:sz w:val="20"/>
          <w:szCs w:val="20"/>
        </w:rPr>
        <w:t>Almost all regions have been engaged in providing training for mainly city administration staff and specialists on various urban related issues, ranging from urban development policies and good governance to specific knowledge on project planning and implementation, and management and technical skills.  As a result, more than 18,000 people were trained in all regions, excluding SNNP.  SNNP alone trained more than 160,000 people.  Similarly, under PBS, regional governments procured and managed 54 teams of five specialists to provide support and training to woredas.</w:t>
      </w:r>
    </w:p>
    <w:p w:rsidR="00A357F3" w:rsidRPr="00F7263B" w:rsidRDefault="00A357F3" w:rsidP="0087446B">
      <w:pPr>
        <w:pStyle w:val="ListParagraph"/>
        <w:ind w:left="0"/>
        <w:rPr>
          <w:sz w:val="20"/>
          <w:szCs w:val="20"/>
        </w:rPr>
      </w:pPr>
    </w:p>
    <w:p w:rsidR="000367FB" w:rsidRPr="00F7263B" w:rsidRDefault="00DE4F98" w:rsidP="00556F1B">
      <w:pPr>
        <w:pStyle w:val="Caption"/>
        <w:spacing w:after="60"/>
        <w:jc w:val="both"/>
      </w:pPr>
      <w:r w:rsidRPr="00F7263B">
        <w:t xml:space="preserve">Table </w:t>
      </w:r>
      <w:r w:rsidR="00A357F3" w:rsidRPr="00F7263B">
        <w:t>6</w:t>
      </w:r>
      <w:r w:rsidRPr="00F7263B">
        <w:t xml:space="preserve">: </w:t>
      </w:r>
      <w:r w:rsidR="000367FB" w:rsidRPr="00F7263B">
        <w:t>Federal and regional capacity building mobile teams proposed functions and composition</w:t>
      </w:r>
    </w:p>
    <w:tbl>
      <w:tblPr>
        <w:tblStyle w:val="TableGrid3"/>
        <w:tblW w:w="5000" w:type="pct"/>
        <w:tblLook w:val="04A0" w:firstRow="1" w:lastRow="0" w:firstColumn="1" w:lastColumn="0" w:noHBand="0" w:noVBand="1"/>
      </w:tblPr>
      <w:tblGrid>
        <w:gridCol w:w="972"/>
        <w:gridCol w:w="1676"/>
        <w:gridCol w:w="2925"/>
        <w:gridCol w:w="809"/>
        <w:gridCol w:w="944"/>
        <w:gridCol w:w="2250"/>
      </w:tblGrid>
      <w:tr w:rsidR="00DE4F98" w:rsidRPr="00F7263B">
        <w:tc>
          <w:tcPr>
            <w:tcW w:w="508" w:type="pct"/>
          </w:tcPr>
          <w:p w:rsidR="00DE4F98" w:rsidRPr="00F7263B" w:rsidRDefault="00DE4F98" w:rsidP="00DE4F98">
            <w:pPr>
              <w:jc w:val="center"/>
              <w:rPr>
                <w:rFonts w:cs="Times New Roman"/>
                <w:b/>
                <w:sz w:val="20"/>
                <w:szCs w:val="20"/>
              </w:rPr>
            </w:pPr>
          </w:p>
        </w:tc>
        <w:tc>
          <w:tcPr>
            <w:tcW w:w="875" w:type="pct"/>
          </w:tcPr>
          <w:p w:rsidR="00DE4F98" w:rsidRPr="00F7263B" w:rsidRDefault="00DE4F98" w:rsidP="00DE4F98">
            <w:pPr>
              <w:jc w:val="center"/>
              <w:rPr>
                <w:rFonts w:cs="Times New Roman"/>
                <w:b/>
                <w:sz w:val="20"/>
                <w:szCs w:val="20"/>
              </w:rPr>
            </w:pPr>
            <w:r w:rsidRPr="00F7263B">
              <w:rPr>
                <w:rFonts w:cs="Times New Roman"/>
                <w:b/>
                <w:sz w:val="20"/>
                <w:szCs w:val="20"/>
              </w:rPr>
              <w:t>Function</w:t>
            </w:r>
          </w:p>
        </w:tc>
        <w:tc>
          <w:tcPr>
            <w:tcW w:w="2442" w:type="pct"/>
            <w:gridSpan w:val="3"/>
          </w:tcPr>
          <w:p w:rsidR="00DE4F98" w:rsidRPr="00F7263B" w:rsidRDefault="00DE4F98" w:rsidP="00DE4F98">
            <w:pPr>
              <w:jc w:val="center"/>
              <w:rPr>
                <w:rFonts w:cs="Times New Roman"/>
                <w:b/>
                <w:sz w:val="20"/>
                <w:szCs w:val="20"/>
              </w:rPr>
            </w:pPr>
            <w:r w:rsidRPr="00F7263B">
              <w:rPr>
                <w:rFonts w:cs="Times New Roman"/>
                <w:b/>
                <w:sz w:val="20"/>
                <w:szCs w:val="20"/>
              </w:rPr>
              <w:t>Composition</w:t>
            </w:r>
          </w:p>
        </w:tc>
        <w:tc>
          <w:tcPr>
            <w:tcW w:w="1176" w:type="pct"/>
            <w:tcBorders>
              <w:bottom w:val="single" w:sz="4" w:space="0" w:color="auto"/>
            </w:tcBorders>
          </w:tcPr>
          <w:p w:rsidR="00DE4F98" w:rsidRPr="00F7263B" w:rsidRDefault="00DE4F98" w:rsidP="00DE4F98">
            <w:pPr>
              <w:jc w:val="center"/>
              <w:rPr>
                <w:rFonts w:cs="Times New Roman"/>
                <w:b/>
                <w:sz w:val="20"/>
                <w:szCs w:val="20"/>
              </w:rPr>
            </w:pPr>
            <w:r w:rsidRPr="00F7263B">
              <w:rPr>
                <w:rFonts w:cs="Times New Roman"/>
                <w:b/>
                <w:sz w:val="20"/>
                <w:szCs w:val="20"/>
              </w:rPr>
              <w:t>Additional Notes</w:t>
            </w:r>
          </w:p>
        </w:tc>
      </w:tr>
      <w:tr w:rsidR="00DE4F98" w:rsidRPr="00F7263B">
        <w:trPr>
          <w:trHeight w:val="395"/>
        </w:trPr>
        <w:tc>
          <w:tcPr>
            <w:tcW w:w="508" w:type="pct"/>
            <w:vMerge w:val="restart"/>
          </w:tcPr>
          <w:p w:rsidR="00DE4F98" w:rsidRPr="00F7263B" w:rsidRDefault="00DE4F98" w:rsidP="00DE4F98">
            <w:pPr>
              <w:rPr>
                <w:rFonts w:cs="Times New Roman"/>
                <w:b/>
                <w:sz w:val="20"/>
                <w:szCs w:val="20"/>
              </w:rPr>
            </w:pPr>
            <w:r w:rsidRPr="00F7263B">
              <w:rPr>
                <w:rFonts w:cs="Times New Roman"/>
                <w:b/>
                <w:sz w:val="20"/>
                <w:szCs w:val="20"/>
              </w:rPr>
              <w:t xml:space="preserve">Federal mobile team </w:t>
            </w:r>
          </w:p>
        </w:tc>
        <w:tc>
          <w:tcPr>
            <w:tcW w:w="875" w:type="pct"/>
            <w:vMerge w:val="restart"/>
          </w:tcPr>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 xml:space="preserve">Focused support for the four new Developing Regional States (DRS) and their constituent four ULGs, and Dire Dawa and Harar; </w:t>
            </w:r>
          </w:p>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 xml:space="preserve">General backstopping support for all other regions; </w:t>
            </w:r>
          </w:p>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 xml:space="preserve">Mentor the four regional mobile teams; </w:t>
            </w:r>
          </w:p>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Overall coordination and oversight of capacity building activities in ULGDP II (including the urban management course)</w:t>
            </w:r>
          </w:p>
        </w:tc>
        <w:tc>
          <w:tcPr>
            <w:tcW w:w="1527" w:type="pct"/>
          </w:tcPr>
          <w:p w:rsidR="00DE4F98" w:rsidRPr="00F7263B" w:rsidRDefault="00DE4F98" w:rsidP="00DE4F98">
            <w:pPr>
              <w:rPr>
                <w:rFonts w:cs="Times New Roman"/>
                <w:b/>
                <w:sz w:val="20"/>
                <w:szCs w:val="20"/>
              </w:rPr>
            </w:pPr>
            <w:r w:rsidRPr="00F7263B">
              <w:rPr>
                <w:rFonts w:cs="Times New Roman"/>
                <w:b/>
                <w:sz w:val="20"/>
                <w:szCs w:val="20"/>
              </w:rPr>
              <w:t>34 specialists and one long-term advisor</w:t>
            </w:r>
          </w:p>
        </w:tc>
        <w:tc>
          <w:tcPr>
            <w:tcW w:w="422" w:type="pct"/>
          </w:tcPr>
          <w:p w:rsidR="00DE4F98" w:rsidRPr="00F7263B" w:rsidRDefault="00DE4F98" w:rsidP="00DE4F98">
            <w:pPr>
              <w:ind w:left="-18"/>
              <w:contextualSpacing/>
              <w:rPr>
                <w:rFonts w:cs="Times New Roman"/>
                <w:sz w:val="20"/>
                <w:szCs w:val="20"/>
              </w:rPr>
            </w:pPr>
            <w:r w:rsidRPr="00F7263B">
              <w:rPr>
                <w:rFonts w:cs="Times New Roman"/>
                <w:sz w:val="20"/>
                <w:szCs w:val="20"/>
              </w:rPr>
              <w:t>Current</w:t>
            </w: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Proposed</w:t>
            </w:r>
          </w:p>
        </w:tc>
        <w:tc>
          <w:tcPr>
            <w:tcW w:w="1176" w:type="pct"/>
            <w:vMerge w:val="restart"/>
          </w:tcPr>
          <w:p w:rsidR="006E7278" w:rsidRPr="00F7263B" w:rsidRDefault="00DE4F98" w:rsidP="00827BD7">
            <w:pPr>
              <w:numPr>
                <w:ilvl w:val="0"/>
                <w:numId w:val="19"/>
              </w:numPr>
              <w:ind w:left="342" w:hanging="342"/>
              <w:contextualSpacing/>
              <w:rPr>
                <w:rFonts w:cs="Times New Roman"/>
                <w:sz w:val="20"/>
                <w:szCs w:val="20"/>
              </w:rPr>
            </w:pPr>
            <w:r w:rsidRPr="00F7263B">
              <w:rPr>
                <w:rFonts w:cs="Times New Roman"/>
                <w:sz w:val="20"/>
                <w:szCs w:val="20"/>
              </w:rPr>
              <w:t>Spends approximately three out of four weeks in the field</w:t>
            </w:r>
          </w:p>
          <w:p w:rsidR="006E7278" w:rsidRPr="00F7263B" w:rsidRDefault="00DE4F98" w:rsidP="00827BD7">
            <w:pPr>
              <w:numPr>
                <w:ilvl w:val="0"/>
                <w:numId w:val="19"/>
              </w:numPr>
              <w:ind w:left="342" w:hanging="342"/>
              <w:contextualSpacing/>
              <w:rPr>
                <w:rFonts w:cs="Times New Roman"/>
                <w:sz w:val="20"/>
                <w:szCs w:val="20"/>
              </w:rPr>
            </w:pPr>
            <w:r w:rsidRPr="00F7263B">
              <w:rPr>
                <w:rFonts w:cs="Times New Roman"/>
                <w:sz w:val="20"/>
                <w:szCs w:val="20"/>
              </w:rPr>
              <w:t xml:space="preserve">To be procured directly by the </w:t>
            </w:r>
            <w:r w:rsidR="00E65E2E" w:rsidRPr="00F7263B">
              <w:rPr>
                <w:rFonts w:cs="Times New Roman"/>
                <w:sz w:val="20"/>
                <w:szCs w:val="20"/>
              </w:rPr>
              <w:t>MUDHCo</w:t>
            </w:r>
          </w:p>
          <w:p w:rsidR="006E7278" w:rsidRPr="00F7263B" w:rsidRDefault="00DE4F98" w:rsidP="00827BD7">
            <w:pPr>
              <w:numPr>
                <w:ilvl w:val="0"/>
                <w:numId w:val="19"/>
              </w:numPr>
              <w:ind w:left="342" w:hanging="342"/>
              <w:contextualSpacing/>
              <w:rPr>
                <w:rFonts w:cs="Times New Roman"/>
                <w:sz w:val="20"/>
                <w:szCs w:val="20"/>
              </w:rPr>
            </w:pPr>
            <w:r w:rsidRPr="00F7263B">
              <w:rPr>
                <w:rFonts w:cs="Times New Roman"/>
                <w:sz w:val="20"/>
                <w:szCs w:val="20"/>
              </w:rPr>
              <w:t>Specialists to be recruited and in place by August 2014</w:t>
            </w: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rPr>
                <w:rFonts w:cs="Times New Roman"/>
                <w:b/>
                <w:sz w:val="20"/>
                <w:szCs w:val="20"/>
              </w:rPr>
            </w:pPr>
            <w:r w:rsidRPr="00F7263B">
              <w:rPr>
                <w:rFonts w:cs="Times New Roman"/>
                <w:b/>
                <w:sz w:val="20"/>
                <w:szCs w:val="20"/>
              </w:rPr>
              <w:t>Proposed composition:</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Program coordinator</w:t>
            </w:r>
          </w:p>
        </w:tc>
        <w:tc>
          <w:tcPr>
            <w:tcW w:w="42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Deputy coordinator</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Procurement specialist</w:t>
            </w:r>
          </w:p>
        </w:tc>
        <w:tc>
          <w:tcPr>
            <w:tcW w:w="422" w:type="pct"/>
          </w:tcPr>
          <w:p w:rsidR="00DE4F98" w:rsidRPr="00F7263B" w:rsidRDefault="00DE4F98" w:rsidP="00DE4F98">
            <w:pPr>
              <w:ind w:left="-18"/>
              <w:contextualSpacing/>
              <w:rPr>
                <w:rFonts w:cs="Times New Roman"/>
                <w:sz w:val="20"/>
                <w:szCs w:val="20"/>
              </w:rPr>
            </w:pPr>
            <w:r w:rsidRPr="00F7263B">
              <w:rPr>
                <w:rFonts w:cs="Times New Roman"/>
                <w:sz w:val="20"/>
                <w:szCs w:val="20"/>
              </w:rPr>
              <w:t>3</w:t>
            </w: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5</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rPr>
          <w:trHeight w:val="440"/>
        </w:trPr>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Environmental specialist</w:t>
            </w:r>
          </w:p>
        </w:tc>
        <w:tc>
          <w:tcPr>
            <w:tcW w:w="42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3</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Social Development specialist</w:t>
            </w:r>
          </w:p>
        </w:tc>
        <w:tc>
          <w:tcPr>
            <w:tcW w:w="42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3</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Engineers</w:t>
            </w:r>
          </w:p>
        </w:tc>
        <w:tc>
          <w:tcPr>
            <w:tcW w:w="422" w:type="pct"/>
          </w:tcPr>
          <w:p w:rsidR="00DE4F98" w:rsidRPr="00F7263B" w:rsidRDefault="00DE4F98" w:rsidP="00DE4F98">
            <w:pPr>
              <w:ind w:left="-18"/>
              <w:contextualSpacing/>
              <w:rPr>
                <w:rFonts w:cs="Times New Roman"/>
                <w:sz w:val="20"/>
                <w:szCs w:val="20"/>
              </w:rPr>
            </w:pPr>
            <w:r w:rsidRPr="00F7263B">
              <w:rPr>
                <w:rFonts w:cs="Times New Roman"/>
                <w:sz w:val="20"/>
                <w:szCs w:val="20"/>
              </w:rPr>
              <w:t>5</w:t>
            </w: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7</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Monitoring and evaluation specialist</w:t>
            </w:r>
          </w:p>
        </w:tc>
        <w:tc>
          <w:tcPr>
            <w:tcW w:w="42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2</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Infrastructure asset management Specialist</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2</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Financial Management specialist (Accountant)</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vMerge/>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Internal Auditor</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vMerge/>
            <w:tcBorders>
              <w:bottom w:val="nil"/>
            </w:tcBorders>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IT Specialist (IBEX)</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tcBorders>
              <w:top w:val="nil"/>
              <w:bottom w:val="nil"/>
            </w:tcBorders>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Revenue Specialist</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tcBorders>
              <w:top w:val="nil"/>
              <w:bottom w:val="nil"/>
            </w:tcBorders>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Municipal Finance Specialist</w:t>
            </w:r>
          </w:p>
        </w:tc>
        <w:tc>
          <w:tcPr>
            <w:tcW w:w="422" w:type="pct"/>
          </w:tcPr>
          <w:p w:rsidR="00DE4F98" w:rsidRPr="00F7263B" w:rsidRDefault="00DE4F98" w:rsidP="00DE4F98">
            <w:pPr>
              <w:ind w:left="-18"/>
              <w:contextualSpacing/>
              <w:rPr>
                <w:rFonts w:cs="Times New Roman"/>
                <w:sz w:val="20"/>
                <w:szCs w:val="20"/>
              </w:rPr>
            </w:pPr>
          </w:p>
        </w:tc>
        <w:tc>
          <w:tcPr>
            <w:tcW w:w="492" w:type="pct"/>
            <w:tcBorders>
              <w:right w:val="single" w:sz="4" w:space="0" w:color="auto"/>
            </w:tcBorders>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tcBorders>
              <w:top w:val="nil"/>
              <w:left w:val="single" w:sz="4" w:space="0" w:color="auto"/>
              <w:bottom w:val="nil"/>
              <w:right w:val="single" w:sz="4" w:space="0" w:color="auto"/>
            </w:tcBorders>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Urban planner</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2</w:t>
            </w:r>
          </w:p>
        </w:tc>
        <w:tc>
          <w:tcPr>
            <w:tcW w:w="1176" w:type="pct"/>
            <w:tcBorders>
              <w:top w:val="nil"/>
              <w:bottom w:val="nil"/>
            </w:tcBorders>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Land management specialist</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2</w:t>
            </w:r>
          </w:p>
        </w:tc>
        <w:tc>
          <w:tcPr>
            <w:tcW w:w="1176" w:type="pct"/>
            <w:tcBorders>
              <w:top w:val="nil"/>
              <w:bottom w:val="nil"/>
            </w:tcBorders>
          </w:tcPr>
          <w:p w:rsidR="00DE4F98" w:rsidRPr="00F7263B" w:rsidRDefault="00DE4F98" w:rsidP="00DE4F98">
            <w:pPr>
              <w:ind w:left="72"/>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6"/>
              </w:numPr>
              <w:ind w:left="72" w:hanging="90"/>
              <w:contextualSpacing/>
              <w:rPr>
                <w:rFonts w:cs="Times New Roman"/>
                <w:sz w:val="20"/>
                <w:szCs w:val="20"/>
              </w:rPr>
            </w:pPr>
          </w:p>
        </w:tc>
        <w:tc>
          <w:tcPr>
            <w:tcW w:w="1527" w:type="pct"/>
          </w:tcPr>
          <w:p w:rsidR="00DE4F98" w:rsidRPr="00F7263B" w:rsidRDefault="00DE4F98" w:rsidP="00DE4F98">
            <w:pPr>
              <w:ind w:left="289"/>
              <w:rPr>
                <w:rFonts w:cs="Times New Roman"/>
                <w:sz w:val="20"/>
                <w:szCs w:val="20"/>
              </w:rPr>
            </w:pPr>
            <w:r w:rsidRPr="00F7263B">
              <w:rPr>
                <w:rFonts w:cs="Times New Roman"/>
                <w:sz w:val="20"/>
                <w:szCs w:val="20"/>
              </w:rPr>
              <w:t>Budget planning and participation specialist</w:t>
            </w:r>
          </w:p>
        </w:tc>
        <w:tc>
          <w:tcPr>
            <w:tcW w:w="422" w:type="pct"/>
          </w:tcPr>
          <w:p w:rsidR="00DE4F98" w:rsidRPr="00F7263B" w:rsidRDefault="00DE4F98" w:rsidP="00DE4F98">
            <w:pPr>
              <w:ind w:left="-18"/>
              <w:contextualSpacing/>
              <w:rPr>
                <w:rFonts w:cs="Times New Roman"/>
                <w:sz w:val="20"/>
                <w:szCs w:val="20"/>
              </w:rPr>
            </w:pPr>
          </w:p>
        </w:tc>
        <w:tc>
          <w:tcPr>
            <w:tcW w:w="492" w:type="pct"/>
          </w:tcPr>
          <w:p w:rsidR="00DE4F98" w:rsidRPr="00F7263B" w:rsidRDefault="00DE4F98" w:rsidP="00DE4F98">
            <w:pPr>
              <w:ind w:left="-18"/>
              <w:contextualSpacing/>
              <w:rPr>
                <w:rFonts w:cs="Times New Roman"/>
                <w:sz w:val="20"/>
                <w:szCs w:val="20"/>
              </w:rPr>
            </w:pPr>
            <w:r w:rsidRPr="00F7263B">
              <w:rPr>
                <w:rFonts w:cs="Times New Roman"/>
                <w:sz w:val="20"/>
                <w:szCs w:val="20"/>
              </w:rPr>
              <w:t>1</w:t>
            </w:r>
          </w:p>
        </w:tc>
        <w:tc>
          <w:tcPr>
            <w:tcW w:w="1176" w:type="pct"/>
            <w:tcBorders>
              <w:top w:val="nil"/>
              <w:bottom w:val="single" w:sz="4" w:space="0" w:color="auto"/>
            </w:tcBorders>
          </w:tcPr>
          <w:p w:rsidR="00DE4F98" w:rsidRPr="00F7263B" w:rsidRDefault="00DE4F98" w:rsidP="00DE4F98">
            <w:pPr>
              <w:ind w:left="72"/>
              <w:contextualSpacing/>
              <w:rPr>
                <w:rFonts w:cs="Times New Roman"/>
                <w:sz w:val="20"/>
                <w:szCs w:val="20"/>
              </w:rPr>
            </w:pPr>
          </w:p>
        </w:tc>
      </w:tr>
      <w:tr w:rsidR="00DE4F98" w:rsidRPr="00F7263B">
        <w:trPr>
          <w:trHeight w:val="323"/>
        </w:trPr>
        <w:tc>
          <w:tcPr>
            <w:tcW w:w="508" w:type="pct"/>
            <w:vMerge w:val="restart"/>
          </w:tcPr>
          <w:p w:rsidR="00DE4F98" w:rsidRPr="00F7263B" w:rsidRDefault="00DE4F98" w:rsidP="0087446B">
            <w:pPr>
              <w:rPr>
                <w:rFonts w:cs="Times New Roman"/>
                <w:b/>
                <w:sz w:val="20"/>
                <w:szCs w:val="20"/>
              </w:rPr>
            </w:pPr>
            <w:r w:rsidRPr="00F7263B">
              <w:rPr>
                <w:rFonts w:cs="Times New Roman"/>
                <w:b/>
                <w:sz w:val="20"/>
                <w:szCs w:val="20"/>
              </w:rPr>
              <w:t xml:space="preserve">Regional </w:t>
            </w:r>
            <w:r w:rsidR="0087446B" w:rsidRPr="00F7263B">
              <w:rPr>
                <w:rFonts w:cs="Times New Roman"/>
                <w:b/>
                <w:sz w:val="20"/>
                <w:szCs w:val="20"/>
              </w:rPr>
              <w:lastRenderedPageBreak/>
              <w:t>mobile t</w:t>
            </w:r>
            <w:r w:rsidRPr="00F7263B">
              <w:rPr>
                <w:rFonts w:cs="Times New Roman"/>
                <w:b/>
                <w:sz w:val="20"/>
                <w:szCs w:val="20"/>
              </w:rPr>
              <w:t>eam</w:t>
            </w:r>
            <w:r w:rsidR="0087446B" w:rsidRPr="00F7263B">
              <w:rPr>
                <w:rFonts w:cs="Times New Roman"/>
                <w:b/>
                <w:sz w:val="20"/>
                <w:szCs w:val="20"/>
              </w:rPr>
              <w:t>s</w:t>
            </w:r>
          </w:p>
        </w:tc>
        <w:tc>
          <w:tcPr>
            <w:tcW w:w="875" w:type="pct"/>
            <w:vMerge w:val="restart"/>
          </w:tcPr>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lastRenderedPageBreak/>
              <w:t xml:space="preserve">Provide </w:t>
            </w:r>
            <w:r w:rsidRPr="00F7263B">
              <w:rPr>
                <w:rFonts w:cs="Times New Roman"/>
                <w:sz w:val="20"/>
                <w:szCs w:val="20"/>
              </w:rPr>
              <w:lastRenderedPageBreak/>
              <w:t>capacity building support to the four host Regions: Amhara, Tigray, Oromia and SNNPR</w:t>
            </w:r>
          </w:p>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Provide capacity building support to participating ULGs in the respective regions, totaling 38 ULGs.</w:t>
            </w:r>
          </w:p>
        </w:tc>
        <w:tc>
          <w:tcPr>
            <w:tcW w:w="2442" w:type="pct"/>
            <w:gridSpan w:val="3"/>
          </w:tcPr>
          <w:p w:rsidR="00DE4F98" w:rsidRPr="00F7263B" w:rsidRDefault="00DE4F98" w:rsidP="00DE4F98">
            <w:pPr>
              <w:rPr>
                <w:rFonts w:cs="Times New Roman"/>
                <w:sz w:val="20"/>
                <w:szCs w:val="20"/>
              </w:rPr>
            </w:pPr>
            <w:r w:rsidRPr="00F7263B">
              <w:rPr>
                <w:rFonts w:cs="Times New Roman"/>
                <w:sz w:val="20"/>
                <w:szCs w:val="20"/>
              </w:rPr>
              <w:lastRenderedPageBreak/>
              <w:t>Four teams of ten specialists each</w:t>
            </w:r>
          </w:p>
        </w:tc>
        <w:tc>
          <w:tcPr>
            <w:tcW w:w="1176" w:type="pct"/>
            <w:vMerge w:val="restart"/>
            <w:tcBorders>
              <w:top w:val="single" w:sz="4" w:space="0" w:color="auto"/>
            </w:tcBorders>
          </w:tcPr>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 xml:space="preserve">One team to be based </w:t>
            </w:r>
            <w:r w:rsidRPr="00F7263B">
              <w:rPr>
                <w:rFonts w:cs="Times New Roman"/>
                <w:sz w:val="20"/>
                <w:szCs w:val="20"/>
              </w:rPr>
              <w:lastRenderedPageBreak/>
              <w:t>in each of the four regions: Amhara, Tigray, Oromia and SNNPR</w:t>
            </w:r>
          </w:p>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Spends three out of four weeks in ULGs, and one week with regional administration</w:t>
            </w:r>
          </w:p>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 xml:space="preserve">Regions to procure, with support from </w:t>
            </w:r>
            <w:r w:rsidR="00E65E2E" w:rsidRPr="00F7263B">
              <w:rPr>
                <w:rFonts w:cs="Times New Roman"/>
                <w:sz w:val="20"/>
                <w:szCs w:val="20"/>
              </w:rPr>
              <w:t>MUDHCo</w:t>
            </w:r>
            <w:r w:rsidRPr="00F7263B">
              <w:rPr>
                <w:rFonts w:cs="Times New Roman"/>
                <w:sz w:val="20"/>
                <w:szCs w:val="20"/>
              </w:rPr>
              <w:t xml:space="preserve"> (for example, nation-wide advertising)</w:t>
            </w:r>
          </w:p>
          <w:p w:rsidR="006E7278" w:rsidRPr="00F7263B" w:rsidRDefault="00DE4F98" w:rsidP="00827BD7">
            <w:pPr>
              <w:numPr>
                <w:ilvl w:val="0"/>
                <w:numId w:val="18"/>
              </w:numPr>
              <w:ind w:left="288" w:hanging="270"/>
              <w:contextualSpacing/>
              <w:rPr>
                <w:rFonts w:eastAsia="Times New Roman" w:cs="Times New Roman"/>
                <w:sz w:val="20"/>
                <w:szCs w:val="20"/>
              </w:rPr>
            </w:pPr>
            <w:r w:rsidRPr="00F7263B">
              <w:rPr>
                <w:rFonts w:cs="Times New Roman"/>
                <w:sz w:val="20"/>
                <w:szCs w:val="20"/>
              </w:rPr>
              <w:t>Teams to be recruited and in place by August 2014.</w:t>
            </w: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rPr>
                <w:rFonts w:cs="Times New Roman"/>
                <w:sz w:val="20"/>
                <w:szCs w:val="20"/>
              </w:rPr>
            </w:pPr>
            <w:r w:rsidRPr="00F7263B">
              <w:rPr>
                <w:rFonts w:cs="Times New Roman"/>
                <w:b/>
                <w:sz w:val="20"/>
                <w:szCs w:val="20"/>
              </w:rPr>
              <w:t>Proposed team composition</w:t>
            </w:r>
            <w:r w:rsidRPr="00F7263B">
              <w:rPr>
                <w:rFonts w:cs="Times New Roman"/>
                <w:sz w:val="20"/>
                <w:szCs w:val="20"/>
              </w:rPr>
              <w: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Budget planning and participation specialist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Procurement specialist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Financial Management Specialist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Internal Auditor</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IT Specialist (IBEX)</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Infrastructure asset management specialist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Environmental management specialist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Social development specialist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Project engineer</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M&amp;E specialist</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Municipal Finance Specialist (with focus on municipal revenue)</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r w:rsidR="00DE4F98" w:rsidRPr="00F7263B">
        <w:tc>
          <w:tcPr>
            <w:tcW w:w="508" w:type="pct"/>
            <w:vMerge/>
          </w:tcPr>
          <w:p w:rsidR="00DE4F98" w:rsidRPr="00F7263B" w:rsidRDefault="00DE4F98" w:rsidP="00DE4F98">
            <w:pPr>
              <w:rPr>
                <w:rFonts w:cs="Times New Roman"/>
                <w:b/>
                <w:sz w:val="20"/>
                <w:szCs w:val="20"/>
              </w:rPr>
            </w:pPr>
          </w:p>
        </w:tc>
        <w:tc>
          <w:tcPr>
            <w:tcW w:w="875" w:type="pct"/>
            <w:vMerge/>
          </w:tcPr>
          <w:p w:rsidR="006E7278" w:rsidRPr="00F7263B" w:rsidRDefault="006E7278" w:rsidP="00827BD7">
            <w:pPr>
              <w:numPr>
                <w:ilvl w:val="0"/>
                <w:numId w:val="15"/>
              </w:numPr>
              <w:ind w:left="72" w:hanging="90"/>
              <w:contextualSpacing/>
              <w:rPr>
                <w:rFonts w:cs="Times New Roman"/>
                <w:sz w:val="20"/>
                <w:szCs w:val="20"/>
              </w:rPr>
            </w:pPr>
          </w:p>
        </w:tc>
        <w:tc>
          <w:tcPr>
            <w:tcW w:w="2442" w:type="pct"/>
            <w:gridSpan w:val="3"/>
          </w:tcPr>
          <w:p w:rsidR="00DE4F98" w:rsidRPr="00F7263B" w:rsidRDefault="00DE4F98" w:rsidP="00DE4F98">
            <w:pPr>
              <w:ind w:left="342"/>
              <w:rPr>
                <w:rFonts w:cs="Times New Roman"/>
                <w:sz w:val="20"/>
                <w:szCs w:val="20"/>
              </w:rPr>
            </w:pPr>
            <w:r w:rsidRPr="00F7263B">
              <w:rPr>
                <w:rFonts w:cs="Times New Roman"/>
                <w:sz w:val="20"/>
                <w:szCs w:val="20"/>
              </w:rPr>
              <w:t>Ethics officer</w:t>
            </w:r>
          </w:p>
        </w:tc>
        <w:tc>
          <w:tcPr>
            <w:tcW w:w="1176" w:type="pct"/>
            <w:vMerge/>
          </w:tcPr>
          <w:p w:rsidR="006E7278" w:rsidRPr="00F7263B" w:rsidRDefault="006E7278" w:rsidP="00827BD7">
            <w:pPr>
              <w:numPr>
                <w:ilvl w:val="0"/>
                <w:numId w:val="15"/>
              </w:numPr>
              <w:ind w:left="72" w:hanging="90"/>
              <w:contextualSpacing/>
              <w:rPr>
                <w:rFonts w:cs="Times New Roman"/>
                <w:sz w:val="20"/>
                <w:szCs w:val="20"/>
              </w:rPr>
            </w:pPr>
          </w:p>
        </w:tc>
      </w:tr>
    </w:tbl>
    <w:p w:rsidR="000367FB" w:rsidRPr="00F7263B" w:rsidRDefault="000367FB" w:rsidP="00556F1B">
      <w:pPr>
        <w:pStyle w:val="ListParagraph"/>
        <w:ind w:left="90"/>
        <w:jc w:val="both"/>
        <w:rPr>
          <w:sz w:val="20"/>
          <w:szCs w:val="20"/>
        </w:rPr>
      </w:pPr>
    </w:p>
    <w:p w:rsidR="00266F9B" w:rsidRPr="00F7263B" w:rsidRDefault="00266F9B" w:rsidP="00266F9B">
      <w:pPr>
        <w:pStyle w:val="ListParagraph"/>
        <w:ind w:left="0"/>
        <w:rPr>
          <w:i/>
          <w:sz w:val="20"/>
          <w:szCs w:val="20"/>
        </w:rPr>
      </w:pPr>
      <w:r w:rsidRPr="00F7263B">
        <w:rPr>
          <w:i/>
          <w:sz w:val="20"/>
          <w:szCs w:val="20"/>
        </w:rPr>
        <w:t>Capacity building for ULGs</w:t>
      </w:r>
    </w:p>
    <w:p w:rsidR="00266F9B" w:rsidRPr="00F7263B" w:rsidRDefault="00266F9B" w:rsidP="00266F9B">
      <w:pPr>
        <w:pStyle w:val="ListParagraph"/>
        <w:ind w:left="0"/>
        <w:rPr>
          <w:sz w:val="20"/>
          <w:szCs w:val="20"/>
        </w:rPr>
      </w:pPr>
    </w:p>
    <w:p w:rsidR="00266F9B" w:rsidRPr="00F7263B" w:rsidRDefault="00266F9B" w:rsidP="00266F9B">
      <w:pPr>
        <w:pStyle w:val="ListParagraph"/>
        <w:ind w:left="0"/>
        <w:rPr>
          <w:smallCaps/>
          <w:sz w:val="20"/>
          <w:szCs w:val="20"/>
        </w:rPr>
      </w:pPr>
      <w:r w:rsidRPr="00F7263B">
        <w:rPr>
          <w:smallCaps/>
          <w:sz w:val="20"/>
          <w:szCs w:val="20"/>
        </w:rPr>
        <w:t xml:space="preserve">New urban management course </w:t>
      </w:r>
    </w:p>
    <w:p w:rsidR="00266F9B" w:rsidRPr="00F7263B" w:rsidRDefault="00266F9B" w:rsidP="00266F9B">
      <w:pPr>
        <w:pStyle w:val="ListParagraph"/>
        <w:ind w:left="0"/>
        <w:rPr>
          <w:smallCaps/>
          <w:sz w:val="20"/>
          <w:szCs w:val="20"/>
        </w:rPr>
      </w:pPr>
    </w:p>
    <w:p w:rsidR="004E5FF1" w:rsidRPr="00F7263B" w:rsidRDefault="004E5FF1" w:rsidP="00827BD7">
      <w:pPr>
        <w:pStyle w:val="ListParagraph"/>
        <w:numPr>
          <w:ilvl w:val="0"/>
          <w:numId w:val="29"/>
        </w:numPr>
        <w:ind w:left="0" w:firstLine="0"/>
        <w:jc w:val="both"/>
        <w:rPr>
          <w:b/>
          <w:sz w:val="20"/>
          <w:szCs w:val="20"/>
        </w:rPr>
      </w:pPr>
      <w:r w:rsidRPr="00F7263B">
        <w:rPr>
          <w:b/>
          <w:sz w:val="20"/>
          <w:szCs w:val="20"/>
        </w:rPr>
        <w:t>Under</w:t>
      </w:r>
      <w:r w:rsidR="00CA2DEB" w:rsidRPr="00F7263B">
        <w:rPr>
          <w:b/>
          <w:sz w:val="20"/>
          <w:szCs w:val="20"/>
        </w:rPr>
        <w:t xml:space="preserve">the </w:t>
      </w:r>
      <w:r w:rsidRPr="00F7263B">
        <w:rPr>
          <w:b/>
          <w:sz w:val="20"/>
          <w:szCs w:val="20"/>
        </w:rPr>
        <w:t>ULGDPII, capacity building for ULGs will comprise both supply side and demand side interventions.</w:t>
      </w:r>
      <w:r w:rsidRPr="00F7263B">
        <w:rPr>
          <w:sz w:val="20"/>
          <w:szCs w:val="20"/>
        </w:rPr>
        <w:t xml:space="preserve">The supply side intervention will mainly </w:t>
      </w:r>
      <w:r w:rsidR="00CA2DEB" w:rsidRPr="00F7263B">
        <w:rPr>
          <w:sz w:val="20"/>
          <w:szCs w:val="20"/>
        </w:rPr>
        <w:t>comprise</w:t>
      </w:r>
      <w:r w:rsidRPr="00F7263B">
        <w:rPr>
          <w:sz w:val="20"/>
          <w:szCs w:val="20"/>
        </w:rPr>
        <w:t xml:space="preserve">an ULGDP II </w:t>
      </w:r>
      <w:r w:rsidR="009D00C4" w:rsidRPr="00F7263B">
        <w:rPr>
          <w:sz w:val="20"/>
          <w:szCs w:val="20"/>
        </w:rPr>
        <w:t>i</w:t>
      </w:r>
      <w:r w:rsidRPr="00F7263B">
        <w:rPr>
          <w:sz w:val="20"/>
          <w:szCs w:val="20"/>
        </w:rPr>
        <w:t>mplementation course to be provided by the Ethiopian Civil Service University (ECSU).  The course content will be based on those key areas of ULGDP II implementation with a strong emphasis on the practitioners at the ULG level. The target group for the capacity building will be the key individuals responsible for ULGDP II implementation in the 26 ULGs participating fully for the first time in the ULGDP</w:t>
      </w:r>
      <w:r w:rsidR="007305E9" w:rsidRPr="00F7263B">
        <w:rPr>
          <w:sz w:val="20"/>
          <w:szCs w:val="20"/>
        </w:rPr>
        <w:t>.</w:t>
      </w:r>
      <w:r w:rsidRPr="00F7263B">
        <w:rPr>
          <w:sz w:val="20"/>
          <w:szCs w:val="20"/>
        </w:rPr>
        <w:t xml:space="preserve">  The proposed design of this course comprises eight modules: (a) procurement and contract management (</w:t>
      </w:r>
      <w:r w:rsidR="007305E9" w:rsidRPr="00F7263B">
        <w:rPr>
          <w:sz w:val="20"/>
          <w:szCs w:val="20"/>
        </w:rPr>
        <w:t>two</w:t>
      </w:r>
      <w:r w:rsidRPr="00F7263B">
        <w:rPr>
          <w:sz w:val="20"/>
          <w:szCs w:val="20"/>
        </w:rPr>
        <w:t xml:space="preserve">weeks), (b) </w:t>
      </w:r>
      <w:r w:rsidRPr="00F7263B">
        <w:rPr>
          <w:sz w:val="20"/>
          <w:szCs w:val="20"/>
          <w:lang w:eastAsia="ja-JP"/>
        </w:rPr>
        <w:t>participatory planning, capital investment planning, budgeting and financial management (</w:t>
      </w:r>
      <w:r w:rsidR="007305E9" w:rsidRPr="00F7263B">
        <w:rPr>
          <w:sz w:val="20"/>
          <w:szCs w:val="20"/>
          <w:lang w:eastAsia="ja-JP"/>
        </w:rPr>
        <w:t>two</w:t>
      </w:r>
      <w:r w:rsidRPr="00F7263B">
        <w:rPr>
          <w:sz w:val="20"/>
          <w:szCs w:val="20"/>
          <w:lang w:eastAsia="ja-JP"/>
        </w:rPr>
        <w:t>weeks), (c) monitoring and evaluation, reporting, performance assessment systems, records keeping and IT (</w:t>
      </w:r>
      <w:r w:rsidR="007305E9" w:rsidRPr="00F7263B">
        <w:rPr>
          <w:sz w:val="20"/>
          <w:szCs w:val="20"/>
          <w:lang w:eastAsia="ja-JP"/>
        </w:rPr>
        <w:t>two</w:t>
      </w:r>
      <w:r w:rsidRPr="00F7263B">
        <w:rPr>
          <w:sz w:val="20"/>
          <w:szCs w:val="20"/>
          <w:lang w:eastAsia="ja-JP"/>
        </w:rPr>
        <w:t xml:space="preserve">weeks), (d) </w:t>
      </w:r>
      <w:r w:rsidRPr="00F7263B">
        <w:rPr>
          <w:rFonts w:cs="Times New Roman"/>
          <w:sz w:val="20"/>
          <w:szCs w:val="20"/>
        </w:rPr>
        <w:t>environmental</w:t>
      </w:r>
      <w:r w:rsidRPr="00F7263B">
        <w:rPr>
          <w:sz w:val="20"/>
          <w:szCs w:val="20"/>
          <w:lang w:eastAsia="ja-JP"/>
        </w:rPr>
        <w:t xml:space="preserve"> and social safeguards including fraud and anti-corruption (</w:t>
      </w:r>
      <w:r w:rsidR="007305E9" w:rsidRPr="00F7263B">
        <w:rPr>
          <w:sz w:val="20"/>
          <w:szCs w:val="20"/>
          <w:lang w:eastAsia="ja-JP"/>
        </w:rPr>
        <w:t>one</w:t>
      </w:r>
      <w:r w:rsidRPr="00F7263B">
        <w:rPr>
          <w:sz w:val="20"/>
          <w:szCs w:val="20"/>
          <w:lang w:eastAsia="ja-JP"/>
        </w:rPr>
        <w:t>week), (e) asset management including O&amp;M (</w:t>
      </w:r>
      <w:r w:rsidR="007305E9" w:rsidRPr="00F7263B">
        <w:rPr>
          <w:sz w:val="20"/>
          <w:szCs w:val="20"/>
          <w:lang w:eastAsia="ja-JP"/>
        </w:rPr>
        <w:t>one</w:t>
      </w:r>
      <w:r w:rsidRPr="00F7263B">
        <w:rPr>
          <w:sz w:val="20"/>
          <w:szCs w:val="20"/>
          <w:lang w:eastAsia="ja-JP"/>
        </w:rPr>
        <w:t xml:space="preserve"> week), (f) revenue enhancement including land leasing (</w:t>
      </w:r>
      <w:r w:rsidR="007305E9" w:rsidRPr="00F7263B">
        <w:rPr>
          <w:sz w:val="20"/>
          <w:szCs w:val="20"/>
          <w:lang w:eastAsia="ja-JP"/>
        </w:rPr>
        <w:t>one</w:t>
      </w:r>
      <w:r w:rsidRPr="00F7263B">
        <w:rPr>
          <w:sz w:val="20"/>
          <w:szCs w:val="20"/>
          <w:lang w:eastAsia="ja-JP"/>
        </w:rPr>
        <w:t xml:space="preserve"> week), (g) </w:t>
      </w:r>
      <w:r w:rsidRPr="00F7263B">
        <w:rPr>
          <w:rFonts w:cs="Times New Roman"/>
          <w:sz w:val="20"/>
          <w:szCs w:val="20"/>
        </w:rPr>
        <w:t>job creation, micro and small enterprise development (</w:t>
      </w:r>
      <w:r w:rsidR="007305E9" w:rsidRPr="00F7263B">
        <w:rPr>
          <w:rFonts w:cs="Times New Roman"/>
          <w:sz w:val="20"/>
          <w:szCs w:val="20"/>
        </w:rPr>
        <w:t>one</w:t>
      </w:r>
      <w:r w:rsidRPr="00F7263B">
        <w:rPr>
          <w:rFonts w:cs="Times New Roman"/>
          <w:sz w:val="20"/>
          <w:szCs w:val="20"/>
        </w:rPr>
        <w:t xml:space="preserve"> week)</w:t>
      </w:r>
      <w:r w:rsidRPr="00F7263B">
        <w:rPr>
          <w:sz w:val="20"/>
          <w:szCs w:val="20"/>
          <w:lang w:eastAsia="ja-JP"/>
        </w:rPr>
        <w:t>, and (h) urban planning and land management (</w:t>
      </w:r>
      <w:r w:rsidR="007305E9" w:rsidRPr="00F7263B">
        <w:rPr>
          <w:sz w:val="20"/>
          <w:szCs w:val="20"/>
          <w:lang w:eastAsia="ja-JP"/>
        </w:rPr>
        <w:t>one</w:t>
      </w:r>
      <w:r w:rsidRPr="00F7263B">
        <w:rPr>
          <w:sz w:val="20"/>
          <w:szCs w:val="20"/>
          <w:lang w:eastAsia="ja-JP"/>
        </w:rPr>
        <w:t xml:space="preserve"> week).</w:t>
      </w:r>
      <w:r w:rsidR="007305E9" w:rsidRPr="00F7263B">
        <w:rPr>
          <w:rStyle w:val="FootnoteReference"/>
          <w:sz w:val="20"/>
          <w:szCs w:val="20"/>
          <w:lang w:eastAsia="ja-JP"/>
        </w:rPr>
        <w:footnoteReference w:id="27"/>
      </w:r>
      <w:r w:rsidRPr="00F7263B">
        <w:rPr>
          <w:sz w:val="20"/>
          <w:szCs w:val="20"/>
        </w:rPr>
        <w:t xml:space="preserve">The eight modules will be delivered through resident training at the ECSU of 1 or 2 weeks in duration as indicated above.  The eight packages will be offered over a period of four or five months during the first </w:t>
      </w:r>
      <w:r w:rsidR="007305E9" w:rsidRPr="00F7263B">
        <w:rPr>
          <w:sz w:val="20"/>
          <w:szCs w:val="20"/>
        </w:rPr>
        <w:t>six</w:t>
      </w:r>
      <w:r w:rsidRPr="00F7263B">
        <w:rPr>
          <w:sz w:val="20"/>
          <w:szCs w:val="20"/>
        </w:rPr>
        <w:t xml:space="preserve"> months of ULGDP II implementation </w:t>
      </w:r>
      <w:r w:rsidR="007305E9" w:rsidRPr="00F7263B">
        <w:rPr>
          <w:sz w:val="20"/>
          <w:szCs w:val="20"/>
        </w:rPr>
        <w:t>(</w:t>
      </w:r>
      <w:r w:rsidRPr="00F7263B">
        <w:rPr>
          <w:sz w:val="20"/>
          <w:szCs w:val="20"/>
        </w:rPr>
        <w:t>August</w:t>
      </w:r>
      <w:r w:rsidR="007305E9" w:rsidRPr="00F7263B">
        <w:rPr>
          <w:sz w:val="20"/>
          <w:szCs w:val="20"/>
        </w:rPr>
        <w:t xml:space="preserve"> 1 to </w:t>
      </w:r>
      <w:r w:rsidRPr="00F7263B">
        <w:rPr>
          <w:sz w:val="20"/>
          <w:szCs w:val="20"/>
        </w:rPr>
        <w:t>December</w:t>
      </w:r>
      <w:r w:rsidR="007305E9" w:rsidRPr="00F7263B">
        <w:rPr>
          <w:sz w:val="20"/>
          <w:szCs w:val="20"/>
        </w:rPr>
        <w:t xml:space="preserve"> 31,</w:t>
      </w:r>
      <w:r w:rsidRPr="00F7263B">
        <w:rPr>
          <w:sz w:val="20"/>
          <w:szCs w:val="20"/>
        </w:rPr>
        <w:t xml:space="preserve"> 2014</w:t>
      </w:r>
      <w:r w:rsidR="007305E9" w:rsidRPr="00F7263B">
        <w:rPr>
          <w:sz w:val="20"/>
          <w:szCs w:val="20"/>
        </w:rPr>
        <w:t>)</w:t>
      </w:r>
      <w:r w:rsidRPr="00F7263B">
        <w:rPr>
          <w:sz w:val="20"/>
          <w:szCs w:val="20"/>
        </w:rPr>
        <w:t xml:space="preserve"> and are separated so as not to impose too great an administrative burden on the citie</w:t>
      </w:r>
      <w:r w:rsidR="00CA2DEB" w:rsidRPr="00F7263B">
        <w:rPr>
          <w:sz w:val="20"/>
          <w:szCs w:val="20"/>
        </w:rPr>
        <w:t>s.</w:t>
      </w:r>
    </w:p>
    <w:p w:rsidR="00205AB8" w:rsidRPr="00F7263B" w:rsidRDefault="00205AB8" w:rsidP="00075199">
      <w:pPr>
        <w:pStyle w:val="ListParagraph"/>
        <w:ind w:left="0"/>
        <w:rPr>
          <w:smallCaps/>
          <w:sz w:val="20"/>
          <w:szCs w:val="20"/>
        </w:rPr>
      </w:pPr>
    </w:p>
    <w:p w:rsidR="006E7278" w:rsidRPr="00F7263B" w:rsidRDefault="007305E9" w:rsidP="00E9566D">
      <w:pPr>
        <w:pStyle w:val="ListParagraph"/>
        <w:numPr>
          <w:ilvl w:val="0"/>
          <w:numId w:val="29"/>
        </w:numPr>
        <w:ind w:left="0" w:firstLine="0"/>
        <w:jc w:val="both"/>
        <w:rPr>
          <w:b/>
          <w:sz w:val="20"/>
          <w:szCs w:val="20"/>
        </w:rPr>
      </w:pPr>
      <w:r w:rsidRPr="00F7263B">
        <w:rPr>
          <w:b/>
          <w:sz w:val="20"/>
          <w:szCs w:val="20"/>
        </w:rPr>
        <w:t>Key urban staff of t</w:t>
      </w:r>
      <w:r w:rsidR="001B5C44" w:rsidRPr="00F7263B">
        <w:rPr>
          <w:b/>
          <w:sz w:val="20"/>
          <w:szCs w:val="20"/>
        </w:rPr>
        <w:t xml:space="preserve">he 26 ULGs joining the ULGDP II </w:t>
      </w:r>
      <w:r w:rsidRPr="00F7263B">
        <w:rPr>
          <w:b/>
          <w:sz w:val="20"/>
          <w:szCs w:val="20"/>
        </w:rPr>
        <w:t xml:space="preserve">will be expected to </w:t>
      </w:r>
      <w:r w:rsidR="002665C1" w:rsidRPr="00F7263B">
        <w:rPr>
          <w:b/>
          <w:sz w:val="20"/>
          <w:szCs w:val="20"/>
        </w:rPr>
        <w:t xml:space="preserve">complete the course in urban management </w:t>
      </w:r>
      <w:r w:rsidR="001B5C44" w:rsidRPr="00F7263B">
        <w:rPr>
          <w:b/>
          <w:sz w:val="20"/>
          <w:szCs w:val="20"/>
        </w:rPr>
        <w:t>to ensure a basic level of capacity for these new ULGs.</w:t>
      </w:r>
      <w:r w:rsidR="001B5C44" w:rsidRPr="00F7263B">
        <w:rPr>
          <w:sz w:val="20"/>
          <w:szCs w:val="20"/>
        </w:rPr>
        <w:t xml:space="preserve">  The MUDHC</w:t>
      </w:r>
      <w:r w:rsidR="002665C1" w:rsidRPr="00F7263B">
        <w:rPr>
          <w:sz w:val="20"/>
          <w:szCs w:val="20"/>
        </w:rPr>
        <w:t>o</w:t>
      </w:r>
      <w:r w:rsidR="001B5C44" w:rsidRPr="00F7263B">
        <w:rPr>
          <w:sz w:val="20"/>
          <w:szCs w:val="20"/>
        </w:rPr>
        <w:t xml:space="preserve"> will pay the costs for staff of these 26 ULGs to attend this </w:t>
      </w:r>
      <w:r w:rsidR="001B5C44" w:rsidRPr="00F7263B">
        <w:rPr>
          <w:rFonts w:cs="Times New Roman"/>
          <w:sz w:val="20"/>
          <w:szCs w:val="20"/>
        </w:rPr>
        <w:t>one</w:t>
      </w:r>
      <w:r w:rsidR="001B5C44" w:rsidRPr="00F7263B">
        <w:rPr>
          <w:sz w:val="20"/>
          <w:szCs w:val="20"/>
        </w:rPr>
        <w:t>-time course</w:t>
      </w:r>
      <w:r w:rsidR="002665C1" w:rsidRPr="00F7263B">
        <w:rPr>
          <w:sz w:val="20"/>
          <w:szCs w:val="20"/>
        </w:rPr>
        <w:t xml:space="preserve">.  </w:t>
      </w:r>
      <w:r w:rsidR="001B5C44" w:rsidRPr="00F7263B">
        <w:rPr>
          <w:sz w:val="20"/>
          <w:szCs w:val="20"/>
        </w:rPr>
        <w:t xml:space="preserve">After the first run, if refresher courses are </w:t>
      </w:r>
      <w:r w:rsidR="001B5C44" w:rsidRPr="00F7263B">
        <w:rPr>
          <w:sz w:val="20"/>
          <w:szCs w:val="20"/>
          <w:lang w:eastAsia="ja-JP"/>
        </w:rPr>
        <w:t>needed</w:t>
      </w:r>
      <w:r w:rsidR="001B5C44" w:rsidRPr="00F7263B">
        <w:rPr>
          <w:sz w:val="20"/>
          <w:szCs w:val="20"/>
        </w:rPr>
        <w:t xml:space="preserve">, the 26 ULGs can send officials for further training at their own cost (or from the funding for demand-based capacity building).  The course will be optional for staff of the 18 cities currently participating in the ULGDP, but can serve as a refresher or for new staff in the ULGs.  These 18 ULGs can use their own resources to attend any or all of the modules.  </w:t>
      </w:r>
    </w:p>
    <w:p w:rsidR="00205AB8" w:rsidRPr="00F7263B" w:rsidRDefault="00205AB8" w:rsidP="00075199">
      <w:pPr>
        <w:pStyle w:val="ListParagraph"/>
        <w:ind w:left="0"/>
        <w:rPr>
          <w:smallCaps/>
          <w:sz w:val="20"/>
          <w:szCs w:val="20"/>
        </w:rPr>
      </w:pPr>
    </w:p>
    <w:p w:rsidR="004E5FF1" w:rsidRPr="00F7263B" w:rsidRDefault="004E5FF1" w:rsidP="00E9566D">
      <w:pPr>
        <w:pStyle w:val="ListParagraph"/>
        <w:numPr>
          <w:ilvl w:val="0"/>
          <w:numId w:val="29"/>
        </w:numPr>
        <w:ind w:left="0" w:firstLine="0"/>
        <w:jc w:val="both"/>
        <w:rPr>
          <w:b/>
          <w:sz w:val="20"/>
          <w:szCs w:val="20"/>
        </w:rPr>
      </w:pPr>
      <w:r w:rsidRPr="00F7263B">
        <w:rPr>
          <w:b/>
          <w:sz w:val="20"/>
          <w:szCs w:val="20"/>
        </w:rPr>
        <w:t>It is envisioned that the MUDHC will be the main facilitator to put the course in place.</w:t>
      </w:r>
      <w:r w:rsidRPr="00F7263B">
        <w:rPr>
          <w:sz w:val="20"/>
          <w:szCs w:val="20"/>
        </w:rPr>
        <w:t xml:space="preserve">  This will involve inviting ECSU to submit a proposal, based on a course outline provided by MUDHCo. The course outline will </w:t>
      </w:r>
      <w:r w:rsidR="002665C1" w:rsidRPr="00F7263B">
        <w:rPr>
          <w:sz w:val="20"/>
          <w:szCs w:val="20"/>
        </w:rPr>
        <w:t>(</w:t>
      </w:r>
      <w:r w:rsidRPr="00F7263B">
        <w:rPr>
          <w:sz w:val="20"/>
          <w:szCs w:val="20"/>
        </w:rPr>
        <w:t>a) describe the eight modules and their duration indicated above</w:t>
      </w:r>
      <w:r w:rsidR="002665C1" w:rsidRPr="00F7263B">
        <w:rPr>
          <w:sz w:val="20"/>
          <w:szCs w:val="20"/>
        </w:rPr>
        <w:t xml:space="preserve">.  </w:t>
      </w:r>
      <w:r w:rsidRPr="00F7263B">
        <w:rPr>
          <w:sz w:val="20"/>
          <w:szCs w:val="20"/>
        </w:rPr>
        <w:t xml:space="preserve">MUDHCo will work with ULGs to identify course participants.  ECSU will be responsible for submitting a proposal to MUDHCo that describes the course design (including approach to delivery), course materials, system for certifying participants who successfully </w:t>
      </w:r>
      <w:r w:rsidRPr="00F7263B">
        <w:rPr>
          <w:sz w:val="20"/>
          <w:szCs w:val="20"/>
        </w:rPr>
        <w:lastRenderedPageBreak/>
        <w:t>complete the course, individuals responsible for delivery of the eight modules</w:t>
      </w:r>
      <w:r w:rsidR="002665C1" w:rsidRPr="00F7263B">
        <w:rPr>
          <w:sz w:val="20"/>
          <w:szCs w:val="20"/>
        </w:rPr>
        <w:t>.</w:t>
      </w:r>
      <w:r w:rsidR="002665C1" w:rsidRPr="00F7263B">
        <w:rPr>
          <w:rStyle w:val="FootnoteReference"/>
          <w:sz w:val="20"/>
          <w:szCs w:val="20"/>
        </w:rPr>
        <w:footnoteReference w:id="28"/>
      </w:r>
      <w:r w:rsidRPr="00F7263B">
        <w:rPr>
          <w:sz w:val="20"/>
          <w:szCs w:val="20"/>
        </w:rPr>
        <w:t xml:space="preserve">MUDHCo will enter into an agreement with ECSU for delivery of the course. To enable broader outreach, administration of this urban management course </w:t>
      </w:r>
      <w:r w:rsidR="002665C1" w:rsidRPr="00F7263B">
        <w:rPr>
          <w:sz w:val="20"/>
          <w:szCs w:val="20"/>
        </w:rPr>
        <w:t>may also be provided</w:t>
      </w:r>
      <w:r w:rsidRPr="00F7263B">
        <w:rPr>
          <w:sz w:val="20"/>
          <w:szCs w:val="20"/>
        </w:rPr>
        <w:t xml:space="preserve"> by </w:t>
      </w:r>
      <w:r w:rsidR="002665C1" w:rsidRPr="00F7263B">
        <w:rPr>
          <w:sz w:val="20"/>
          <w:szCs w:val="20"/>
        </w:rPr>
        <w:t xml:space="preserve">other </w:t>
      </w:r>
      <w:r w:rsidRPr="00F7263B">
        <w:rPr>
          <w:sz w:val="20"/>
          <w:szCs w:val="20"/>
        </w:rPr>
        <w:t>appropriate in the future</w:t>
      </w:r>
      <w:r w:rsidR="002665C1" w:rsidRPr="00F7263B">
        <w:rPr>
          <w:sz w:val="20"/>
          <w:szCs w:val="20"/>
        </w:rPr>
        <w:t xml:space="preserve">. </w:t>
      </w:r>
    </w:p>
    <w:p w:rsidR="00713BB0" w:rsidRPr="00F7263B" w:rsidRDefault="00713BB0" w:rsidP="0068255C">
      <w:pPr>
        <w:pStyle w:val="ListParagraph"/>
        <w:rPr>
          <w:b/>
          <w:sz w:val="20"/>
          <w:szCs w:val="20"/>
        </w:rPr>
      </w:pPr>
    </w:p>
    <w:p w:rsidR="006D1A95" w:rsidRPr="00F7263B" w:rsidRDefault="006D1A95" w:rsidP="006D1A95">
      <w:pPr>
        <w:rPr>
          <w:smallCaps/>
          <w:sz w:val="20"/>
          <w:szCs w:val="20"/>
        </w:rPr>
      </w:pPr>
      <w:r w:rsidRPr="00F7263B">
        <w:rPr>
          <w:smallCaps/>
          <w:sz w:val="20"/>
          <w:szCs w:val="20"/>
        </w:rPr>
        <w:t>Demand-driven capacity building for ULGs</w:t>
      </w:r>
    </w:p>
    <w:p w:rsidR="007B6DA5" w:rsidRPr="00F7263B" w:rsidRDefault="007B6DA5" w:rsidP="00075199">
      <w:pPr>
        <w:pStyle w:val="ListParagraph"/>
        <w:ind w:left="0"/>
        <w:rPr>
          <w:smallCaps/>
          <w:sz w:val="20"/>
          <w:szCs w:val="20"/>
        </w:rPr>
      </w:pPr>
    </w:p>
    <w:p w:rsidR="006E7278" w:rsidRPr="00F7263B" w:rsidRDefault="006D1A95" w:rsidP="00827BD7">
      <w:pPr>
        <w:pStyle w:val="ListParagraph"/>
        <w:numPr>
          <w:ilvl w:val="0"/>
          <w:numId w:val="29"/>
        </w:numPr>
        <w:ind w:left="0" w:firstLine="0"/>
        <w:jc w:val="both"/>
        <w:rPr>
          <w:sz w:val="20"/>
          <w:szCs w:val="20"/>
        </w:rPr>
      </w:pPr>
      <w:r w:rsidRPr="00F7263B">
        <w:rPr>
          <w:b/>
          <w:sz w:val="20"/>
          <w:szCs w:val="20"/>
        </w:rPr>
        <w:t xml:space="preserve">In addition to the supply side interventions described above, each ULG will be able to spend up to 5 percent of </w:t>
      </w:r>
      <w:r w:rsidR="00161D92" w:rsidRPr="00F7263B">
        <w:rPr>
          <w:b/>
          <w:sz w:val="20"/>
          <w:szCs w:val="20"/>
        </w:rPr>
        <w:t>performance-based grants</w:t>
      </w:r>
      <w:r w:rsidRPr="00F7263B">
        <w:rPr>
          <w:b/>
          <w:sz w:val="20"/>
          <w:szCs w:val="20"/>
        </w:rPr>
        <w:t xml:space="preserve"> on specific capacity building activities.</w:t>
      </w:r>
      <w:r w:rsidRPr="00F7263B">
        <w:rPr>
          <w:sz w:val="20"/>
          <w:szCs w:val="20"/>
        </w:rPr>
        <w:t xml:space="preserve">This will allow ULGs to meet their specific capacity building needs, especially in response to key areas of weaknesses </w:t>
      </w:r>
      <w:r w:rsidRPr="00F7263B">
        <w:rPr>
          <w:rFonts w:cs="Times New Roman"/>
          <w:sz w:val="20"/>
          <w:szCs w:val="20"/>
        </w:rPr>
        <w:t>identified</w:t>
      </w:r>
      <w:r w:rsidRPr="00F7263B">
        <w:rPr>
          <w:sz w:val="20"/>
          <w:szCs w:val="20"/>
        </w:rPr>
        <w:t xml:space="preserve"> in the annual performance assessment.  This demand-based approach</w:t>
      </w:r>
      <w:r w:rsidR="00986734" w:rsidRPr="00F7263B">
        <w:rPr>
          <w:sz w:val="20"/>
          <w:szCs w:val="20"/>
        </w:rPr>
        <w:t xml:space="preserve">, which is new under the ULGDP II, </w:t>
      </w:r>
      <w:r w:rsidRPr="00F7263B">
        <w:rPr>
          <w:sz w:val="20"/>
          <w:szCs w:val="20"/>
        </w:rPr>
        <w:t>will allow flexibility and cater to the varying needs of each ULG.  Each ULG will procure its own training and other services in line with government procurement guidelines and using providers from the pre-qualified lists of relevant ministries and trainers and institutes that have been certified or accredited by the government.  In addition, Ethiopia has a robust private market to offer technical assistance and consultancy services to the ULGs on various urban infrastructure and service areas such as water supply, drainage and flood control, roads, building, urban planning, waste collection and disposal, urban transport management, and the like.</w:t>
      </w:r>
    </w:p>
    <w:p w:rsidR="00205AB8" w:rsidRPr="00F7263B" w:rsidRDefault="00205AB8" w:rsidP="00607293">
      <w:pPr>
        <w:pStyle w:val="ListParagraph"/>
        <w:ind w:left="0"/>
        <w:rPr>
          <w:sz w:val="20"/>
          <w:szCs w:val="20"/>
        </w:rPr>
      </w:pPr>
    </w:p>
    <w:p w:rsidR="006E7278" w:rsidRPr="00F7263B" w:rsidRDefault="001D5AF7" w:rsidP="00827BD7">
      <w:pPr>
        <w:pStyle w:val="ListParagraph"/>
        <w:numPr>
          <w:ilvl w:val="0"/>
          <w:numId w:val="29"/>
        </w:numPr>
        <w:ind w:left="0" w:firstLine="0"/>
        <w:jc w:val="both"/>
        <w:rPr>
          <w:sz w:val="20"/>
          <w:szCs w:val="20"/>
        </w:rPr>
      </w:pPr>
      <w:r w:rsidRPr="00F7263B">
        <w:rPr>
          <w:b/>
          <w:sz w:val="20"/>
          <w:szCs w:val="20"/>
        </w:rPr>
        <w:t>The ULGs will be required to develop a capacity building plan for the use of funds, formulated on the same timing cycle as their physical plans.</w:t>
      </w:r>
      <w:r w:rsidRPr="00F7263B">
        <w:rPr>
          <w:sz w:val="20"/>
          <w:szCs w:val="20"/>
        </w:rPr>
        <w:t xml:space="preserve">The capacity building plan, reportingand feedback will use the standard format elaborated in the </w:t>
      </w:r>
      <w:r w:rsidR="007414BF" w:rsidRPr="00F7263B">
        <w:rPr>
          <w:sz w:val="20"/>
          <w:szCs w:val="20"/>
        </w:rPr>
        <w:t>Operational Manual</w:t>
      </w:r>
      <w:r w:rsidRPr="00F7263B">
        <w:rPr>
          <w:sz w:val="20"/>
          <w:szCs w:val="20"/>
        </w:rPr>
        <w:t xml:space="preserve">.  ULGs will be required to report on a quarterly basis on progress with capacity building activities and use of </w:t>
      </w:r>
      <w:r w:rsidRPr="00F7263B">
        <w:rPr>
          <w:rFonts w:cs="Times New Roman"/>
          <w:sz w:val="20"/>
          <w:szCs w:val="20"/>
        </w:rPr>
        <w:t>funds</w:t>
      </w:r>
      <w:r w:rsidRPr="00F7263B">
        <w:rPr>
          <w:sz w:val="20"/>
          <w:szCs w:val="20"/>
        </w:rPr>
        <w:t>.  Each regional BUD regional mobile teams will oversee the preparation and execution of these annual capacity building plans.  The annual performance assessment will verify the execution of the capacity building plans.</w:t>
      </w:r>
    </w:p>
    <w:p w:rsidR="00205AB8" w:rsidRPr="00F7263B" w:rsidRDefault="00205AB8" w:rsidP="00607293">
      <w:pPr>
        <w:pStyle w:val="ListParagraph"/>
        <w:ind w:left="0"/>
        <w:jc w:val="both"/>
        <w:rPr>
          <w:sz w:val="20"/>
          <w:szCs w:val="20"/>
        </w:rPr>
      </w:pPr>
    </w:p>
    <w:p w:rsidR="006E7278" w:rsidRPr="00F7263B" w:rsidRDefault="001D5AF7" w:rsidP="00E9566D">
      <w:pPr>
        <w:pStyle w:val="ListParagraph"/>
        <w:numPr>
          <w:ilvl w:val="0"/>
          <w:numId w:val="29"/>
        </w:numPr>
        <w:ind w:left="0" w:firstLine="0"/>
        <w:jc w:val="both"/>
        <w:rPr>
          <w:sz w:val="20"/>
          <w:szCs w:val="20"/>
        </w:rPr>
      </w:pPr>
      <w:r w:rsidRPr="00F7263B">
        <w:rPr>
          <w:b/>
          <w:sz w:val="20"/>
          <w:szCs w:val="20"/>
        </w:rPr>
        <w:t>The capacity building activities to be funded should adhere to the prescribed capacity buildingactivities menu</w:t>
      </w:r>
      <w:r w:rsidRPr="00F7263B">
        <w:rPr>
          <w:sz w:val="20"/>
          <w:szCs w:val="20"/>
        </w:rPr>
        <w:t xml:space="preserve"> (as detailed in the table below).  Generally, these funds can be used for technical consultant work, backstopping support, advisory support, training, minor equipment and contract staff.  Items such as vehicles and administration building</w:t>
      </w:r>
      <w:r w:rsidR="00161D92" w:rsidRPr="00F7263B">
        <w:rPr>
          <w:sz w:val="20"/>
          <w:szCs w:val="20"/>
        </w:rPr>
        <w:t>s</w:t>
      </w:r>
      <w:r w:rsidRPr="00F7263B">
        <w:rPr>
          <w:sz w:val="20"/>
          <w:szCs w:val="20"/>
        </w:rPr>
        <w:t xml:space="preserve"> are not part of this provision.  As stated in the </w:t>
      </w:r>
      <w:r w:rsidR="007414BF" w:rsidRPr="00F7263B">
        <w:rPr>
          <w:sz w:val="20"/>
          <w:szCs w:val="20"/>
        </w:rPr>
        <w:t>Operational Manual</w:t>
      </w:r>
      <w:r w:rsidRPr="00F7263B">
        <w:rPr>
          <w:sz w:val="20"/>
          <w:szCs w:val="20"/>
        </w:rPr>
        <w:t>, should a ULG be in doubt about the eligibility of a capacity building activity, they will contact MUDHC to ensure that the expenditure complies with the ULGDP II expenditure framework.</w:t>
      </w:r>
    </w:p>
    <w:p w:rsidR="00607293" w:rsidRPr="00F7263B" w:rsidRDefault="00607293" w:rsidP="00254260">
      <w:pPr>
        <w:rPr>
          <w:sz w:val="20"/>
          <w:szCs w:val="20"/>
          <w:lang w:val="da-DK"/>
        </w:rPr>
      </w:pPr>
    </w:p>
    <w:p w:rsidR="00205AB8" w:rsidRPr="00F7263B" w:rsidRDefault="00B46303" w:rsidP="00B46303">
      <w:pPr>
        <w:spacing w:after="60"/>
        <w:rPr>
          <w:b/>
          <w:sz w:val="20"/>
          <w:szCs w:val="20"/>
          <w:lang w:val="da-DK"/>
        </w:rPr>
      </w:pPr>
      <w:r w:rsidRPr="00F7263B">
        <w:rPr>
          <w:b/>
          <w:sz w:val="20"/>
          <w:szCs w:val="20"/>
          <w:lang w:val="da-DK"/>
        </w:rPr>
        <w:t>Table 7:</w:t>
      </w:r>
      <w:r w:rsidR="00607293" w:rsidRPr="00F7263B">
        <w:rPr>
          <w:b/>
          <w:sz w:val="20"/>
          <w:szCs w:val="20"/>
          <w:lang w:val="da-DK"/>
        </w:rPr>
        <w:t>Menu of c</w:t>
      </w:r>
      <w:r w:rsidRPr="00F7263B">
        <w:rPr>
          <w:b/>
          <w:sz w:val="20"/>
          <w:szCs w:val="20"/>
          <w:lang w:val="da-DK"/>
        </w:rPr>
        <w:t>apacity b</w:t>
      </w:r>
      <w:r w:rsidR="002E06F6" w:rsidRPr="00F7263B">
        <w:rPr>
          <w:b/>
          <w:sz w:val="20"/>
          <w:szCs w:val="20"/>
          <w:lang w:val="da-DK"/>
        </w:rPr>
        <w:t xml:space="preserve">uilding </w:t>
      </w:r>
      <w:r w:rsidRPr="00F7263B">
        <w:rPr>
          <w:b/>
          <w:sz w:val="20"/>
          <w:szCs w:val="20"/>
          <w:lang w:val="da-DK"/>
        </w:rPr>
        <w:t>a</w:t>
      </w:r>
      <w:r w:rsidR="00607293" w:rsidRPr="00F7263B">
        <w:rPr>
          <w:b/>
          <w:sz w:val="20"/>
          <w:szCs w:val="20"/>
          <w:lang w:val="da-DK"/>
        </w:rPr>
        <w:t>ctivities</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956"/>
      </w:tblGrid>
      <w:tr w:rsidR="001D5AF7" w:rsidRPr="00F7263B">
        <w:trPr>
          <w:trHeight w:val="1814"/>
        </w:trPr>
        <w:tc>
          <w:tcPr>
            <w:tcW w:w="2430" w:type="dxa"/>
          </w:tcPr>
          <w:p w:rsidR="001D5AF7" w:rsidRPr="00F7263B" w:rsidRDefault="001D5AF7" w:rsidP="001D5AF7">
            <w:pPr>
              <w:spacing w:before="20"/>
              <w:rPr>
                <w:rFonts w:cs="Times New Roman"/>
                <w:sz w:val="20"/>
                <w:szCs w:val="20"/>
                <w:lang w:val="da-DK"/>
              </w:rPr>
            </w:pPr>
            <w:r w:rsidRPr="00F7263B">
              <w:rPr>
                <w:bCs/>
                <w:sz w:val="20"/>
                <w:szCs w:val="20"/>
                <w:lang w:val="da-DK"/>
              </w:rPr>
              <w:t>Training, seminar, and conferences</w:t>
            </w:r>
          </w:p>
        </w:tc>
        <w:tc>
          <w:tcPr>
            <w:tcW w:w="6956" w:type="dxa"/>
          </w:tcPr>
          <w:p w:rsidR="006E7278" w:rsidRPr="00F7263B" w:rsidRDefault="001D5AF7" w:rsidP="00827BD7">
            <w:pPr>
              <w:pStyle w:val="ListParagraph"/>
              <w:numPr>
                <w:ilvl w:val="0"/>
                <w:numId w:val="30"/>
              </w:numPr>
              <w:ind w:left="342" w:hanging="270"/>
              <w:rPr>
                <w:rFonts w:eastAsia="Times New Roman"/>
                <w:sz w:val="20"/>
                <w:szCs w:val="20"/>
                <w:lang w:val="da-DK"/>
              </w:rPr>
            </w:pPr>
            <w:r w:rsidRPr="00F7263B">
              <w:rPr>
                <w:rFonts w:eastAsia="Times New Roman"/>
                <w:sz w:val="20"/>
                <w:szCs w:val="20"/>
                <w:lang w:val="da-DK"/>
              </w:rPr>
              <w:t xml:space="preserve">Selected short-term training (upto duration of </w:t>
            </w:r>
            <w:r w:rsidR="00F20111" w:rsidRPr="00F7263B">
              <w:rPr>
                <w:rFonts w:eastAsia="Times New Roman"/>
                <w:sz w:val="20"/>
                <w:szCs w:val="20"/>
                <w:lang w:val="da-DK"/>
              </w:rPr>
              <w:t>three</w:t>
            </w:r>
            <w:r w:rsidRPr="00F7263B">
              <w:rPr>
                <w:rFonts w:eastAsia="Times New Roman"/>
                <w:sz w:val="20"/>
                <w:szCs w:val="20"/>
                <w:lang w:val="da-DK"/>
              </w:rPr>
              <w:t>months)</w:t>
            </w:r>
          </w:p>
          <w:p w:rsidR="006E7278" w:rsidRPr="00F7263B" w:rsidRDefault="001D5AF7" w:rsidP="00827BD7">
            <w:pPr>
              <w:pStyle w:val="ListParagraph"/>
              <w:numPr>
                <w:ilvl w:val="0"/>
                <w:numId w:val="30"/>
              </w:numPr>
              <w:ind w:left="342" w:hanging="270"/>
              <w:rPr>
                <w:rFonts w:eastAsia="Times New Roman"/>
                <w:sz w:val="20"/>
                <w:szCs w:val="20"/>
                <w:lang w:val="da-DK"/>
              </w:rPr>
            </w:pPr>
            <w:r w:rsidRPr="00F7263B">
              <w:rPr>
                <w:rFonts w:eastAsia="Times New Roman"/>
                <w:sz w:val="20"/>
                <w:szCs w:val="20"/>
                <w:lang w:val="da-DK"/>
              </w:rPr>
              <w:t>Peer</w:t>
            </w:r>
            <w:r w:rsidR="00F20111" w:rsidRPr="00F7263B">
              <w:rPr>
                <w:rFonts w:eastAsia="Times New Roman"/>
                <w:sz w:val="20"/>
                <w:szCs w:val="20"/>
                <w:lang w:val="da-DK"/>
              </w:rPr>
              <w:t>-</w:t>
            </w:r>
            <w:r w:rsidRPr="00F7263B">
              <w:rPr>
                <w:rFonts w:eastAsia="Times New Roman"/>
                <w:sz w:val="20"/>
                <w:szCs w:val="20"/>
                <w:lang w:val="da-DK"/>
              </w:rPr>
              <w:t>to</w:t>
            </w:r>
            <w:r w:rsidR="00F20111" w:rsidRPr="00F7263B">
              <w:rPr>
                <w:rFonts w:eastAsia="Times New Roman"/>
                <w:sz w:val="20"/>
                <w:szCs w:val="20"/>
                <w:lang w:val="da-DK"/>
              </w:rPr>
              <w:t>-</w:t>
            </w:r>
            <w:r w:rsidRPr="00F7263B">
              <w:rPr>
                <w:rFonts w:eastAsia="Times New Roman"/>
                <w:sz w:val="20"/>
                <w:szCs w:val="20"/>
                <w:lang w:val="da-DK"/>
              </w:rPr>
              <w:t>peer support across ULGs</w:t>
            </w:r>
          </w:p>
          <w:p w:rsidR="00F20111" w:rsidRPr="00F7263B" w:rsidRDefault="001D5AF7" w:rsidP="00827BD7">
            <w:pPr>
              <w:pStyle w:val="ListParagraph"/>
              <w:numPr>
                <w:ilvl w:val="0"/>
                <w:numId w:val="30"/>
              </w:numPr>
              <w:ind w:left="342" w:hanging="270"/>
              <w:rPr>
                <w:rFonts w:eastAsia="Times New Roman"/>
                <w:sz w:val="20"/>
                <w:szCs w:val="20"/>
                <w:lang w:val="da-DK"/>
              </w:rPr>
            </w:pPr>
            <w:r w:rsidRPr="00F7263B">
              <w:rPr>
                <w:rFonts w:eastAsia="Times New Roman"/>
                <w:sz w:val="20"/>
                <w:szCs w:val="20"/>
                <w:lang w:val="da-DK"/>
              </w:rPr>
              <w:t xml:space="preserve">Study tours as planned by the ULGs and approved by the </w:t>
            </w:r>
            <w:r w:rsidR="00F20111" w:rsidRPr="00F7263B">
              <w:rPr>
                <w:rFonts w:eastAsia="Times New Roman"/>
                <w:sz w:val="20"/>
                <w:szCs w:val="20"/>
                <w:lang w:val="da-DK"/>
              </w:rPr>
              <w:t>ministry</w:t>
            </w:r>
          </w:p>
          <w:p w:rsidR="00F20111" w:rsidRPr="00F7263B" w:rsidRDefault="00F20111" w:rsidP="00254260">
            <w:pPr>
              <w:pStyle w:val="ListParagraph"/>
              <w:numPr>
                <w:ilvl w:val="0"/>
                <w:numId w:val="30"/>
              </w:numPr>
              <w:ind w:left="342" w:hanging="270"/>
              <w:rPr>
                <w:rFonts w:eastAsia="Times New Roman"/>
                <w:sz w:val="20"/>
                <w:szCs w:val="20"/>
                <w:lang w:val="da-DK"/>
              </w:rPr>
            </w:pPr>
            <w:r w:rsidRPr="00F7263B">
              <w:rPr>
                <w:rFonts w:eastAsia="Times New Roman"/>
                <w:sz w:val="20"/>
                <w:szCs w:val="20"/>
                <w:lang w:val="da-DK"/>
              </w:rPr>
              <w:t>Seminars and conferences andworkshops and meetings</w:t>
            </w:r>
          </w:p>
          <w:p w:rsidR="00F20111" w:rsidRPr="00F7263B" w:rsidRDefault="00F20111" w:rsidP="00827BD7">
            <w:pPr>
              <w:pStyle w:val="ListParagraph"/>
              <w:numPr>
                <w:ilvl w:val="0"/>
                <w:numId w:val="30"/>
              </w:numPr>
              <w:ind w:left="342" w:hanging="270"/>
              <w:rPr>
                <w:rFonts w:eastAsia="Times New Roman"/>
                <w:sz w:val="20"/>
                <w:szCs w:val="20"/>
                <w:lang w:val="da-DK"/>
              </w:rPr>
            </w:pPr>
            <w:r w:rsidRPr="00F7263B">
              <w:rPr>
                <w:rFonts w:eastAsia="Times New Roman"/>
                <w:sz w:val="20"/>
                <w:szCs w:val="20"/>
                <w:lang w:val="da-DK"/>
              </w:rPr>
              <w:t>Training materials</w:t>
            </w:r>
          </w:p>
          <w:p w:rsidR="006E7278" w:rsidRPr="00F7263B" w:rsidRDefault="001D5AF7" w:rsidP="00254260">
            <w:pPr>
              <w:pStyle w:val="ListParagraph"/>
              <w:numPr>
                <w:ilvl w:val="0"/>
                <w:numId w:val="30"/>
              </w:numPr>
              <w:ind w:left="342" w:hanging="270"/>
              <w:rPr>
                <w:rFonts w:eastAsia="Times New Roman"/>
                <w:sz w:val="20"/>
                <w:szCs w:val="20"/>
                <w:lang w:val="da-DK"/>
              </w:rPr>
            </w:pPr>
            <w:r w:rsidRPr="00F7263B">
              <w:rPr>
                <w:rFonts w:eastAsia="Times New Roman"/>
                <w:sz w:val="20"/>
                <w:szCs w:val="20"/>
                <w:lang w:val="da-DK"/>
              </w:rPr>
              <w:t xml:space="preserve">Hire of </w:t>
            </w:r>
            <w:r w:rsidR="00F20111" w:rsidRPr="00F7263B">
              <w:rPr>
                <w:rFonts w:eastAsia="Times New Roman"/>
                <w:sz w:val="20"/>
                <w:szCs w:val="20"/>
                <w:lang w:val="da-DK"/>
              </w:rPr>
              <w:t xml:space="preserve">venue </w:t>
            </w:r>
            <w:r w:rsidRPr="00F7263B">
              <w:rPr>
                <w:rFonts w:eastAsia="Times New Roman"/>
                <w:sz w:val="20"/>
                <w:szCs w:val="20"/>
                <w:lang w:val="da-DK"/>
              </w:rPr>
              <w:t>/</w:t>
            </w:r>
            <w:r w:rsidR="00F20111" w:rsidRPr="00F7263B">
              <w:rPr>
                <w:rFonts w:eastAsia="Times New Roman"/>
                <w:sz w:val="20"/>
                <w:szCs w:val="20"/>
                <w:lang w:val="da-DK"/>
              </w:rPr>
              <w:t>hotel a</w:t>
            </w:r>
            <w:r w:rsidRPr="00F7263B">
              <w:rPr>
                <w:rFonts w:eastAsia="Times New Roman"/>
                <w:sz w:val="20"/>
                <w:szCs w:val="20"/>
                <w:lang w:val="da-DK"/>
              </w:rPr>
              <w:t xml:space="preserve">ccommodation </w:t>
            </w:r>
          </w:p>
          <w:p w:rsidR="006E7278" w:rsidRPr="00F7263B" w:rsidRDefault="001D5AF7" w:rsidP="00827BD7">
            <w:pPr>
              <w:pStyle w:val="ListParagraph"/>
              <w:numPr>
                <w:ilvl w:val="0"/>
                <w:numId w:val="30"/>
              </w:numPr>
              <w:spacing w:before="20"/>
              <w:ind w:left="342" w:hanging="270"/>
              <w:jc w:val="both"/>
              <w:rPr>
                <w:rFonts w:cs="Times New Roman"/>
                <w:sz w:val="20"/>
                <w:szCs w:val="20"/>
                <w:lang w:val="da-DK"/>
              </w:rPr>
            </w:pPr>
            <w:r w:rsidRPr="00F7263B">
              <w:rPr>
                <w:rFonts w:eastAsia="Times New Roman"/>
                <w:sz w:val="20"/>
                <w:szCs w:val="20"/>
                <w:lang w:val="da-DK"/>
              </w:rPr>
              <w:t xml:space="preserve">Refreshments </w:t>
            </w:r>
          </w:p>
        </w:tc>
      </w:tr>
      <w:tr w:rsidR="001D5AF7" w:rsidRPr="00F7263B">
        <w:trPr>
          <w:trHeight w:val="452"/>
        </w:trPr>
        <w:tc>
          <w:tcPr>
            <w:tcW w:w="2430" w:type="dxa"/>
          </w:tcPr>
          <w:p w:rsidR="001D5AF7" w:rsidRPr="00F7263B" w:rsidRDefault="001D5AF7" w:rsidP="00DA1689">
            <w:pPr>
              <w:spacing w:before="20"/>
              <w:rPr>
                <w:rFonts w:cs="Times New Roman"/>
                <w:bCs/>
                <w:sz w:val="20"/>
                <w:szCs w:val="20"/>
                <w:lang w:val="da-DK"/>
              </w:rPr>
            </w:pPr>
            <w:r w:rsidRPr="00F7263B">
              <w:rPr>
                <w:bCs/>
                <w:sz w:val="20"/>
                <w:szCs w:val="20"/>
                <w:lang w:val="da-DK"/>
              </w:rPr>
              <w:t>Technical assistance</w:t>
            </w:r>
            <w:r w:rsidR="00F20111" w:rsidRPr="00F7263B">
              <w:rPr>
                <w:bCs/>
                <w:sz w:val="20"/>
                <w:szCs w:val="20"/>
                <w:lang w:val="da-DK"/>
              </w:rPr>
              <w:t>,</w:t>
            </w:r>
            <w:r w:rsidR="000A35C0" w:rsidRPr="00F7263B">
              <w:rPr>
                <w:bCs/>
                <w:sz w:val="20"/>
                <w:szCs w:val="20"/>
                <w:lang w:val="da-DK"/>
              </w:rPr>
              <w:t xml:space="preserve">and organizational </w:t>
            </w:r>
            <w:r w:rsidR="00F20111" w:rsidRPr="00F7263B">
              <w:rPr>
                <w:bCs/>
                <w:sz w:val="20"/>
                <w:szCs w:val="20"/>
                <w:lang w:val="da-DK"/>
              </w:rPr>
              <w:t xml:space="preserve">and systems </w:t>
            </w:r>
            <w:r w:rsidR="000A35C0" w:rsidRPr="00F7263B">
              <w:rPr>
                <w:bCs/>
                <w:sz w:val="20"/>
                <w:szCs w:val="20"/>
                <w:lang w:val="da-DK"/>
              </w:rPr>
              <w:t xml:space="preserve">development, </w:t>
            </w:r>
            <w:r w:rsidR="00F20111" w:rsidRPr="00F7263B">
              <w:rPr>
                <w:bCs/>
                <w:sz w:val="20"/>
                <w:szCs w:val="20"/>
                <w:lang w:val="da-DK"/>
              </w:rPr>
              <w:t>and the like</w:t>
            </w:r>
            <w:r w:rsidR="000A35C0" w:rsidRPr="00F7263B">
              <w:rPr>
                <w:bCs/>
                <w:sz w:val="20"/>
                <w:szCs w:val="20"/>
                <w:lang w:val="da-DK"/>
              </w:rPr>
              <w:t>.</w:t>
            </w:r>
          </w:p>
        </w:tc>
        <w:tc>
          <w:tcPr>
            <w:tcW w:w="6956" w:type="dxa"/>
          </w:tcPr>
          <w:p w:rsidR="006E7278" w:rsidRPr="00F7263B" w:rsidRDefault="001D5AF7" w:rsidP="00827BD7">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Consultancy fees and related operating expenses</w:t>
            </w:r>
          </w:p>
          <w:p w:rsidR="006E7278" w:rsidRPr="00F7263B" w:rsidRDefault="001D5AF7" w:rsidP="00254260">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 xml:space="preserve">Printed </w:t>
            </w:r>
            <w:r w:rsidR="00F20111" w:rsidRPr="00F7263B">
              <w:rPr>
                <w:rFonts w:eastAsia="Times New Roman"/>
                <w:sz w:val="20"/>
                <w:szCs w:val="20"/>
                <w:lang w:val="da-DK"/>
              </w:rPr>
              <w:t>material ands</w:t>
            </w:r>
            <w:r w:rsidRPr="00F7263B">
              <w:rPr>
                <w:rFonts w:eastAsia="Times New Roman"/>
                <w:sz w:val="20"/>
                <w:szCs w:val="20"/>
                <w:lang w:val="da-DK"/>
              </w:rPr>
              <w:t xml:space="preserve">tationery </w:t>
            </w:r>
          </w:p>
        </w:tc>
      </w:tr>
      <w:tr w:rsidR="001D5AF7" w:rsidRPr="00F7263B">
        <w:trPr>
          <w:trHeight w:val="368"/>
        </w:trPr>
        <w:tc>
          <w:tcPr>
            <w:tcW w:w="2430" w:type="dxa"/>
          </w:tcPr>
          <w:p w:rsidR="001D5AF7" w:rsidRPr="00F7263B" w:rsidRDefault="001D5AF7" w:rsidP="00DA1689">
            <w:pPr>
              <w:autoSpaceDE w:val="0"/>
              <w:autoSpaceDN w:val="0"/>
              <w:adjustRightInd w:val="0"/>
              <w:rPr>
                <w:bCs/>
                <w:sz w:val="20"/>
                <w:szCs w:val="20"/>
                <w:lang w:val="da-DK"/>
              </w:rPr>
            </w:pPr>
            <w:r w:rsidRPr="00F7263B">
              <w:rPr>
                <w:bCs/>
                <w:sz w:val="20"/>
                <w:szCs w:val="20"/>
                <w:lang w:val="da-DK"/>
              </w:rPr>
              <w:t>Equipment</w:t>
            </w:r>
          </w:p>
          <w:p w:rsidR="001D5AF7" w:rsidRPr="00F7263B" w:rsidRDefault="001D5AF7" w:rsidP="00DA1689">
            <w:pPr>
              <w:autoSpaceDE w:val="0"/>
              <w:autoSpaceDN w:val="0"/>
              <w:adjustRightInd w:val="0"/>
              <w:rPr>
                <w:rFonts w:cs="Times New Roman"/>
                <w:bCs/>
                <w:sz w:val="20"/>
                <w:szCs w:val="20"/>
                <w:lang w:val="da-DK"/>
              </w:rPr>
            </w:pPr>
          </w:p>
        </w:tc>
        <w:tc>
          <w:tcPr>
            <w:tcW w:w="6956" w:type="dxa"/>
          </w:tcPr>
          <w:p w:rsidR="001D5AF7" w:rsidRPr="00F7263B" w:rsidRDefault="001D5AF7" w:rsidP="00DA1689">
            <w:pPr>
              <w:rPr>
                <w:rFonts w:eastAsia="Times New Roman"/>
                <w:sz w:val="20"/>
                <w:szCs w:val="20"/>
                <w:lang w:val="da-DK"/>
              </w:rPr>
            </w:pPr>
            <w:r w:rsidRPr="00F7263B">
              <w:rPr>
                <w:rFonts w:eastAsia="Times New Roman"/>
                <w:sz w:val="20"/>
                <w:szCs w:val="20"/>
                <w:lang w:val="da-DK"/>
              </w:rPr>
              <w:t>Equipment related with the capacity building support (not vehicles and buildings) including:</w:t>
            </w:r>
          </w:p>
          <w:p w:rsidR="006E7278" w:rsidRPr="00F7263B" w:rsidRDefault="001D5AF7" w:rsidP="00827BD7">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 xml:space="preserve">Server (computing) </w:t>
            </w:r>
          </w:p>
          <w:p w:rsidR="006E7278" w:rsidRPr="00F7263B" w:rsidRDefault="001D5AF7" w:rsidP="00827BD7">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 xml:space="preserve">Networking and ICT equipment and software </w:t>
            </w:r>
          </w:p>
          <w:p w:rsidR="006E7278" w:rsidRPr="00F7263B" w:rsidRDefault="001D5AF7" w:rsidP="00827BD7">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 xml:space="preserve">Computers and accessories </w:t>
            </w:r>
          </w:p>
          <w:p w:rsidR="006E7278" w:rsidRPr="00F7263B" w:rsidRDefault="001D5AF7" w:rsidP="00827BD7">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Printer, photocop</w:t>
            </w:r>
            <w:r w:rsidR="00F20111" w:rsidRPr="00F7263B">
              <w:rPr>
                <w:rFonts w:eastAsia="Times New Roman"/>
                <w:sz w:val="20"/>
                <w:szCs w:val="20"/>
                <w:lang w:val="da-DK"/>
              </w:rPr>
              <w:t xml:space="preserve">iers, </w:t>
            </w:r>
            <w:r w:rsidRPr="00F7263B">
              <w:rPr>
                <w:rFonts w:eastAsia="Times New Roman"/>
                <w:sz w:val="20"/>
                <w:szCs w:val="20"/>
                <w:lang w:val="da-DK"/>
              </w:rPr>
              <w:t>scanner</w:t>
            </w:r>
            <w:r w:rsidR="00F20111" w:rsidRPr="00F7263B">
              <w:rPr>
                <w:rFonts w:eastAsia="Times New Roman"/>
                <w:sz w:val="20"/>
                <w:szCs w:val="20"/>
                <w:lang w:val="da-DK"/>
              </w:rPr>
              <w:t>, and related equipment</w:t>
            </w:r>
          </w:p>
          <w:p w:rsidR="006E7278" w:rsidRPr="00F7263B" w:rsidRDefault="001D5AF7" w:rsidP="00827BD7">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Air conditioner</w:t>
            </w:r>
            <w:r w:rsidR="00F20111" w:rsidRPr="00F7263B">
              <w:rPr>
                <w:rFonts w:eastAsia="Times New Roman"/>
                <w:sz w:val="20"/>
                <w:szCs w:val="20"/>
                <w:lang w:val="da-DK"/>
              </w:rPr>
              <w:t>s and</w:t>
            </w:r>
            <w:r w:rsidRPr="00F7263B">
              <w:rPr>
                <w:rFonts w:eastAsia="Times New Roman"/>
                <w:sz w:val="20"/>
                <w:szCs w:val="20"/>
                <w:lang w:val="da-DK"/>
              </w:rPr>
              <w:t>fan</w:t>
            </w:r>
            <w:r w:rsidR="00F20111" w:rsidRPr="00F7263B">
              <w:rPr>
                <w:rFonts w:eastAsia="Times New Roman"/>
                <w:sz w:val="20"/>
                <w:szCs w:val="20"/>
                <w:lang w:val="da-DK"/>
              </w:rPr>
              <w:t>s</w:t>
            </w:r>
          </w:p>
          <w:p w:rsidR="006E7278" w:rsidRPr="00F7263B" w:rsidRDefault="001D5AF7" w:rsidP="00254260">
            <w:pPr>
              <w:pStyle w:val="ListParagraph"/>
              <w:numPr>
                <w:ilvl w:val="0"/>
                <w:numId w:val="30"/>
              </w:numPr>
              <w:ind w:left="342" w:hanging="270"/>
              <w:rPr>
                <w:rFonts w:eastAsia="Times New Roman" w:cs="Times New Roman"/>
                <w:sz w:val="20"/>
                <w:szCs w:val="20"/>
                <w:lang w:val="da-DK"/>
              </w:rPr>
            </w:pPr>
            <w:r w:rsidRPr="00F7263B">
              <w:rPr>
                <w:rFonts w:eastAsia="Times New Roman"/>
                <w:sz w:val="20"/>
                <w:szCs w:val="20"/>
                <w:lang w:val="da-DK"/>
              </w:rPr>
              <w:t>Filing cabinet</w:t>
            </w:r>
            <w:r w:rsidR="00F20111" w:rsidRPr="00F7263B">
              <w:rPr>
                <w:rFonts w:eastAsia="Times New Roman"/>
                <w:sz w:val="20"/>
                <w:szCs w:val="20"/>
                <w:lang w:val="da-DK"/>
              </w:rPr>
              <w:t xml:space="preserve">s and </w:t>
            </w:r>
            <w:r w:rsidRPr="00F7263B">
              <w:rPr>
                <w:rFonts w:eastAsia="Times New Roman"/>
                <w:sz w:val="20"/>
                <w:szCs w:val="20"/>
                <w:lang w:val="da-DK"/>
              </w:rPr>
              <w:t>shel</w:t>
            </w:r>
            <w:r w:rsidR="00F20111" w:rsidRPr="00F7263B">
              <w:rPr>
                <w:rFonts w:eastAsia="Times New Roman"/>
                <w:sz w:val="20"/>
                <w:szCs w:val="20"/>
                <w:lang w:val="da-DK"/>
              </w:rPr>
              <w:t>ves</w:t>
            </w:r>
            <w:r w:rsidR="00A07283" w:rsidRPr="00F7263B">
              <w:rPr>
                <w:rFonts w:eastAsia="Times New Roman"/>
                <w:sz w:val="20"/>
                <w:szCs w:val="20"/>
                <w:lang w:val="da-DK"/>
              </w:rPr>
              <w:t>.</w:t>
            </w:r>
          </w:p>
        </w:tc>
      </w:tr>
    </w:tbl>
    <w:p w:rsidR="00D64B3E" w:rsidRPr="00F7263B" w:rsidRDefault="002E06F6" w:rsidP="00DE4F98">
      <w:pPr>
        <w:spacing w:before="60"/>
        <w:rPr>
          <w:i/>
          <w:sz w:val="20"/>
          <w:szCs w:val="20"/>
        </w:rPr>
      </w:pPr>
      <w:r w:rsidRPr="00F7263B">
        <w:rPr>
          <w:i/>
          <w:sz w:val="20"/>
          <w:szCs w:val="20"/>
        </w:rPr>
        <w:t xml:space="preserve">Notes: </w:t>
      </w:r>
    </w:p>
    <w:p w:rsidR="002E06F6" w:rsidRPr="00F7263B" w:rsidRDefault="001E4EA0" w:rsidP="001E4EA0">
      <w:pPr>
        <w:tabs>
          <w:tab w:val="left" w:pos="360"/>
        </w:tabs>
        <w:spacing w:before="60"/>
        <w:rPr>
          <w:i/>
          <w:sz w:val="20"/>
          <w:szCs w:val="20"/>
        </w:rPr>
      </w:pPr>
      <w:r w:rsidRPr="00F7263B">
        <w:rPr>
          <w:sz w:val="20"/>
          <w:szCs w:val="20"/>
        </w:rPr>
        <w:lastRenderedPageBreak/>
        <w:t>1.</w:t>
      </w:r>
      <w:r w:rsidRPr="00F7263B">
        <w:rPr>
          <w:sz w:val="20"/>
          <w:szCs w:val="20"/>
        </w:rPr>
        <w:tab/>
      </w:r>
      <w:r w:rsidR="002E06F6" w:rsidRPr="00F7263B">
        <w:rPr>
          <w:sz w:val="20"/>
          <w:szCs w:val="20"/>
        </w:rPr>
        <w:t>T</w:t>
      </w:r>
      <w:r w:rsidR="002E06F6" w:rsidRPr="00F7263B">
        <w:rPr>
          <w:bCs/>
          <w:sz w:val="20"/>
          <w:szCs w:val="20"/>
          <w:lang w:val="da-DK"/>
        </w:rPr>
        <w:t xml:space="preserve">otal costs not to exceed 5 percent of total </w:t>
      </w:r>
      <w:r w:rsidR="00D0377C" w:rsidRPr="00F7263B">
        <w:rPr>
          <w:bCs/>
          <w:sz w:val="20"/>
          <w:szCs w:val="20"/>
          <w:lang w:val="da-DK"/>
        </w:rPr>
        <w:t>performance-based</w:t>
      </w:r>
      <w:r w:rsidR="002E06F6" w:rsidRPr="00F7263B">
        <w:rPr>
          <w:bCs/>
          <w:sz w:val="20"/>
          <w:szCs w:val="20"/>
          <w:lang w:val="da-DK"/>
        </w:rPr>
        <w:t xml:space="preserve"> grant received.</w:t>
      </w:r>
    </w:p>
    <w:p w:rsidR="002E06F6" w:rsidRPr="00F7263B" w:rsidRDefault="001E4EA0" w:rsidP="001E4EA0">
      <w:pPr>
        <w:tabs>
          <w:tab w:val="left" w:pos="360"/>
        </w:tabs>
        <w:spacing w:before="60"/>
        <w:rPr>
          <w:sz w:val="20"/>
          <w:szCs w:val="20"/>
          <w:lang w:val="da-DK"/>
        </w:rPr>
      </w:pPr>
      <w:r w:rsidRPr="00F7263B">
        <w:rPr>
          <w:bCs/>
          <w:sz w:val="20"/>
          <w:szCs w:val="20"/>
          <w:lang w:val="da-DK"/>
        </w:rPr>
        <w:t>2.</w:t>
      </w:r>
      <w:r w:rsidRPr="00F7263B">
        <w:rPr>
          <w:bCs/>
          <w:sz w:val="20"/>
          <w:szCs w:val="20"/>
          <w:lang w:val="da-DK"/>
        </w:rPr>
        <w:tab/>
      </w:r>
      <w:r w:rsidR="002E06F6" w:rsidRPr="00F7263B">
        <w:rPr>
          <w:bCs/>
          <w:sz w:val="20"/>
          <w:szCs w:val="20"/>
          <w:lang w:val="da-DK"/>
        </w:rPr>
        <w:t>Compliance</w:t>
      </w:r>
      <w:r w:rsidR="002E06F6" w:rsidRPr="00F7263B">
        <w:rPr>
          <w:sz w:val="20"/>
          <w:szCs w:val="20"/>
        </w:rPr>
        <w:t xml:space="preserve"> with the capacity building activities menu will be a minimum condition for access to the performance grant.</w:t>
      </w:r>
    </w:p>
    <w:p w:rsidR="002E06F6" w:rsidRPr="00F7263B" w:rsidRDefault="002E06F6" w:rsidP="00205AB8">
      <w:pPr>
        <w:rPr>
          <w:sz w:val="20"/>
          <w:szCs w:val="20"/>
        </w:rPr>
      </w:pPr>
    </w:p>
    <w:p w:rsidR="000B14EB" w:rsidRPr="00F7263B" w:rsidRDefault="000B14EB" w:rsidP="000B14EB">
      <w:pPr>
        <w:rPr>
          <w:i/>
          <w:sz w:val="20"/>
          <w:szCs w:val="20"/>
        </w:rPr>
      </w:pPr>
      <w:r w:rsidRPr="00F7263B">
        <w:rPr>
          <w:i/>
          <w:sz w:val="20"/>
          <w:szCs w:val="20"/>
        </w:rPr>
        <w:t>Capacity building for regional governments</w:t>
      </w:r>
    </w:p>
    <w:p w:rsidR="001E4EA0" w:rsidRPr="00F7263B" w:rsidRDefault="001E4EA0" w:rsidP="001E4EA0">
      <w:pPr>
        <w:rPr>
          <w:sz w:val="20"/>
          <w:szCs w:val="20"/>
        </w:rPr>
      </w:pPr>
    </w:p>
    <w:p w:rsidR="006E7278" w:rsidRPr="00F7263B" w:rsidRDefault="00766EFA" w:rsidP="00827BD7">
      <w:pPr>
        <w:pStyle w:val="ListParagraph"/>
        <w:numPr>
          <w:ilvl w:val="0"/>
          <w:numId w:val="29"/>
        </w:numPr>
        <w:ind w:left="0" w:firstLine="0"/>
        <w:jc w:val="both"/>
        <w:rPr>
          <w:sz w:val="20"/>
          <w:szCs w:val="20"/>
        </w:rPr>
      </w:pPr>
      <w:r w:rsidRPr="00F7263B">
        <w:rPr>
          <w:b/>
          <w:sz w:val="20"/>
          <w:szCs w:val="20"/>
        </w:rPr>
        <w:t>Under ULGDP II, regional governments will begin assuming expanded roles in supporting ULGs within their jurisdictions.</w:t>
      </w:r>
      <w:r w:rsidRPr="00F7263B">
        <w:rPr>
          <w:sz w:val="20"/>
          <w:szCs w:val="20"/>
        </w:rPr>
        <w:t xml:space="preserve">  The various regional BUD will be the main coordinating as well as recipient agencies of capacity building activities.  The federal and regional mobile teams will </w:t>
      </w:r>
      <w:r w:rsidRPr="00F7263B">
        <w:rPr>
          <w:rFonts w:cs="Times New Roman"/>
          <w:sz w:val="20"/>
          <w:szCs w:val="20"/>
        </w:rPr>
        <w:t>provide</w:t>
      </w:r>
      <w:r w:rsidRPr="00F7263B">
        <w:rPr>
          <w:sz w:val="20"/>
          <w:szCs w:val="20"/>
        </w:rPr>
        <w:t xml:space="preserve"> support to the regional governments to build up their general capacity for urban governance and management.  In turn, the regional governments will have greater capacity to provide guidance for the ULGs.  In particular, regions will receive additional financial support to achieve results in three focus areas: (a) audit, (b) environmental and social safeguards, and (c) revenue enhancement and mobilization.  The achievement and performance in these areas will be measured in the annual performance assessment.</w:t>
      </w:r>
    </w:p>
    <w:p w:rsidR="00205AB8" w:rsidRPr="00F7263B" w:rsidRDefault="00205AB8" w:rsidP="00766EFA">
      <w:pPr>
        <w:rPr>
          <w:sz w:val="20"/>
          <w:szCs w:val="20"/>
        </w:rPr>
      </w:pPr>
    </w:p>
    <w:p w:rsidR="006E7278" w:rsidRPr="00F7263B" w:rsidRDefault="00766EFA" w:rsidP="00827BD7">
      <w:pPr>
        <w:pStyle w:val="ListParagraph"/>
        <w:numPr>
          <w:ilvl w:val="0"/>
          <w:numId w:val="29"/>
        </w:numPr>
        <w:ind w:left="0" w:firstLine="0"/>
        <w:jc w:val="both"/>
        <w:rPr>
          <w:sz w:val="20"/>
          <w:szCs w:val="20"/>
        </w:rPr>
      </w:pPr>
      <w:r w:rsidRPr="00F7263B">
        <w:rPr>
          <w:b/>
          <w:sz w:val="20"/>
          <w:szCs w:val="20"/>
        </w:rPr>
        <w:t>The four established regions with multiple participating ULGs—Amhara, Oromia, SNNP and Tigray—will have greater responsibilities to host and provide logistical support to the regional mobile teams</w:t>
      </w:r>
      <w:r w:rsidRPr="00F7263B">
        <w:rPr>
          <w:sz w:val="20"/>
          <w:szCs w:val="20"/>
        </w:rPr>
        <w:t xml:space="preserve">.  In the process, the regional mobile teams will directly assist the regions themselves to enhance their capacity.  </w:t>
      </w:r>
    </w:p>
    <w:p w:rsidR="00766EFA" w:rsidRPr="00F7263B" w:rsidRDefault="00766EFA" w:rsidP="00766EFA">
      <w:pPr>
        <w:rPr>
          <w:i/>
          <w:sz w:val="20"/>
          <w:szCs w:val="20"/>
        </w:rPr>
      </w:pPr>
      <w:r w:rsidRPr="00F7263B">
        <w:rPr>
          <w:i/>
          <w:sz w:val="20"/>
          <w:szCs w:val="20"/>
        </w:rPr>
        <w:t>Capacity building for federal entities</w:t>
      </w:r>
    </w:p>
    <w:p w:rsidR="00766EFA" w:rsidRPr="00F7263B" w:rsidRDefault="00766EFA" w:rsidP="00766EFA">
      <w:pPr>
        <w:rPr>
          <w:sz w:val="20"/>
          <w:szCs w:val="20"/>
        </w:rPr>
      </w:pPr>
    </w:p>
    <w:p w:rsidR="006E7278" w:rsidRPr="00F7263B" w:rsidRDefault="00766EFA" w:rsidP="00827BD7">
      <w:pPr>
        <w:pStyle w:val="ListParagraph"/>
        <w:numPr>
          <w:ilvl w:val="0"/>
          <w:numId w:val="29"/>
        </w:numPr>
        <w:ind w:left="0" w:firstLine="0"/>
        <w:jc w:val="both"/>
        <w:rPr>
          <w:sz w:val="20"/>
          <w:szCs w:val="20"/>
        </w:rPr>
      </w:pPr>
      <w:r w:rsidRPr="00F7263B">
        <w:rPr>
          <w:b/>
          <w:sz w:val="20"/>
          <w:szCs w:val="20"/>
        </w:rPr>
        <w:t>Capacity building activities for MUDHC under ULGDP II will focus on three key areas of urban management</w:t>
      </w:r>
      <w:r w:rsidRPr="00F7263B">
        <w:rPr>
          <w:sz w:val="20"/>
          <w:szCs w:val="20"/>
        </w:rPr>
        <w:t>.  Theseare (a) systems development for urban management and development (such as monitoring and evaluation, IT and database systems, procurement, revenue mobilization systems and database); (b) equipment related with the enhanced capacity building; and (c) expansion of the federal mobile team and training of the core MUDHC</w:t>
      </w:r>
      <w:r w:rsidR="002665C1" w:rsidRPr="00F7263B">
        <w:rPr>
          <w:sz w:val="20"/>
          <w:szCs w:val="20"/>
        </w:rPr>
        <w:t>o</w:t>
      </w:r>
      <w:r w:rsidRPr="00F7263B">
        <w:rPr>
          <w:sz w:val="20"/>
          <w:szCs w:val="20"/>
        </w:rPr>
        <w:t xml:space="preserve"> officials.  In addition, it is proposed to have at least one international senior urban development advisor to be attached to MUDHC to provide guidance and oversee the management of capacity building activities throughout the Program.</w:t>
      </w:r>
    </w:p>
    <w:p w:rsidR="00205AB8" w:rsidRPr="00F7263B" w:rsidRDefault="00205AB8" w:rsidP="00607293">
      <w:pPr>
        <w:rPr>
          <w:sz w:val="20"/>
          <w:szCs w:val="20"/>
        </w:rPr>
      </w:pPr>
    </w:p>
    <w:p w:rsidR="006E7278" w:rsidRPr="00F7263B" w:rsidRDefault="00DF1F17" w:rsidP="00827BD7">
      <w:pPr>
        <w:pStyle w:val="ListParagraph"/>
        <w:numPr>
          <w:ilvl w:val="0"/>
          <w:numId w:val="29"/>
        </w:numPr>
        <w:ind w:left="0" w:firstLine="0"/>
        <w:jc w:val="both"/>
        <w:rPr>
          <w:sz w:val="20"/>
          <w:szCs w:val="20"/>
        </w:rPr>
      </w:pPr>
      <w:r w:rsidRPr="00F7263B">
        <w:rPr>
          <w:b/>
          <w:sz w:val="20"/>
          <w:szCs w:val="20"/>
        </w:rPr>
        <w:t>Besides MUDHC, other federal entities will have supporting roles in ULGDP II</w:t>
      </w:r>
      <w:r w:rsidRPr="00F7263B">
        <w:rPr>
          <w:sz w:val="20"/>
          <w:szCs w:val="20"/>
        </w:rPr>
        <w:t xml:space="preserve">.  As the overall coordinator and implementing agency of the Program, MUDHC will inform these relevant federal agencies (for example, MoFED and </w:t>
      </w:r>
      <w:r w:rsidR="00570442" w:rsidRPr="00F7263B">
        <w:rPr>
          <w:sz w:val="20"/>
          <w:szCs w:val="20"/>
        </w:rPr>
        <w:t>FEACC</w:t>
      </w:r>
      <w:r w:rsidRPr="00F7263B">
        <w:rPr>
          <w:sz w:val="20"/>
          <w:szCs w:val="20"/>
        </w:rPr>
        <w:t>) of the Program, and liaise with them to determine specific capacity building needs that could be covered within ULGDP II.</w:t>
      </w:r>
    </w:p>
    <w:p w:rsidR="00205AB8" w:rsidRPr="00F7263B" w:rsidRDefault="00205AB8" w:rsidP="00607293">
      <w:pPr>
        <w:rPr>
          <w:sz w:val="20"/>
          <w:szCs w:val="20"/>
          <w:highlight w:val="yellow"/>
        </w:rPr>
      </w:pPr>
    </w:p>
    <w:p w:rsidR="00C27956" w:rsidRPr="00F7263B" w:rsidRDefault="00C27956" w:rsidP="00C27956">
      <w:pPr>
        <w:rPr>
          <w:i/>
          <w:sz w:val="20"/>
          <w:szCs w:val="20"/>
        </w:rPr>
      </w:pPr>
      <w:r w:rsidRPr="00F7263B">
        <w:rPr>
          <w:i/>
          <w:sz w:val="20"/>
          <w:szCs w:val="20"/>
        </w:rPr>
        <w:t>Sustainability</w:t>
      </w:r>
    </w:p>
    <w:p w:rsidR="00C27956" w:rsidRPr="00F7263B" w:rsidRDefault="00C27956" w:rsidP="00C27956">
      <w:pPr>
        <w:rPr>
          <w:i/>
          <w:sz w:val="20"/>
          <w:szCs w:val="20"/>
        </w:rPr>
      </w:pPr>
    </w:p>
    <w:p w:rsidR="006E7278" w:rsidRPr="00F7263B" w:rsidRDefault="00C27956" w:rsidP="00827BD7">
      <w:pPr>
        <w:pStyle w:val="ListParagraph"/>
        <w:numPr>
          <w:ilvl w:val="0"/>
          <w:numId w:val="29"/>
        </w:numPr>
        <w:ind w:left="0" w:firstLine="0"/>
        <w:jc w:val="both"/>
        <w:rPr>
          <w:sz w:val="20"/>
          <w:szCs w:val="20"/>
        </w:rPr>
      </w:pPr>
      <w:r w:rsidRPr="00F7263B">
        <w:rPr>
          <w:b/>
          <w:sz w:val="20"/>
          <w:szCs w:val="20"/>
        </w:rPr>
        <w:t>The Urban Governance Capacity Building Bureau (UGCBB) of the MUDHC will handle the ministry’s capacity building functions</w:t>
      </w:r>
      <w:r w:rsidRPr="00F7263B">
        <w:rPr>
          <w:sz w:val="20"/>
          <w:szCs w:val="20"/>
        </w:rPr>
        <w:t xml:space="preserve">.  The </w:t>
      </w:r>
      <w:r w:rsidR="00570442" w:rsidRPr="00F7263B">
        <w:rPr>
          <w:sz w:val="20"/>
          <w:szCs w:val="20"/>
        </w:rPr>
        <w:t>MUDHCo</w:t>
      </w:r>
      <w:r w:rsidRPr="00F7263B">
        <w:rPr>
          <w:sz w:val="20"/>
          <w:szCs w:val="20"/>
        </w:rPr>
        <w:t xml:space="preserve">is in the process of setting up a Center of Excellence for Urban Governance and Capacity Building, which will undertake the functions of (a) capacity building, (b) research and analysis on urban governance, and (c) performance and benchmarking to support the Ethiopian Cities Resilient, Green Growth, and Governance Programs Package.  It is envisioned that capacity building support to all three levels of government will be consolidated under this Center of Excellence.  </w:t>
      </w:r>
    </w:p>
    <w:p w:rsidR="00205AB8" w:rsidRPr="00F7263B" w:rsidRDefault="00205AB8" w:rsidP="00607293">
      <w:pPr>
        <w:rPr>
          <w:sz w:val="20"/>
          <w:szCs w:val="20"/>
        </w:rPr>
      </w:pPr>
    </w:p>
    <w:p w:rsidR="006E7278" w:rsidRPr="00F7263B" w:rsidRDefault="00C27956" w:rsidP="00827BD7">
      <w:pPr>
        <w:pStyle w:val="ListParagraph"/>
        <w:numPr>
          <w:ilvl w:val="0"/>
          <w:numId w:val="29"/>
        </w:numPr>
        <w:ind w:left="0" w:firstLine="0"/>
        <w:jc w:val="both"/>
        <w:rPr>
          <w:sz w:val="20"/>
          <w:szCs w:val="20"/>
        </w:rPr>
      </w:pPr>
      <w:r w:rsidRPr="00F7263B">
        <w:rPr>
          <w:b/>
          <w:sz w:val="20"/>
          <w:szCs w:val="20"/>
        </w:rPr>
        <w:t>At the regional and local levels, ULGDP II will build upon previous projects and programs to continue strengthening their capacity</w:t>
      </w:r>
      <w:r w:rsidRPr="00F7263B">
        <w:rPr>
          <w:sz w:val="20"/>
          <w:szCs w:val="20"/>
        </w:rPr>
        <w:t xml:space="preserve">.  ULGDP II is particularly focusing on supporting the regions and ULGs that have received less capacity building support in the past.  While ULGDP II will </w:t>
      </w:r>
      <w:r w:rsidR="00570442" w:rsidRPr="00F7263B">
        <w:rPr>
          <w:sz w:val="20"/>
          <w:szCs w:val="20"/>
        </w:rPr>
        <w:t xml:space="preserve">in the medium term support </w:t>
      </w:r>
      <w:r w:rsidRPr="00F7263B">
        <w:rPr>
          <w:sz w:val="20"/>
          <w:szCs w:val="20"/>
        </w:rPr>
        <w:t>the 44 participating ULGs</w:t>
      </w:r>
      <w:r w:rsidR="00570442" w:rsidRPr="00F7263B">
        <w:rPr>
          <w:sz w:val="20"/>
          <w:szCs w:val="20"/>
        </w:rPr>
        <w:t xml:space="preserve"> with capacity building</w:t>
      </w:r>
      <w:r w:rsidRPr="00F7263B">
        <w:rPr>
          <w:sz w:val="20"/>
          <w:szCs w:val="20"/>
        </w:rPr>
        <w:t>, in the long run, government’s intention is to scale up capacity building efforts to cover all 85 ULGs in Ethiopia.  The capacity building systems and activities being put in place under ULGDP II, such as the urban management course and demand-driven capacity building activities, could be scaled up and easily applied to other ULGs in the future.</w:t>
      </w:r>
    </w:p>
    <w:p w:rsidR="00205AB8" w:rsidRPr="00F7263B" w:rsidRDefault="00205AB8" w:rsidP="00205AB8">
      <w:pPr>
        <w:rPr>
          <w:sz w:val="20"/>
          <w:szCs w:val="20"/>
        </w:rPr>
      </w:pPr>
    </w:p>
    <w:p w:rsidR="00A23256" w:rsidRPr="00F7263B" w:rsidRDefault="00DB72D5" w:rsidP="00DB72D5">
      <w:pPr>
        <w:rPr>
          <w:b/>
          <w:sz w:val="20"/>
          <w:szCs w:val="20"/>
        </w:rPr>
      </w:pPr>
      <w:r w:rsidRPr="00F7263B">
        <w:rPr>
          <w:b/>
          <w:sz w:val="20"/>
          <w:szCs w:val="20"/>
        </w:rPr>
        <w:t xml:space="preserve">Institutional and implementation arrangements </w:t>
      </w:r>
    </w:p>
    <w:p w:rsidR="00A23256" w:rsidRPr="00F7263B" w:rsidRDefault="00A23256" w:rsidP="00DB72D5">
      <w:pPr>
        <w:rPr>
          <w:rFonts w:cs="Times New Roman"/>
          <w:sz w:val="20"/>
          <w:szCs w:val="20"/>
        </w:rPr>
      </w:pPr>
    </w:p>
    <w:p w:rsidR="00635B82" w:rsidRPr="00F7263B" w:rsidRDefault="00635B82" w:rsidP="00F7263B">
      <w:pPr>
        <w:pStyle w:val="ListParagraph"/>
        <w:numPr>
          <w:ilvl w:val="0"/>
          <w:numId w:val="29"/>
        </w:numPr>
        <w:ind w:left="0" w:firstLine="0"/>
        <w:jc w:val="both"/>
        <w:rPr>
          <w:rFonts w:cs="Times New Roman"/>
          <w:sz w:val="20"/>
          <w:szCs w:val="20"/>
        </w:rPr>
      </w:pPr>
      <w:r w:rsidRPr="00F7263B">
        <w:rPr>
          <w:rFonts w:cs="Times New Roman"/>
          <w:b/>
          <w:sz w:val="20"/>
          <w:szCs w:val="20"/>
        </w:rPr>
        <w:t>Implementation responsibilities by level of government</w:t>
      </w:r>
      <w:r w:rsidRPr="00F7263B">
        <w:rPr>
          <w:rFonts w:cs="Times New Roman"/>
          <w:sz w:val="20"/>
          <w:szCs w:val="20"/>
        </w:rPr>
        <w:t xml:space="preserve">.  The institutional arrangements of the ULGDP II are based on the experiences from ULGDP, with a clear division of responsibilities between levels of government, as per the government structure and consistent with existing legal provisions, regulations, and guidelines.  The roles and responsibilities of the relevant entities are summarized below.  (Details are included in </w:t>
      </w:r>
      <w:r w:rsidR="00161D92" w:rsidRPr="00F7263B">
        <w:rPr>
          <w:rFonts w:cs="Times New Roman"/>
          <w:sz w:val="20"/>
          <w:szCs w:val="20"/>
        </w:rPr>
        <w:t>A</w:t>
      </w:r>
      <w:r w:rsidRPr="00F7263B">
        <w:rPr>
          <w:rFonts w:cs="Times New Roman"/>
          <w:sz w:val="20"/>
          <w:szCs w:val="20"/>
        </w:rPr>
        <w:t xml:space="preserve">nnex </w:t>
      </w:r>
      <w:r w:rsidR="00161D92" w:rsidRPr="00F7263B">
        <w:rPr>
          <w:rFonts w:cs="Times New Roman"/>
          <w:sz w:val="20"/>
          <w:szCs w:val="20"/>
        </w:rPr>
        <w:t>4</w:t>
      </w:r>
      <w:r w:rsidR="00F7263B">
        <w:rPr>
          <w:rFonts w:cs="Times New Roman"/>
          <w:sz w:val="20"/>
          <w:szCs w:val="20"/>
        </w:rPr>
        <w:t>.)</w:t>
      </w:r>
    </w:p>
    <w:p w:rsidR="00635B82" w:rsidRPr="00F7263B" w:rsidRDefault="00635B82" w:rsidP="00635B82">
      <w:pPr>
        <w:pStyle w:val="ListParagraph"/>
        <w:tabs>
          <w:tab w:val="right" w:pos="90"/>
          <w:tab w:val="right" w:pos="270"/>
        </w:tabs>
        <w:ind w:left="0"/>
        <w:jc w:val="both"/>
        <w:rPr>
          <w:rFonts w:cs="Times New Roman"/>
          <w:sz w:val="20"/>
          <w:szCs w:val="20"/>
        </w:rPr>
      </w:pPr>
      <w:r w:rsidRPr="00F7263B">
        <w:rPr>
          <w:rFonts w:cs="Times New Roman"/>
          <w:i/>
          <w:sz w:val="20"/>
          <w:szCs w:val="20"/>
        </w:rPr>
        <w:lastRenderedPageBreak/>
        <w:t>Federal level</w:t>
      </w:r>
    </w:p>
    <w:p w:rsidR="00635B82" w:rsidRPr="00F7263B" w:rsidRDefault="00635B82" w:rsidP="00635B82">
      <w:pPr>
        <w:pStyle w:val="ListParagraph"/>
        <w:tabs>
          <w:tab w:val="right" w:pos="90"/>
          <w:tab w:val="right" w:pos="270"/>
        </w:tabs>
        <w:ind w:left="0"/>
        <w:jc w:val="both"/>
        <w:rPr>
          <w:rFonts w:cs="Times New Roman"/>
          <w:i/>
          <w:sz w:val="20"/>
          <w:szCs w:val="20"/>
        </w:rPr>
      </w:pPr>
    </w:p>
    <w:p w:rsidR="006E7278" w:rsidRPr="00F7263B" w:rsidRDefault="00635B82" w:rsidP="00827BD7">
      <w:pPr>
        <w:pStyle w:val="ListParagraph"/>
        <w:numPr>
          <w:ilvl w:val="0"/>
          <w:numId w:val="29"/>
        </w:numPr>
        <w:ind w:left="0" w:firstLine="0"/>
        <w:jc w:val="both"/>
        <w:rPr>
          <w:rFonts w:cs="Times New Roman"/>
          <w:sz w:val="20"/>
          <w:szCs w:val="20"/>
        </w:rPr>
      </w:pPr>
      <w:r w:rsidRPr="00F7263B">
        <w:rPr>
          <w:rFonts w:cs="Times New Roman"/>
          <w:sz w:val="20"/>
          <w:szCs w:val="20"/>
        </w:rPr>
        <w:t>At the federal level:</w:t>
      </w:r>
    </w:p>
    <w:p w:rsidR="00635B82" w:rsidRPr="00F7263B" w:rsidRDefault="00635B82" w:rsidP="00635B82">
      <w:pPr>
        <w:pStyle w:val="ListParagraph"/>
        <w:autoSpaceDE w:val="0"/>
        <w:autoSpaceDN w:val="0"/>
        <w:adjustRightInd w:val="0"/>
        <w:spacing w:after="240"/>
        <w:ind w:left="0"/>
        <w:jc w:val="both"/>
        <w:rPr>
          <w:rFonts w:cs="Times New Roman"/>
          <w:sz w:val="20"/>
          <w:szCs w:val="20"/>
        </w:rPr>
      </w:pPr>
    </w:p>
    <w:p w:rsidR="00635B82" w:rsidRPr="00F7263B" w:rsidRDefault="00635B82" w:rsidP="00391918">
      <w:pPr>
        <w:pStyle w:val="ListParagraph"/>
        <w:numPr>
          <w:ilvl w:val="1"/>
          <w:numId w:val="74"/>
        </w:numPr>
        <w:jc w:val="both"/>
        <w:rPr>
          <w:rFonts w:cs="Times New Roman"/>
          <w:sz w:val="20"/>
          <w:szCs w:val="20"/>
        </w:rPr>
      </w:pPr>
      <w:r w:rsidRPr="00F7263B">
        <w:rPr>
          <w:rFonts w:cs="Times New Roman"/>
          <w:sz w:val="20"/>
          <w:szCs w:val="20"/>
        </w:rPr>
        <w:t>MUDHCo will have the following main tasks:</w:t>
      </w:r>
    </w:p>
    <w:p w:rsidR="006E7278" w:rsidRPr="00F7263B" w:rsidRDefault="00635B82"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Overall responsibility for day-to-day coordination of the Program.</w:t>
      </w:r>
    </w:p>
    <w:p w:rsidR="00771598" w:rsidRPr="00F7263B" w:rsidRDefault="00635B82"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Capacity building, including direct support to regional and urban local governments.</w:t>
      </w:r>
    </w:p>
    <w:p w:rsidR="006E7278" w:rsidRPr="00F7263B" w:rsidRDefault="00771598" w:rsidP="00771598">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Development of core tools to be applied for the capacity building support such as guidelines, standard proclamations</w:t>
      </w:r>
      <w:r w:rsidRPr="00F7263B">
        <w:rPr>
          <w:rStyle w:val="FootnoteReference"/>
          <w:rFonts w:cs="Times New Roman"/>
          <w:sz w:val="20"/>
          <w:szCs w:val="20"/>
        </w:rPr>
        <w:footnoteReference w:id="29"/>
      </w:r>
      <w:r w:rsidRPr="00F7263B">
        <w:rPr>
          <w:rFonts w:cs="Times New Roman"/>
          <w:sz w:val="20"/>
          <w:szCs w:val="20"/>
        </w:rPr>
        <w:t xml:space="preserve">, best practices etc.  </w:t>
      </w:r>
    </w:p>
    <w:p w:rsidR="006E7278" w:rsidRPr="00F7263B" w:rsidRDefault="00635B82"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 xml:space="preserve">Program management, including the procurement and management of the APAs and the value for money audits. </w:t>
      </w:r>
    </w:p>
    <w:p w:rsidR="006E7278" w:rsidRPr="00F7263B" w:rsidRDefault="00635B82"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Program reporting, including the annual Program report.</w:t>
      </w:r>
    </w:p>
    <w:p w:rsidR="00C05F95" w:rsidRPr="00F7263B" w:rsidRDefault="00C05F95"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Monitoring and evaluation</w:t>
      </w:r>
    </w:p>
    <w:p w:rsidR="006E7278" w:rsidRPr="00F7263B" w:rsidRDefault="00635B82"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Accounting for the ULGDP II funds to Parliament.</w:t>
      </w:r>
    </w:p>
    <w:p w:rsidR="00635B82" w:rsidRPr="00F7263B" w:rsidRDefault="00635B82" w:rsidP="00635B82">
      <w:pPr>
        <w:pStyle w:val="ListParagraph"/>
        <w:ind w:hanging="360"/>
        <w:jc w:val="both"/>
        <w:rPr>
          <w:rFonts w:cs="Times New Roman"/>
          <w:sz w:val="20"/>
          <w:szCs w:val="20"/>
        </w:rPr>
      </w:pPr>
    </w:p>
    <w:p w:rsidR="006E7278" w:rsidRPr="00F7263B" w:rsidRDefault="00635B82" w:rsidP="00056FC8">
      <w:pPr>
        <w:pStyle w:val="ListParagraph"/>
        <w:numPr>
          <w:ilvl w:val="1"/>
          <w:numId w:val="74"/>
        </w:numPr>
        <w:ind w:hanging="540"/>
        <w:jc w:val="both"/>
        <w:rPr>
          <w:rFonts w:cs="Times New Roman"/>
          <w:sz w:val="20"/>
          <w:szCs w:val="20"/>
        </w:rPr>
      </w:pPr>
      <w:r w:rsidRPr="00F7263B">
        <w:rPr>
          <w:sz w:val="20"/>
          <w:szCs w:val="20"/>
        </w:rPr>
        <w:t xml:space="preserve">The Ministry of Finance and Economic Development (MoFED) will be responsible for ensuring that Program resources are budgeted for and disbursed within the expenditure framework, and for </w:t>
      </w:r>
      <w:r w:rsidRPr="00F7263B">
        <w:rPr>
          <w:rFonts w:cs="Times New Roman"/>
          <w:sz w:val="20"/>
          <w:szCs w:val="20"/>
        </w:rPr>
        <w:t>financial management, including reporting, program auditing and compilation of federal fiscal reports.</w:t>
      </w:r>
    </w:p>
    <w:p w:rsidR="00635B82" w:rsidRPr="00F7263B" w:rsidRDefault="00635B82" w:rsidP="00635B82">
      <w:pPr>
        <w:pStyle w:val="ListParagraph"/>
        <w:spacing w:after="200"/>
        <w:ind w:hanging="360"/>
        <w:jc w:val="both"/>
        <w:rPr>
          <w:rFonts w:cs="Times New Roman"/>
          <w:sz w:val="20"/>
          <w:szCs w:val="20"/>
        </w:rPr>
      </w:pPr>
    </w:p>
    <w:p w:rsidR="00713BB0" w:rsidRPr="00F7263B" w:rsidRDefault="0020029B" w:rsidP="0068255C">
      <w:pPr>
        <w:pStyle w:val="ListParagraph"/>
        <w:numPr>
          <w:ilvl w:val="1"/>
          <w:numId w:val="74"/>
        </w:numPr>
        <w:ind w:hanging="540"/>
        <w:jc w:val="both"/>
        <w:rPr>
          <w:sz w:val="20"/>
          <w:szCs w:val="20"/>
        </w:rPr>
      </w:pPr>
      <w:r w:rsidRPr="00F7263B">
        <w:rPr>
          <w:sz w:val="20"/>
          <w:szCs w:val="20"/>
        </w:rPr>
        <w:t xml:space="preserve">The Office of the Federal Auditor General (OFAG) will be in charge of the annual Program audit, which will cover all Program entities (44 ULGs, nine regional governments, and MUDHCo) and that Program accounts are audited as per statutory requirements. </w:t>
      </w:r>
    </w:p>
    <w:p w:rsidR="00713BB0" w:rsidRPr="00F7263B" w:rsidRDefault="00713BB0" w:rsidP="0068255C">
      <w:pPr>
        <w:ind w:left="900"/>
        <w:jc w:val="both"/>
        <w:rPr>
          <w:sz w:val="20"/>
          <w:szCs w:val="20"/>
        </w:rPr>
      </w:pPr>
    </w:p>
    <w:p w:rsidR="00713BB0" w:rsidRPr="00F7263B" w:rsidRDefault="0020029B" w:rsidP="0068255C">
      <w:pPr>
        <w:pStyle w:val="ListParagraph"/>
        <w:numPr>
          <w:ilvl w:val="1"/>
          <w:numId w:val="74"/>
        </w:numPr>
        <w:ind w:hanging="540"/>
        <w:jc w:val="both"/>
        <w:rPr>
          <w:sz w:val="20"/>
          <w:szCs w:val="20"/>
        </w:rPr>
      </w:pPr>
      <w:r w:rsidRPr="00F7263B">
        <w:rPr>
          <w:sz w:val="20"/>
          <w:szCs w:val="20"/>
        </w:rPr>
        <w:t xml:space="preserve">The Federal Public Procurement and Asset Management Agency will provide guidance to the Regional Public Procurement and Asset Management Agencies and assist with the capacity building of procurement specialists. </w:t>
      </w:r>
    </w:p>
    <w:p w:rsidR="00713BB0" w:rsidRPr="00F7263B" w:rsidRDefault="00713BB0" w:rsidP="0068255C">
      <w:pPr>
        <w:ind w:left="900"/>
        <w:jc w:val="both"/>
        <w:rPr>
          <w:sz w:val="20"/>
          <w:szCs w:val="20"/>
        </w:rPr>
      </w:pPr>
    </w:p>
    <w:p w:rsidR="00713BB0" w:rsidRPr="00F7263B" w:rsidRDefault="0020029B" w:rsidP="0068255C">
      <w:pPr>
        <w:pStyle w:val="ListParagraph"/>
        <w:numPr>
          <w:ilvl w:val="1"/>
          <w:numId w:val="74"/>
        </w:numPr>
        <w:ind w:hanging="540"/>
        <w:jc w:val="both"/>
        <w:rPr>
          <w:rFonts w:cs="Times New Roman"/>
          <w:sz w:val="20"/>
          <w:szCs w:val="20"/>
        </w:rPr>
      </w:pPr>
      <w:r w:rsidRPr="00F7263B">
        <w:rPr>
          <w:sz w:val="20"/>
          <w:szCs w:val="20"/>
        </w:rPr>
        <w:t>TheFederal Ethics and Anti-Corruption Commission (FEAC</w:t>
      </w:r>
      <w:r w:rsidR="003A2D81" w:rsidRPr="00F7263B">
        <w:rPr>
          <w:sz w:val="20"/>
          <w:szCs w:val="20"/>
        </w:rPr>
        <w:t>C</w:t>
      </w:r>
      <w:r w:rsidRPr="00F7263B">
        <w:rPr>
          <w:sz w:val="20"/>
          <w:szCs w:val="20"/>
        </w:rPr>
        <w:t xml:space="preserve">) has the power to prevent, expose, investigate and prosecute corruption offences and impropriety in Ethiopia. Under ULGDP II, it will ensure the Program is aligned with the World Bank’s anti-corruption guidelines. It will be responsible </w:t>
      </w:r>
      <w:r w:rsidRPr="00F7263B">
        <w:rPr>
          <w:rFonts w:cs="Times New Roman"/>
          <w:sz w:val="20"/>
          <w:szCs w:val="20"/>
        </w:rPr>
        <w:t xml:space="preserve">for fraud and corruption monitoring and reporting, and provide guidance and capacity building support to the Regional </w:t>
      </w:r>
      <w:r w:rsidRPr="00F7263B">
        <w:rPr>
          <w:sz w:val="20"/>
          <w:szCs w:val="20"/>
        </w:rPr>
        <w:t>Ethics and Anti-Corruption Commissions (REACs) and ULGs on similar functions.</w:t>
      </w:r>
    </w:p>
    <w:p w:rsidR="00635B82" w:rsidRPr="00F7263B" w:rsidRDefault="00635B82" w:rsidP="00635B82">
      <w:pPr>
        <w:pStyle w:val="ListParagraph"/>
        <w:tabs>
          <w:tab w:val="right" w:pos="90"/>
          <w:tab w:val="right" w:pos="270"/>
        </w:tabs>
        <w:ind w:left="0"/>
        <w:jc w:val="both"/>
        <w:rPr>
          <w:rFonts w:cs="Times New Roman"/>
          <w:sz w:val="20"/>
          <w:szCs w:val="20"/>
        </w:rPr>
      </w:pPr>
    </w:p>
    <w:p w:rsidR="006E7278" w:rsidRPr="00F7263B" w:rsidRDefault="00635B82" w:rsidP="00827BD7">
      <w:pPr>
        <w:pStyle w:val="ListParagraph"/>
        <w:numPr>
          <w:ilvl w:val="0"/>
          <w:numId w:val="29"/>
        </w:numPr>
        <w:ind w:left="0" w:firstLine="0"/>
        <w:jc w:val="both"/>
        <w:rPr>
          <w:rFonts w:cs="Times New Roman"/>
          <w:sz w:val="20"/>
          <w:szCs w:val="20"/>
        </w:rPr>
      </w:pPr>
      <w:r w:rsidRPr="00F7263B">
        <w:rPr>
          <w:sz w:val="20"/>
          <w:szCs w:val="20"/>
        </w:rPr>
        <w:t xml:space="preserve">As under the ULGDP, the Urban Governance Capacity Building Bureau (UGCBB) at the MUDHCo will be responsible for daily coordination of the Program.  </w:t>
      </w:r>
      <w:r w:rsidRPr="00F7263B">
        <w:rPr>
          <w:rFonts w:cs="Times New Roman"/>
          <w:sz w:val="20"/>
          <w:szCs w:val="20"/>
        </w:rPr>
        <w:t>The significant geographic and technical scale up of the Program under the proposed PforR, and the existing staffing gaps, if unaddressed, bring considerable risk to the achievement of the operation’s development objective.  Therefore there is a serious need to fill the personnel gaps and further strengthen capacity of UGCBB.  T</w:t>
      </w:r>
      <w:r w:rsidRPr="00F7263B">
        <w:rPr>
          <w:sz w:val="20"/>
          <w:szCs w:val="20"/>
        </w:rPr>
        <w:t xml:space="preserve">he current MUDHCo multi-disciplinary team comprising 12 specialists should be further strengthened to include a minimum of 34 specialists and one long-term international advisor.  The strengthened team will boost the capacity within the MUDHCo to perform the necessary functions required under ULGDP II and </w:t>
      </w:r>
      <w:r w:rsidR="007F311D" w:rsidRPr="00F7263B">
        <w:rPr>
          <w:sz w:val="20"/>
          <w:szCs w:val="20"/>
        </w:rPr>
        <w:t>allow the ministry to provide greater capacity building support to the regions and the ULGs</w:t>
      </w:r>
      <w:r w:rsidRPr="00F7263B">
        <w:rPr>
          <w:sz w:val="20"/>
          <w:szCs w:val="20"/>
        </w:rPr>
        <w:t xml:space="preserve">.  </w:t>
      </w:r>
    </w:p>
    <w:p w:rsidR="00391918" w:rsidRPr="00F7263B" w:rsidRDefault="00391918" w:rsidP="00391918">
      <w:pPr>
        <w:pStyle w:val="ListParagraph"/>
        <w:ind w:left="0"/>
        <w:jc w:val="both"/>
        <w:rPr>
          <w:sz w:val="20"/>
          <w:szCs w:val="20"/>
        </w:rPr>
      </w:pPr>
    </w:p>
    <w:p w:rsidR="0093238E" w:rsidRPr="00F7263B" w:rsidRDefault="005162B6" w:rsidP="00827BD7">
      <w:pPr>
        <w:pStyle w:val="ListParagraph"/>
        <w:numPr>
          <w:ilvl w:val="0"/>
          <w:numId w:val="29"/>
        </w:numPr>
        <w:ind w:left="0" w:firstLine="0"/>
        <w:jc w:val="both"/>
        <w:rPr>
          <w:rFonts w:cs="Times New Roman"/>
          <w:sz w:val="20"/>
          <w:szCs w:val="20"/>
        </w:rPr>
      </w:pPr>
      <w:r w:rsidRPr="00F7263B">
        <w:rPr>
          <w:sz w:val="20"/>
          <w:szCs w:val="20"/>
        </w:rPr>
        <w:t xml:space="preserve">In addition, the </w:t>
      </w:r>
      <w:r w:rsidRPr="00F7263B">
        <w:rPr>
          <w:rFonts w:cs="Times New Roman"/>
          <w:sz w:val="20"/>
          <w:szCs w:val="20"/>
        </w:rPr>
        <w:t>MUDHCo will be responsible for overall Program reporting</w:t>
      </w:r>
      <w:r w:rsidR="00D26036" w:rsidRPr="00F7263B">
        <w:rPr>
          <w:rFonts w:cs="Times New Roman"/>
          <w:sz w:val="20"/>
          <w:szCs w:val="20"/>
        </w:rPr>
        <w:t xml:space="preserve"> and monitoring and evaluation</w:t>
      </w:r>
      <w:r w:rsidRPr="00F7263B">
        <w:rPr>
          <w:rFonts w:cs="Times New Roman"/>
          <w:sz w:val="20"/>
          <w:szCs w:val="20"/>
        </w:rPr>
        <w:t xml:space="preserve">.  </w:t>
      </w:r>
      <w:r w:rsidR="0093238E" w:rsidRPr="00F7263B">
        <w:rPr>
          <w:rFonts w:cs="Times New Roman"/>
          <w:sz w:val="20"/>
          <w:szCs w:val="20"/>
        </w:rPr>
        <w:t>It will also produce and submit to the World Bank a midyear and an annual Program report, with information on the following:</w:t>
      </w:r>
    </w:p>
    <w:p w:rsidR="0093238E" w:rsidRPr="00F7263B" w:rsidRDefault="0093238E" w:rsidP="00254260">
      <w:pPr>
        <w:pStyle w:val="ListParagraph"/>
        <w:ind w:left="0"/>
        <w:jc w:val="both"/>
        <w:rPr>
          <w:rFonts w:cs="Times New Roman"/>
          <w:sz w:val="20"/>
          <w:szCs w:val="20"/>
        </w:rPr>
      </w:pPr>
    </w:p>
    <w:p w:rsidR="0093238E" w:rsidRPr="00F7263B" w:rsidRDefault="0093238E" w:rsidP="00254260">
      <w:pPr>
        <w:pStyle w:val="ListParagraph"/>
        <w:numPr>
          <w:ilvl w:val="0"/>
          <w:numId w:val="29"/>
        </w:numPr>
        <w:autoSpaceDE w:val="0"/>
        <w:autoSpaceDN w:val="0"/>
        <w:adjustRightInd w:val="0"/>
        <w:spacing w:after="240"/>
        <w:ind w:left="0" w:firstLine="0"/>
        <w:jc w:val="both"/>
        <w:rPr>
          <w:rFonts w:cs="Times New Roman"/>
          <w:sz w:val="20"/>
          <w:szCs w:val="20"/>
        </w:rPr>
      </w:pPr>
      <w:r w:rsidRPr="00F7263B">
        <w:rPr>
          <w:rFonts w:cs="Times New Roman"/>
          <w:b/>
          <w:sz w:val="20"/>
          <w:szCs w:val="20"/>
        </w:rPr>
        <w:t>The midyear will cover the following issues</w:t>
      </w:r>
      <w:r w:rsidRPr="00F7263B">
        <w:rPr>
          <w:rFonts w:cs="Times New Roman"/>
          <w:sz w:val="20"/>
          <w:szCs w:val="20"/>
        </w:rPr>
        <w:t>:</w:t>
      </w:r>
    </w:p>
    <w:p w:rsidR="0093238E" w:rsidRPr="00F7263B" w:rsidRDefault="0093238E" w:rsidP="005162B6">
      <w:pPr>
        <w:pStyle w:val="ListParagraph"/>
        <w:rPr>
          <w:rFonts w:cs="Times New Roman"/>
          <w:sz w:val="20"/>
          <w:szCs w:val="20"/>
        </w:rPr>
      </w:pP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lastRenderedPageBreak/>
        <w:t>Summary of aggregate Program expenditures and Program infrastructure delivered by ULGs.</w:t>
      </w: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Execution of the MUDHCo capacity building plan.</w:t>
      </w: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capacity building activities undertaken by ULGs and regional governments.</w:t>
      </w: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environmental and social performance reports from each ULG, including information on grievances.</w:t>
      </w: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progress against Program’s performance indicators.</w:t>
      </w:r>
    </w:p>
    <w:p w:rsidR="0093238E" w:rsidRPr="00F7263B" w:rsidRDefault="0093238E" w:rsidP="0093238E">
      <w:pPr>
        <w:pStyle w:val="ListParagraph"/>
        <w:spacing w:after="200"/>
        <w:ind w:left="0"/>
        <w:jc w:val="both"/>
        <w:rPr>
          <w:sz w:val="20"/>
          <w:szCs w:val="20"/>
        </w:rPr>
      </w:pPr>
    </w:p>
    <w:p w:rsidR="0093238E" w:rsidRPr="00F7263B" w:rsidRDefault="0093238E" w:rsidP="00254260">
      <w:pPr>
        <w:pStyle w:val="ListParagraph"/>
        <w:numPr>
          <w:ilvl w:val="0"/>
          <w:numId w:val="95"/>
        </w:numPr>
        <w:autoSpaceDE w:val="0"/>
        <w:autoSpaceDN w:val="0"/>
        <w:adjustRightInd w:val="0"/>
        <w:spacing w:after="240"/>
        <w:ind w:hanging="720"/>
        <w:jc w:val="both"/>
        <w:rPr>
          <w:b/>
          <w:sz w:val="20"/>
          <w:szCs w:val="20"/>
        </w:rPr>
      </w:pPr>
      <w:r w:rsidRPr="00F7263B">
        <w:rPr>
          <w:b/>
          <w:sz w:val="20"/>
          <w:szCs w:val="20"/>
        </w:rPr>
        <w:t>The annual Program report will include all the above, plus:</w:t>
      </w:r>
    </w:p>
    <w:p w:rsidR="0093238E" w:rsidRPr="00F7263B" w:rsidRDefault="0093238E" w:rsidP="0093238E">
      <w:pPr>
        <w:pStyle w:val="ListParagraph"/>
        <w:autoSpaceDE w:val="0"/>
        <w:autoSpaceDN w:val="0"/>
        <w:adjustRightInd w:val="0"/>
        <w:spacing w:after="240"/>
        <w:ind w:left="0"/>
        <w:jc w:val="both"/>
        <w:rPr>
          <w:sz w:val="20"/>
          <w:szCs w:val="20"/>
        </w:rPr>
      </w:pP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the assessment results, including the performance of Program ULGs and the disbursed amounts.</w:t>
      </w: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information on procurement grievances.</w:t>
      </w:r>
    </w:p>
    <w:p w:rsidR="0093238E" w:rsidRPr="00F7263B" w:rsidRDefault="0093238E" w:rsidP="0093238E">
      <w:pPr>
        <w:pStyle w:val="ListParagraph"/>
        <w:numPr>
          <w:ilvl w:val="0"/>
          <w:numId w:val="24"/>
        </w:numPr>
        <w:tabs>
          <w:tab w:val="right" w:pos="90"/>
          <w:tab w:val="right" w:pos="270"/>
        </w:tabs>
        <w:spacing w:after="200"/>
        <w:ind w:left="1440" w:hanging="720"/>
        <w:jc w:val="both"/>
        <w:rPr>
          <w:rFonts w:cs="Times New Roman"/>
          <w:sz w:val="20"/>
          <w:szCs w:val="20"/>
        </w:rPr>
      </w:pPr>
      <w:r w:rsidRPr="00F7263B">
        <w:rPr>
          <w:rFonts w:cs="Times New Roman"/>
          <w:sz w:val="20"/>
          <w:szCs w:val="20"/>
        </w:rPr>
        <w:t>Summary of aggregate information on fraud and corruption issues.</w:t>
      </w:r>
    </w:p>
    <w:p w:rsidR="0093238E" w:rsidRPr="00F7263B" w:rsidRDefault="0093238E" w:rsidP="0093238E">
      <w:pPr>
        <w:pStyle w:val="ListParagraph"/>
        <w:autoSpaceDE w:val="0"/>
        <w:autoSpaceDN w:val="0"/>
        <w:adjustRightInd w:val="0"/>
        <w:spacing w:after="240"/>
        <w:ind w:left="0"/>
        <w:jc w:val="both"/>
        <w:rPr>
          <w:sz w:val="20"/>
          <w:szCs w:val="20"/>
        </w:rPr>
      </w:pPr>
    </w:p>
    <w:p w:rsidR="006E7278" w:rsidRPr="00F7263B" w:rsidRDefault="00391918" w:rsidP="00254260">
      <w:pPr>
        <w:pStyle w:val="ListParagraph"/>
        <w:numPr>
          <w:ilvl w:val="0"/>
          <w:numId w:val="96"/>
        </w:numPr>
        <w:ind w:left="0" w:firstLine="0"/>
        <w:jc w:val="both"/>
        <w:rPr>
          <w:rFonts w:cs="Times New Roman"/>
          <w:sz w:val="20"/>
          <w:szCs w:val="20"/>
        </w:rPr>
      </w:pPr>
      <w:r w:rsidRPr="00F7263B">
        <w:rPr>
          <w:rFonts w:cs="Times New Roman"/>
          <w:sz w:val="20"/>
          <w:szCs w:val="20"/>
        </w:rPr>
        <w:t>A steering committee will be established,comprising representatives from the MUDHCo and MoFED to ensure strong coordination on issues such as planning, allocations, flow of funds, compilation of data</w:t>
      </w:r>
      <w:r w:rsidR="002665C1" w:rsidRPr="00F7263B">
        <w:rPr>
          <w:rFonts w:cs="Times New Roman"/>
          <w:sz w:val="20"/>
          <w:szCs w:val="20"/>
        </w:rPr>
        <w:t>,</w:t>
      </w:r>
      <w:r w:rsidRPr="00F7263B">
        <w:rPr>
          <w:rFonts w:cs="Times New Roman"/>
          <w:sz w:val="20"/>
          <w:szCs w:val="20"/>
        </w:rPr>
        <w:t xml:space="preserve"> and approval of the results from the APAs.  A technical sub-committee comprising key technical staff of MUDHCo and MoFEDwill be formed under this committee.  It willreview the results of the APAs and ensure their quality.  It will also respond to complaints that cannot be resolved at entity level.  The technical committee is expected to meet quarterly and review Program implementation against objectives, bring policy issues to the larger coordination committee, and ensure that the Program is implemented in line with the Program </w:t>
      </w:r>
      <w:r w:rsidR="007414BF" w:rsidRPr="00F7263B">
        <w:rPr>
          <w:rFonts w:cs="Times New Roman"/>
          <w:sz w:val="20"/>
          <w:szCs w:val="20"/>
        </w:rPr>
        <w:t>Operational Manual</w:t>
      </w:r>
      <w:r w:rsidRPr="00F7263B">
        <w:rPr>
          <w:rFonts w:cs="Times New Roman"/>
          <w:sz w:val="20"/>
          <w:szCs w:val="20"/>
        </w:rPr>
        <w:t>.</w:t>
      </w:r>
    </w:p>
    <w:p w:rsidR="00391918" w:rsidRPr="00F7263B" w:rsidRDefault="00391918" w:rsidP="00391918">
      <w:pPr>
        <w:pStyle w:val="ListParagraph"/>
        <w:autoSpaceDE w:val="0"/>
        <w:autoSpaceDN w:val="0"/>
        <w:adjustRightInd w:val="0"/>
        <w:spacing w:after="240"/>
        <w:ind w:left="0"/>
        <w:jc w:val="both"/>
        <w:rPr>
          <w:rFonts w:cs="Times New Roman"/>
          <w:sz w:val="20"/>
          <w:szCs w:val="20"/>
        </w:rPr>
      </w:pPr>
    </w:p>
    <w:p w:rsidR="00391918" w:rsidRPr="00F7263B" w:rsidRDefault="00391918" w:rsidP="00391918">
      <w:pPr>
        <w:pStyle w:val="ListParagraph"/>
        <w:tabs>
          <w:tab w:val="right" w:pos="90"/>
          <w:tab w:val="right" w:pos="270"/>
        </w:tabs>
        <w:ind w:left="0"/>
        <w:jc w:val="both"/>
        <w:rPr>
          <w:rFonts w:cs="Times New Roman"/>
          <w:i/>
          <w:sz w:val="20"/>
          <w:szCs w:val="20"/>
        </w:rPr>
      </w:pPr>
      <w:r w:rsidRPr="00F7263B">
        <w:rPr>
          <w:rFonts w:cs="Times New Roman"/>
          <w:i/>
          <w:sz w:val="20"/>
          <w:szCs w:val="20"/>
        </w:rPr>
        <w:t>Regional level</w:t>
      </w:r>
    </w:p>
    <w:p w:rsidR="00391918" w:rsidRPr="00F7263B" w:rsidRDefault="00391918" w:rsidP="00391918">
      <w:pPr>
        <w:pStyle w:val="ListParagraph"/>
        <w:tabs>
          <w:tab w:val="right" w:pos="90"/>
          <w:tab w:val="right" w:pos="270"/>
        </w:tabs>
        <w:ind w:left="0"/>
        <w:jc w:val="both"/>
        <w:rPr>
          <w:rFonts w:cs="Times New Roman"/>
          <w:sz w:val="20"/>
          <w:szCs w:val="20"/>
        </w:rPr>
      </w:pPr>
    </w:p>
    <w:p w:rsidR="006E7278" w:rsidRPr="00F7263B" w:rsidRDefault="00391918" w:rsidP="00254260">
      <w:pPr>
        <w:pStyle w:val="ListParagraph"/>
        <w:numPr>
          <w:ilvl w:val="0"/>
          <w:numId w:val="96"/>
        </w:numPr>
        <w:ind w:left="0" w:firstLine="0"/>
        <w:jc w:val="both"/>
        <w:rPr>
          <w:rFonts w:cs="Times New Roman"/>
          <w:sz w:val="20"/>
          <w:szCs w:val="20"/>
        </w:rPr>
      </w:pPr>
      <w:r w:rsidRPr="00F7263B">
        <w:rPr>
          <w:rFonts w:cs="Times New Roman"/>
          <w:sz w:val="20"/>
          <w:szCs w:val="20"/>
        </w:rPr>
        <w:t>At the regional government level:</w:t>
      </w:r>
    </w:p>
    <w:p w:rsidR="00391918" w:rsidRPr="00F7263B" w:rsidRDefault="00391918" w:rsidP="00391918">
      <w:pPr>
        <w:pStyle w:val="ListParagraph"/>
        <w:autoSpaceDE w:val="0"/>
        <w:autoSpaceDN w:val="0"/>
        <w:adjustRightInd w:val="0"/>
        <w:spacing w:after="240"/>
        <w:ind w:left="0"/>
        <w:jc w:val="both"/>
        <w:rPr>
          <w:rFonts w:cs="Times New Roman"/>
          <w:sz w:val="20"/>
          <w:szCs w:val="20"/>
        </w:rPr>
      </w:pPr>
    </w:p>
    <w:p w:rsidR="00E240D1" w:rsidRPr="00F7263B" w:rsidRDefault="00E240D1" w:rsidP="00E618F2">
      <w:pPr>
        <w:pStyle w:val="ListParagraph"/>
        <w:numPr>
          <w:ilvl w:val="0"/>
          <w:numId w:val="75"/>
        </w:numPr>
        <w:jc w:val="both"/>
        <w:rPr>
          <w:rFonts w:cs="Times New Roman"/>
          <w:sz w:val="20"/>
          <w:szCs w:val="20"/>
        </w:rPr>
      </w:pPr>
      <w:r w:rsidRPr="00F7263B">
        <w:rPr>
          <w:rFonts w:cs="Times New Roman"/>
          <w:sz w:val="20"/>
          <w:szCs w:val="20"/>
        </w:rPr>
        <w:t xml:space="preserve">The respective regional Bureaus of Urban Development (BUDs) will be responsible for daily </w:t>
      </w:r>
      <w:r w:rsidRPr="00F7263B">
        <w:rPr>
          <w:sz w:val="20"/>
          <w:szCs w:val="20"/>
        </w:rPr>
        <w:t>coordination</w:t>
      </w:r>
      <w:r w:rsidRPr="00F7263B">
        <w:rPr>
          <w:rFonts w:cs="Times New Roman"/>
          <w:sz w:val="20"/>
          <w:szCs w:val="20"/>
        </w:rPr>
        <w:t xml:space="preserve"> of the Program at the regional level.  Specifically, the BUDs will be in charge of:</w:t>
      </w:r>
    </w:p>
    <w:p w:rsidR="006E7278" w:rsidRPr="00F7263B" w:rsidRDefault="00E240D1"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 xml:space="preserve">Capacity building support of the ULGs in their jurisdiction. </w:t>
      </w:r>
    </w:p>
    <w:p w:rsidR="006E7278" w:rsidRPr="00F7263B" w:rsidRDefault="00E240D1"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Preparation of progress reports covering all ULGs in their jurisdiction.</w:t>
      </w:r>
    </w:p>
    <w:p w:rsidR="006E7278" w:rsidRPr="00F7263B" w:rsidRDefault="00E240D1" w:rsidP="00827BD7">
      <w:pPr>
        <w:pStyle w:val="ListParagraph"/>
        <w:numPr>
          <w:ilvl w:val="2"/>
          <w:numId w:val="12"/>
        </w:numPr>
        <w:spacing w:after="200"/>
        <w:ind w:left="1800" w:hanging="360"/>
        <w:jc w:val="both"/>
        <w:rPr>
          <w:rFonts w:cs="Times New Roman"/>
          <w:sz w:val="20"/>
          <w:szCs w:val="20"/>
        </w:rPr>
      </w:pPr>
      <w:r w:rsidRPr="00F7263B">
        <w:rPr>
          <w:rFonts w:cs="Times New Roman"/>
          <w:sz w:val="20"/>
          <w:szCs w:val="20"/>
        </w:rPr>
        <w:t>Oversight and backstopping support related to aspects of the Program.</w:t>
      </w:r>
    </w:p>
    <w:p w:rsidR="00E240D1" w:rsidRPr="00F7263B" w:rsidRDefault="00E240D1" w:rsidP="00E240D1">
      <w:pPr>
        <w:pStyle w:val="ListParagraph"/>
        <w:spacing w:after="200"/>
        <w:ind w:left="1260"/>
        <w:jc w:val="both"/>
        <w:rPr>
          <w:rFonts w:cs="Times New Roman"/>
          <w:sz w:val="20"/>
          <w:szCs w:val="20"/>
        </w:rPr>
      </w:pPr>
    </w:p>
    <w:p w:rsidR="00E240D1" w:rsidRPr="00F7263B" w:rsidRDefault="00E240D1" w:rsidP="00E618F2">
      <w:pPr>
        <w:pStyle w:val="ListParagraph"/>
        <w:numPr>
          <w:ilvl w:val="0"/>
          <w:numId w:val="75"/>
        </w:numPr>
        <w:jc w:val="both"/>
        <w:rPr>
          <w:sz w:val="20"/>
          <w:szCs w:val="20"/>
        </w:rPr>
      </w:pPr>
      <w:r w:rsidRPr="00F7263B">
        <w:rPr>
          <w:sz w:val="20"/>
          <w:szCs w:val="20"/>
        </w:rPr>
        <w:t xml:space="preserve">Office of Regional Auditor General (ORAGs) will conduct, either directly or through delegated authority, the external audit of ULG financial reports. </w:t>
      </w:r>
    </w:p>
    <w:p w:rsidR="00E240D1" w:rsidRPr="00F7263B" w:rsidRDefault="00E240D1" w:rsidP="00E618F2">
      <w:pPr>
        <w:pStyle w:val="ListParagraph"/>
        <w:numPr>
          <w:ilvl w:val="0"/>
          <w:numId w:val="75"/>
        </w:numPr>
        <w:jc w:val="both"/>
        <w:rPr>
          <w:sz w:val="20"/>
          <w:szCs w:val="20"/>
        </w:rPr>
      </w:pPr>
      <w:r w:rsidRPr="00F7263B">
        <w:rPr>
          <w:sz w:val="20"/>
          <w:szCs w:val="20"/>
        </w:rPr>
        <w:t>Regional environmental protection agencies (REPAs) will oversee the implementation of the Program’s environmental and social safeguards agreements.</w:t>
      </w:r>
    </w:p>
    <w:p w:rsidR="00E240D1" w:rsidRPr="00F7263B" w:rsidRDefault="00E240D1" w:rsidP="00E618F2">
      <w:pPr>
        <w:pStyle w:val="ListParagraph"/>
        <w:numPr>
          <w:ilvl w:val="0"/>
          <w:numId w:val="75"/>
        </w:numPr>
        <w:jc w:val="both"/>
        <w:rPr>
          <w:sz w:val="20"/>
          <w:szCs w:val="20"/>
        </w:rPr>
      </w:pPr>
      <w:r w:rsidRPr="00F7263B">
        <w:rPr>
          <w:sz w:val="20"/>
          <w:szCs w:val="20"/>
        </w:rPr>
        <w:t>Bureaus of Finance and Economic Development (BoFEDs) will manage flow of funds at the regional level, and consolidate the fiscal reporting from the ULGs for submitting them to MoFED.</w:t>
      </w:r>
    </w:p>
    <w:p w:rsidR="00D91642" w:rsidRPr="00F7263B" w:rsidRDefault="00D91642" w:rsidP="00E618F2">
      <w:pPr>
        <w:pStyle w:val="ListParagraph"/>
        <w:numPr>
          <w:ilvl w:val="0"/>
          <w:numId w:val="75"/>
        </w:numPr>
        <w:jc w:val="both"/>
        <w:rPr>
          <w:sz w:val="20"/>
          <w:szCs w:val="20"/>
        </w:rPr>
      </w:pPr>
      <w:r w:rsidRPr="00F7263B">
        <w:rPr>
          <w:sz w:val="20"/>
          <w:szCs w:val="20"/>
        </w:rPr>
        <w:t xml:space="preserve">Regional </w:t>
      </w:r>
      <w:r w:rsidR="00AF73B3" w:rsidRPr="00F7263B">
        <w:rPr>
          <w:sz w:val="20"/>
          <w:szCs w:val="20"/>
        </w:rPr>
        <w:t>r</w:t>
      </w:r>
      <w:r w:rsidRPr="00F7263B">
        <w:rPr>
          <w:sz w:val="20"/>
          <w:szCs w:val="20"/>
        </w:rPr>
        <w:t xml:space="preserve">evenue </w:t>
      </w:r>
      <w:r w:rsidR="00AF73B3" w:rsidRPr="00F7263B">
        <w:rPr>
          <w:sz w:val="20"/>
          <w:szCs w:val="20"/>
        </w:rPr>
        <w:t>a</w:t>
      </w:r>
      <w:r w:rsidRPr="00F7263B">
        <w:rPr>
          <w:sz w:val="20"/>
          <w:szCs w:val="20"/>
        </w:rPr>
        <w:t>uthorit</w:t>
      </w:r>
      <w:r w:rsidR="00AF73B3" w:rsidRPr="00F7263B">
        <w:rPr>
          <w:sz w:val="20"/>
          <w:szCs w:val="20"/>
        </w:rPr>
        <w:t>ies</w:t>
      </w:r>
      <w:r w:rsidRPr="00F7263B">
        <w:rPr>
          <w:sz w:val="20"/>
          <w:szCs w:val="20"/>
        </w:rPr>
        <w:t xml:space="preserve"> will support the ULGs in revenue mobilization through conducive dialogue, support and guidance;</w:t>
      </w:r>
    </w:p>
    <w:p w:rsidR="00E240D1" w:rsidRPr="00F7263B" w:rsidRDefault="00E240D1" w:rsidP="00E618F2">
      <w:pPr>
        <w:pStyle w:val="ListParagraph"/>
        <w:numPr>
          <w:ilvl w:val="0"/>
          <w:numId w:val="75"/>
        </w:numPr>
        <w:jc w:val="both"/>
        <w:rPr>
          <w:sz w:val="20"/>
          <w:szCs w:val="20"/>
        </w:rPr>
      </w:pPr>
      <w:r w:rsidRPr="00F7263B">
        <w:rPr>
          <w:sz w:val="20"/>
          <w:szCs w:val="20"/>
        </w:rPr>
        <w:t>Regional Public Procurement and Asset Management Agenc</w:t>
      </w:r>
      <w:r w:rsidR="00AF73B3" w:rsidRPr="00F7263B">
        <w:rPr>
          <w:sz w:val="20"/>
          <w:szCs w:val="20"/>
        </w:rPr>
        <w:t>ies</w:t>
      </w:r>
      <w:r w:rsidRPr="00F7263B">
        <w:rPr>
          <w:sz w:val="20"/>
          <w:szCs w:val="20"/>
        </w:rPr>
        <w:t xml:space="preserve"> will provide more direct guidance and support to the ULGs on procurement procedures; and </w:t>
      </w:r>
    </w:p>
    <w:p w:rsidR="00E240D1" w:rsidRPr="00F7263B" w:rsidRDefault="00E240D1" w:rsidP="00E618F2">
      <w:pPr>
        <w:pStyle w:val="ListParagraph"/>
        <w:numPr>
          <w:ilvl w:val="0"/>
          <w:numId w:val="75"/>
        </w:numPr>
        <w:jc w:val="both"/>
        <w:rPr>
          <w:rFonts w:cs="Times New Roman"/>
          <w:sz w:val="20"/>
          <w:szCs w:val="20"/>
        </w:rPr>
      </w:pPr>
      <w:r w:rsidRPr="00F7263B">
        <w:rPr>
          <w:sz w:val="20"/>
          <w:szCs w:val="20"/>
        </w:rPr>
        <w:t xml:space="preserve">Regional Ethics and Anti-Corruption Commission (REAC) will be responsible </w:t>
      </w:r>
      <w:r w:rsidRPr="00F7263B">
        <w:rPr>
          <w:rFonts w:cs="Times New Roman"/>
          <w:sz w:val="20"/>
          <w:szCs w:val="20"/>
        </w:rPr>
        <w:t>for fraud and corruption monitoring and reporting of ULGs under their charge.</w:t>
      </w:r>
    </w:p>
    <w:p w:rsidR="00E240D1" w:rsidRPr="00F7263B" w:rsidRDefault="00E240D1" w:rsidP="00E240D1">
      <w:pPr>
        <w:pStyle w:val="ListParagraph"/>
        <w:spacing w:after="200"/>
        <w:jc w:val="both"/>
        <w:rPr>
          <w:rFonts w:cs="Times New Roman"/>
          <w:sz w:val="20"/>
          <w:szCs w:val="20"/>
        </w:rPr>
      </w:pPr>
    </w:p>
    <w:p w:rsidR="006E7278" w:rsidRPr="00F7263B" w:rsidRDefault="00391918" w:rsidP="00254260">
      <w:pPr>
        <w:pStyle w:val="ListParagraph"/>
        <w:numPr>
          <w:ilvl w:val="0"/>
          <w:numId w:val="96"/>
        </w:numPr>
        <w:ind w:left="0" w:firstLine="0"/>
        <w:jc w:val="both"/>
        <w:rPr>
          <w:rFonts w:cs="Times New Roman"/>
          <w:sz w:val="20"/>
          <w:szCs w:val="20"/>
        </w:rPr>
      </w:pPr>
      <w:r w:rsidRPr="00F7263B">
        <w:rPr>
          <w:sz w:val="20"/>
          <w:szCs w:val="20"/>
        </w:rPr>
        <w:t xml:space="preserve">In contrast to ULGDP, under ULGDP II regional governments will begin assuming expanded </w:t>
      </w:r>
      <w:r w:rsidRPr="00F7263B">
        <w:rPr>
          <w:rFonts w:cs="Times New Roman"/>
          <w:sz w:val="20"/>
          <w:szCs w:val="20"/>
        </w:rPr>
        <w:t>roles</w:t>
      </w:r>
      <w:r w:rsidRPr="00F7263B">
        <w:rPr>
          <w:sz w:val="20"/>
          <w:szCs w:val="20"/>
        </w:rPr>
        <w:t xml:space="preserve"> in supporting ULGs within their jurisdictions to improve urban governance performance.  Therefore, ULGDP II provides for the federal mobile and regional mobile capacity building teams to give support to the regional bureaus of urban development to build up their general capacity for urban governance and management, in the range of relevant areas.  In turn, the regions will have greater capacity to provide guidance for the ULGs.</w:t>
      </w:r>
    </w:p>
    <w:p w:rsidR="00391918" w:rsidRPr="00F7263B" w:rsidRDefault="00391918" w:rsidP="00391918">
      <w:pPr>
        <w:pStyle w:val="ListParagraph"/>
        <w:tabs>
          <w:tab w:val="right" w:pos="90"/>
          <w:tab w:val="right" w:pos="270"/>
        </w:tabs>
        <w:ind w:left="0"/>
        <w:jc w:val="both"/>
        <w:rPr>
          <w:rFonts w:cs="Times New Roman"/>
          <w:i/>
          <w:sz w:val="20"/>
          <w:szCs w:val="20"/>
        </w:rPr>
      </w:pPr>
    </w:p>
    <w:p w:rsidR="00391918" w:rsidRPr="00F7263B" w:rsidRDefault="00391918" w:rsidP="00391918">
      <w:pPr>
        <w:pStyle w:val="ListParagraph"/>
        <w:tabs>
          <w:tab w:val="right" w:pos="90"/>
          <w:tab w:val="right" w:pos="270"/>
        </w:tabs>
        <w:ind w:left="0"/>
        <w:jc w:val="both"/>
        <w:rPr>
          <w:rFonts w:cs="Times New Roman"/>
          <w:i/>
          <w:sz w:val="20"/>
          <w:szCs w:val="20"/>
        </w:rPr>
      </w:pPr>
      <w:r w:rsidRPr="00F7263B">
        <w:rPr>
          <w:rFonts w:cs="Times New Roman"/>
          <w:i/>
          <w:sz w:val="20"/>
          <w:szCs w:val="20"/>
        </w:rPr>
        <w:t>Urban local government level</w:t>
      </w:r>
    </w:p>
    <w:p w:rsidR="00391918" w:rsidRPr="00F7263B" w:rsidRDefault="00391918" w:rsidP="00391918">
      <w:pPr>
        <w:pStyle w:val="ListParagraph"/>
        <w:autoSpaceDE w:val="0"/>
        <w:autoSpaceDN w:val="0"/>
        <w:adjustRightInd w:val="0"/>
        <w:spacing w:after="240"/>
        <w:ind w:left="0"/>
        <w:jc w:val="both"/>
        <w:rPr>
          <w:rFonts w:cs="Times New Roman"/>
          <w:sz w:val="20"/>
          <w:szCs w:val="20"/>
        </w:rPr>
      </w:pPr>
    </w:p>
    <w:p w:rsidR="006E7278" w:rsidRPr="00F7263B" w:rsidRDefault="00391918" w:rsidP="00254260">
      <w:pPr>
        <w:pStyle w:val="ListParagraph"/>
        <w:numPr>
          <w:ilvl w:val="0"/>
          <w:numId w:val="96"/>
        </w:numPr>
        <w:ind w:left="0" w:firstLine="0"/>
        <w:jc w:val="both"/>
        <w:rPr>
          <w:rFonts w:cs="Times New Roman"/>
          <w:sz w:val="20"/>
          <w:szCs w:val="20"/>
        </w:rPr>
      </w:pPr>
      <w:r w:rsidRPr="00F7263B">
        <w:rPr>
          <w:rFonts w:cs="Times New Roman"/>
          <w:sz w:val="20"/>
          <w:szCs w:val="20"/>
        </w:rPr>
        <w:t>At the ULG level:</w:t>
      </w:r>
    </w:p>
    <w:p w:rsidR="00391918" w:rsidRPr="00F7263B" w:rsidRDefault="00391918" w:rsidP="00391918">
      <w:pPr>
        <w:pStyle w:val="ListParagraph"/>
        <w:autoSpaceDE w:val="0"/>
        <w:autoSpaceDN w:val="0"/>
        <w:adjustRightInd w:val="0"/>
        <w:spacing w:after="240"/>
        <w:ind w:left="0"/>
        <w:jc w:val="both"/>
        <w:rPr>
          <w:rFonts w:cs="Times New Roman"/>
          <w:sz w:val="20"/>
          <w:szCs w:val="20"/>
        </w:rPr>
      </w:pPr>
    </w:p>
    <w:p w:rsidR="00E618F2" w:rsidRPr="00F7263B" w:rsidRDefault="00E618F2" w:rsidP="00E618F2">
      <w:pPr>
        <w:pStyle w:val="ListParagraph"/>
        <w:numPr>
          <w:ilvl w:val="0"/>
          <w:numId w:val="76"/>
        </w:numPr>
        <w:jc w:val="both"/>
        <w:rPr>
          <w:sz w:val="20"/>
          <w:szCs w:val="20"/>
        </w:rPr>
      </w:pPr>
      <w:r w:rsidRPr="00F7263B">
        <w:rPr>
          <w:sz w:val="20"/>
          <w:szCs w:val="20"/>
        </w:rPr>
        <w:t>The mayor’s office in each urban local government will be responsible for the overall performance of urban local governments.  It will ensure compliance with all financial management, procurement, and Program environmental and social safeguards and regulations.  It will also facilitate access to the information required as part of the annual performance assessments.</w:t>
      </w:r>
    </w:p>
    <w:p w:rsidR="00E618F2" w:rsidRPr="00F7263B" w:rsidRDefault="00E618F2" w:rsidP="00E618F2">
      <w:pPr>
        <w:pStyle w:val="ListParagraph"/>
        <w:numPr>
          <w:ilvl w:val="0"/>
          <w:numId w:val="76"/>
        </w:numPr>
        <w:jc w:val="both"/>
        <w:rPr>
          <w:sz w:val="20"/>
          <w:szCs w:val="20"/>
        </w:rPr>
      </w:pPr>
      <w:r w:rsidRPr="00F7263B">
        <w:rPr>
          <w:sz w:val="20"/>
          <w:szCs w:val="20"/>
        </w:rPr>
        <w:t xml:space="preserve">The offices of urban development and will be responsible for day-to-day Program coordination.  It will lead the participatory planning process, procure and manage works contracts, disseminate information about the Program (including contract awards, physical and financial progress of works contracts, and the like).  It will also ensure that such contracts are implemented in accordance with the Program’s environmental and Social Safeguards.  </w:t>
      </w:r>
    </w:p>
    <w:p w:rsidR="00E618F2" w:rsidRPr="00F7263B" w:rsidRDefault="00E618F2" w:rsidP="00E618F2">
      <w:pPr>
        <w:pStyle w:val="ListParagraph"/>
        <w:numPr>
          <w:ilvl w:val="0"/>
          <w:numId w:val="76"/>
        </w:numPr>
        <w:jc w:val="both"/>
        <w:rPr>
          <w:sz w:val="20"/>
          <w:szCs w:val="20"/>
        </w:rPr>
      </w:pPr>
      <w:r w:rsidRPr="00F7263B">
        <w:rPr>
          <w:sz w:val="20"/>
          <w:szCs w:val="20"/>
        </w:rPr>
        <w:t xml:space="preserve">The OFEDs will be responsible for ensuring that all Program funds are included in IBEX and that financial reports are submitted to ORAG as soon as possible after the end of the Ethiopian fiscal year.  </w:t>
      </w:r>
    </w:p>
    <w:p w:rsidR="00E618F2" w:rsidRPr="00F7263B" w:rsidRDefault="00E618F2" w:rsidP="00E618F2">
      <w:pPr>
        <w:pStyle w:val="ListParagraph"/>
        <w:numPr>
          <w:ilvl w:val="0"/>
          <w:numId w:val="76"/>
        </w:numPr>
        <w:jc w:val="both"/>
        <w:rPr>
          <w:rFonts w:cs="Times New Roman"/>
          <w:sz w:val="20"/>
          <w:szCs w:val="20"/>
        </w:rPr>
      </w:pPr>
      <w:r w:rsidRPr="00F7263B">
        <w:rPr>
          <w:sz w:val="20"/>
          <w:szCs w:val="20"/>
        </w:rPr>
        <w:t>The city councils</w:t>
      </w:r>
      <w:r w:rsidRPr="00F7263B">
        <w:rPr>
          <w:rFonts w:cs="Times New Roman"/>
          <w:sz w:val="20"/>
          <w:szCs w:val="20"/>
        </w:rPr>
        <w:t xml:space="preserve"> will be responsible for reviewing and approving cities’ capital investment plans, revenue enhancement plans, and asset management plans</w:t>
      </w:r>
      <w:r w:rsidR="00D91642" w:rsidRPr="00F7263B">
        <w:rPr>
          <w:rFonts w:cs="Times New Roman"/>
          <w:sz w:val="20"/>
          <w:szCs w:val="20"/>
        </w:rPr>
        <w:t xml:space="preserve"> to </w:t>
      </w:r>
      <w:r w:rsidR="00161D92" w:rsidRPr="00F7263B">
        <w:rPr>
          <w:rFonts w:cs="Times New Roman"/>
          <w:sz w:val="20"/>
          <w:szCs w:val="20"/>
        </w:rPr>
        <w:t>contribute to the funding of the urban investments from their own source revenues</w:t>
      </w:r>
      <w:r w:rsidRPr="00F7263B">
        <w:rPr>
          <w:rFonts w:cs="Times New Roman"/>
          <w:sz w:val="20"/>
          <w:szCs w:val="20"/>
        </w:rPr>
        <w:t xml:space="preserve">.  </w:t>
      </w:r>
    </w:p>
    <w:p w:rsidR="00391918" w:rsidRPr="00F7263B" w:rsidRDefault="00391918" w:rsidP="00391918">
      <w:pPr>
        <w:pStyle w:val="ListParagraph"/>
        <w:tabs>
          <w:tab w:val="right" w:pos="90"/>
          <w:tab w:val="right" w:pos="270"/>
        </w:tabs>
        <w:ind w:left="0"/>
        <w:jc w:val="both"/>
        <w:rPr>
          <w:rFonts w:cs="Times New Roman"/>
          <w:sz w:val="20"/>
          <w:szCs w:val="20"/>
        </w:rPr>
      </w:pPr>
    </w:p>
    <w:p w:rsidR="006E7278" w:rsidRPr="00F7263B" w:rsidRDefault="00391918" w:rsidP="00254260">
      <w:pPr>
        <w:pStyle w:val="ListParagraph"/>
        <w:numPr>
          <w:ilvl w:val="0"/>
          <w:numId w:val="96"/>
        </w:numPr>
        <w:ind w:left="0" w:firstLine="0"/>
        <w:jc w:val="both"/>
        <w:rPr>
          <w:sz w:val="20"/>
          <w:szCs w:val="20"/>
        </w:rPr>
      </w:pPr>
      <w:r w:rsidRPr="00F7263B">
        <w:rPr>
          <w:sz w:val="20"/>
          <w:szCs w:val="20"/>
        </w:rPr>
        <w:t xml:space="preserve">ULGs require a wide range of expertise to successfully carry out their mandates.  An analysis of staffing carried out as part of Program preparation reveals that most ULGs have the necessary staff, but a few need to fill key positions to access Program funds.  As would be expected, the 26 cities joining the Program’s performance grant mechanism have the greatest percentage of unfilled positions.  </w:t>
      </w:r>
      <w:r w:rsidR="00DA1689" w:rsidRPr="00F7263B">
        <w:rPr>
          <w:sz w:val="20"/>
          <w:szCs w:val="20"/>
        </w:rPr>
        <w:t xml:space="preserve">Based on data from 27 ULGs, about 82 percent of positions at OFEDs filled, with an average of 39 staff.About 84 percent of core financial management and procurement positions are filled, with an average of 22 staff. </w:t>
      </w:r>
      <w:r w:rsidR="004D54CD" w:rsidRPr="00F7263B">
        <w:rPr>
          <w:sz w:val="20"/>
          <w:szCs w:val="20"/>
        </w:rPr>
        <w:t xml:space="preserve"> Some </w:t>
      </w:r>
      <w:r w:rsidR="00DA1689" w:rsidRPr="00F7263B">
        <w:rPr>
          <w:sz w:val="20"/>
          <w:szCs w:val="20"/>
        </w:rPr>
        <w:t>85</w:t>
      </w:r>
      <w:r w:rsidR="004D54CD" w:rsidRPr="00F7263B">
        <w:rPr>
          <w:sz w:val="20"/>
          <w:szCs w:val="20"/>
        </w:rPr>
        <w:t xml:space="preserve"> percent of audit and inspection positions are </w:t>
      </w:r>
      <w:r w:rsidR="00DA1689" w:rsidRPr="00F7263B">
        <w:rPr>
          <w:sz w:val="20"/>
          <w:szCs w:val="20"/>
        </w:rPr>
        <w:t xml:space="preserve">filled, with an average of 5 staff. In budgeting and planning, </w:t>
      </w:r>
      <w:r w:rsidR="004D54CD" w:rsidRPr="00F7263B">
        <w:rPr>
          <w:sz w:val="20"/>
          <w:szCs w:val="20"/>
        </w:rPr>
        <w:t>some</w:t>
      </w:r>
      <w:r w:rsidR="00DA1689" w:rsidRPr="00F7263B">
        <w:rPr>
          <w:sz w:val="20"/>
          <w:szCs w:val="20"/>
        </w:rPr>
        <w:t xml:space="preserve"> 64</w:t>
      </w:r>
      <w:r w:rsidR="004D54CD" w:rsidRPr="00F7263B">
        <w:rPr>
          <w:sz w:val="20"/>
          <w:szCs w:val="20"/>
        </w:rPr>
        <w:t xml:space="preserve"> percent</w:t>
      </w:r>
      <w:r w:rsidR="00DA1689" w:rsidRPr="00F7263B">
        <w:rPr>
          <w:sz w:val="20"/>
          <w:szCs w:val="20"/>
        </w:rPr>
        <w:t xml:space="preserve"> of the posi</w:t>
      </w:r>
      <w:r w:rsidR="004D54CD" w:rsidRPr="00F7263B">
        <w:rPr>
          <w:sz w:val="20"/>
          <w:szCs w:val="20"/>
        </w:rPr>
        <w:t>tions filled, at an average of fourstaff</w:t>
      </w:r>
      <w:r w:rsidR="00DA1689" w:rsidRPr="00F7263B">
        <w:rPr>
          <w:sz w:val="20"/>
          <w:szCs w:val="20"/>
        </w:rPr>
        <w:t xml:space="preserve">. </w:t>
      </w:r>
      <w:r w:rsidR="004D54CD" w:rsidRPr="00F7263B">
        <w:rPr>
          <w:sz w:val="20"/>
          <w:szCs w:val="20"/>
        </w:rPr>
        <w:t xml:space="preserve"> The 19 ULGs assessed have an average of seven engineers or similar positions</w:t>
      </w:r>
      <w:r w:rsidR="00DA1689" w:rsidRPr="00F7263B">
        <w:rPr>
          <w:sz w:val="20"/>
          <w:szCs w:val="20"/>
        </w:rPr>
        <w:t>. In terms of education</w:t>
      </w:r>
      <w:r w:rsidR="004D54CD" w:rsidRPr="00F7263B">
        <w:rPr>
          <w:sz w:val="20"/>
          <w:szCs w:val="20"/>
        </w:rPr>
        <w:t xml:space="preserve"> of staff</w:t>
      </w:r>
      <w:r w:rsidR="00DA1689" w:rsidRPr="00F7263B">
        <w:rPr>
          <w:sz w:val="20"/>
          <w:szCs w:val="20"/>
        </w:rPr>
        <w:t xml:space="preserve">, </w:t>
      </w:r>
      <w:r w:rsidR="004D54CD" w:rsidRPr="00F7263B">
        <w:rPr>
          <w:sz w:val="20"/>
          <w:szCs w:val="20"/>
        </w:rPr>
        <w:t xml:space="preserve">the ULGs have an average of 15 </w:t>
      </w:r>
      <w:r w:rsidR="00DA1689" w:rsidRPr="00F7263B">
        <w:rPr>
          <w:sz w:val="20"/>
          <w:szCs w:val="20"/>
        </w:rPr>
        <w:t>staff with BA/</w:t>
      </w:r>
      <w:r w:rsidR="00B17200" w:rsidRPr="00F7263B">
        <w:rPr>
          <w:sz w:val="20"/>
          <w:szCs w:val="20"/>
        </w:rPr>
        <w:t>BSc</w:t>
      </w:r>
      <w:r w:rsidR="00DA1689" w:rsidRPr="00F7263B">
        <w:rPr>
          <w:sz w:val="20"/>
          <w:szCs w:val="20"/>
        </w:rPr>
        <w:t xml:space="preserve"> or higher education</w:t>
      </w:r>
      <w:r w:rsidR="004D54CD" w:rsidRPr="00F7263B">
        <w:rPr>
          <w:sz w:val="20"/>
          <w:szCs w:val="20"/>
        </w:rPr>
        <w:t>.  However, there is great variation, ranging from three</w:t>
      </w:r>
      <w:r w:rsidR="00DA1689" w:rsidRPr="00F7263B">
        <w:rPr>
          <w:sz w:val="20"/>
          <w:szCs w:val="20"/>
        </w:rPr>
        <w:t xml:space="preserve"> (Motta) </w:t>
      </w:r>
      <w:r w:rsidR="004D54CD" w:rsidRPr="00F7263B">
        <w:rPr>
          <w:sz w:val="20"/>
          <w:szCs w:val="20"/>
        </w:rPr>
        <w:t xml:space="preserve">to </w:t>
      </w:r>
      <w:r w:rsidR="00DA1689" w:rsidRPr="00F7263B">
        <w:rPr>
          <w:sz w:val="20"/>
          <w:szCs w:val="20"/>
        </w:rPr>
        <w:t xml:space="preserve">44 (Hawassa). The 26 new ULGs have a lower number of filled positions (77 </w:t>
      </w:r>
      <w:r w:rsidR="004D54CD" w:rsidRPr="00F7263B">
        <w:rPr>
          <w:sz w:val="20"/>
          <w:szCs w:val="20"/>
        </w:rPr>
        <w:t>percent</w:t>
      </w:r>
      <w:r w:rsidR="00DA1689" w:rsidRPr="00F7263B">
        <w:rPr>
          <w:sz w:val="20"/>
          <w:szCs w:val="20"/>
        </w:rPr>
        <w:t xml:space="preserve"> are filled </w:t>
      </w:r>
      <w:r w:rsidR="004D54CD" w:rsidRPr="00F7263B">
        <w:rPr>
          <w:sz w:val="20"/>
          <w:szCs w:val="20"/>
        </w:rPr>
        <w:t xml:space="preserve">with an average of </w:t>
      </w:r>
      <w:r w:rsidR="00DA1689" w:rsidRPr="00F7263B">
        <w:rPr>
          <w:sz w:val="20"/>
          <w:szCs w:val="20"/>
        </w:rPr>
        <w:t>31 staff</w:t>
      </w:r>
      <w:r w:rsidR="004D54CD" w:rsidRPr="00F7263B">
        <w:rPr>
          <w:sz w:val="20"/>
          <w:szCs w:val="20"/>
        </w:rPr>
        <w:t xml:space="preserve"> in contrast to</w:t>
      </w:r>
      <w:r w:rsidR="00DA1689" w:rsidRPr="00F7263B">
        <w:rPr>
          <w:sz w:val="20"/>
          <w:szCs w:val="20"/>
        </w:rPr>
        <w:t xml:space="preserve"> 86</w:t>
      </w:r>
      <w:r w:rsidR="004D54CD" w:rsidRPr="00F7263B">
        <w:rPr>
          <w:sz w:val="20"/>
          <w:szCs w:val="20"/>
        </w:rPr>
        <w:t xml:space="preserve"> percent with an average of 47 staff</w:t>
      </w:r>
      <w:r w:rsidR="00DA1689" w:rsidRPr="00F7263B">
        <w:rPr>
          <w:sz w:val="20"/>
          <w:szCs w:val="20"/>
        </w:rPr>
        <w:t xml:space="preserve"> for the 18 existing ULGs</w:t>
      </w:r>
      <w:r w:rsidR="004D54CD" w:rsidRPr="00F7263B">
        <w:rPr>
          <w:sz w:val="20"/>
          <w:szCs w:val="20"/>
        </w:rPr>
        <w:t xml:space="preserve">.  They also have </w:t>
      </w:r>
      <w:r w:rsidR="00DA1689" w:rsidRPr="00F7263B">
        <w:rPr>
          <w:sz w:val="20"/>
          <w:szCs w:val="20"/>
        </w:rPr>
        <w:t xml:space="preserve">less capacity in the </w:t>
      </w:r>
      <w:r w:rsidR="004D54CD" w:rsidRPr="00F7263B">
        <w:rPr>
          <w:sz w:val="20"/>
          <w:szCs w:val="20"/>
        </w:rPr>
        <w:t>core positions(</w:t>
      </w:r>
      <w:r w:rsidR="00DA1689" w:rsidRPr="00F7263B">
        <w:rPr>
          <w:sz w:val="20"/>
          <w:szCs w:val="20"/>
        </w:rPr>
        <w:t xml:space="preserve">see </w:t>
      </w:r>
      <w:r w:rsidR="004D54CD" w:rsidRPr="00F7263B">
        <w:rPr>
          <w:sz w:val="20"/>
          <w:szCs w:val="20"/>
        </w:rPr>
        <w:t>a</w:t>
      </w:r>
      <w:r w:rsidR="00DA1689" w:rsidRPr="00F7263B">
        <w:rPr>
          <w:sz w:val="20"/>
          <w:szCs w:val="20"/>
        </w:rPr>
        <w:t>nnex</w:t>
      </w:r>
      <w:r w:rsidR="00B17200" w:rsidRPr="00F7263B">
        <w:rPr>
          <w:sz w:val="20"/>
          <w:szCs w:val="20"/>
        </w:rPr>
        <w:t>7</w:t>
      </w:r>
      <w:r w:rsidR="004D54CD" w:rsidRPr="00F7263B">
        <w:rPr>
          <w:sz w:val="20"/>
          <w:szCs w:val="20"/>
        </w:rPr>
        <w:t xml:space="preserve"> and the summary table below).  </w:t>
      </w:r>
      <w:r w:rsidRPr="00F7263B">
        <w:rPr>
          <w:sz w:val="20"/>
          <w:szCs w:val="20"/>
        </w:rPr>
        <w:t xml:space="preserve">All ULGs are expected to have the necessary core staff in place by Program effectiveness; ULGs that do not meet this minimum condition will not be able to access Program funds.  </w:t>
      </w:r>
    </w:p>
    <w:p w:rsidR="00867720" w:rsidRPr="00F7263B" w:rsidRDefault="00867720" w:rsidP="00867720">
      <w:pPr>
        <w:pStyle w:val="ListParagraph"/>
        <w:ind w:left="0"/>
        <w:jc w:val="both"/>
        <w:rPr>
          <w:sz w:val="20"/>
          <w:szCs w:val="20"/>
        </w:rPr>
      </w:pPr>
    </w:p>
    <w:p w:rsidR="00391918" w:rsidRPr="00F7263B" w:rsidRDefault="00867720" w:rsidP="00867720">
      <w:pPr>
        <w:pStyle w:val="ListParagraph"/>
        <w:spacing w:after="60"/>
        <w:ind w:left="0"/>
        <w:jc w:val="both"/>
        <w:rPr>
          <w:rFonts w:cs="Times New Roman"/>
          <w:b/>
          <w:sz w:val="20"/>
          <w:szCs w:val="20"/>
        </w:rPr>
      </w:pPr>
      <w:r w:rsidRPr="00F7263B">
        <w:rPr>
          <w:rFonts w:cs="Times New Roman"/>
          <w:b/>
          <w:sz w:val="20"/>
          <w:szCs w:val="20"/>
        </w:rPr>
        <w:t>Table 8: Staff positions in ULGs</w:t>
      </w:r>
    </w:p>
    <w:tbl>
      <w:tblPr>
        <w:tblStyle w:val="TableGrid"/>
        <w:tblW w:w="5000" w:type="pct"/>
        <w:tblLook w:val="00A0" w:firstRow="1" w:lastRow="0" w:firstColumn="1" w:lastColumn="0" w:noHBand="0" w:noVBand="0"/>
      </w:tblPr>
      <w:tblGrid>
        <w:gridCol w:w="850"/>
        <w:gridCol w:w="977"/>
        <w:gridCol w:w="756"/>
        <w:gridCol w:w="961"/>
        <w:gridCol w:w="1284"/>
        <w:gridCol w:w="1063"/>
        <w:gridCol w:w="936"/>
        <w:gridCol w:w="1052"/>
        <w:gridCol w:w="1697"/>
      </w:tblGrid>
      <w:tr w:rsidR="00867720" w:rsidRPr="00F7263B">
        <w:trPr>
          <w:trHeight w:val="967"/>
        </w:trPr>
        <w:tc>
          <w:tcPr>
            <w:tcW w:w="478" w:type="pct"/>
          </w:tcPr>
          <w:p w:rsidR="00867720" w:rsidRPr="00F7263B" w:rsidRDefault="00867720" w:rsidP="005D2476">
            <w:pPr>
              <w:contextualSpacing/>
              <w:jc w:val="both"/>
              <w:rPr>
                <w:rFonts w:cs="Times New Roman"/>
                <w:b/>
                <w:sz w:val="20"/>
                <w:szCs w:val="20"/>
              </w:rPr>
            </w:pPr>
            <w:r w:rsidRPr="00F7263B">
              <w:rPr>
                <w:rFonts w:cs="Times New Roman"/>
                <w:b/>
                <w:sz w:val="20"/>
                <w:szCs w:val="20"/>
              </w:rPr>
              <w:t>City</w:t>
            </w:r>
          </w:p>
        </w:tc>
        <w:tc>
          <w:tcPr>
            <w:tcW w:w="447" w:type="pct"/>
          </w:tcPr>
          <w:p w:rsidR="00867720" w:rsidRPr="00F7263B" w:rsidRDefault="00867720" w:rsidP="00710E16">
            <w:pPr>
              <w:contextualSpacing/>
              <w:rPr>
                <w:rFonts w:cs="Times New Roman"/>
                <w:b/>
                <w:sz w:val="20"/>
                <w:szCs w:val="20"/>
              </w:rPr>
            </w:pPr>
            <w:r w:rsidRPr="00F7263B">
              <w:rPr>
                <w:rFonts w:cs="Times New Roman"/>
                <w:b/>
                <w:sz w:val="20"/>
                <w:szCs w:val="20"/>
              </w:rPr>
              <w:t>Required OFED positions (#)</w:t>
            </w:r>
          </w:p>
        </w:tc>
        <w:tc>
          <w:tcPr>
            <w:tcW w:w="493" w:type="pct"/>
          </w:tcPr>
          <w:p w:rsidR="00867720" w:rsidRPr="00F7263B" w:rsidRDefault="00867720" w:rsidP="00710E16">
            <w:pPr>
              <w:contextualSpacing/>
              <w:rPr>
                <w:rFonts w:cs="Times New Roman"/>
                <w:b/>
                <w:sz w:val="20"/>
                <w:szCs w:val="20"/>
              </w:rPr>
            </w:pPr>
            <w:r w:rsidRPr="00F7263B">
              <w:rPr>
                <w:rFonts w:cs="Times New Roman"/>
                <w:b/>
                <w:sz w:val="20"/>
                <w:szCs w:val="20"/>
              </w:rPr>
              <w:t>Actual OFED filled (#)</w:t>
            </w:r>
          </w:p>
        </w:tc>
        <w:tc>
          <w:tcPr>
            <w:tcW w:w="657" w:type="pct"/>
          </w:tcPr>
          <w:p w:rsidR="00867720" w:rsidRPr="00F7263B" w:rsidRDefault="00867720" w:rsidP="00710E16">
            <w:pPr>
              <w:contextualSpacing/>
              <w:rPr>
                <w:rFonts w:cs="Times New Roman"/>
                <w:b/>
                <w:sz w:val="20"/>
                <w:szCs w:val="20"/>
              </w:rPr>
            </w:pPr>
            <w:r w:rsidRPr="00F7263B">
              <w:rPr>
                <w:rFonts w:cs="Times New Roman"/>
                <w:b/>
                <w:sz w:val="20"/>
                <w:szCs w:val="20"/>
              </w:rPr>
              <w:t>Position filled (average, %)</w:t>
            </w:r>
          </w:p>
        </w:tc>
        <w:tc>
          <w:tcPr>
            <w:tcW w:w="604" w:type="pct"/>
          </w:tcPr>
          <w:p w:rsidR="00867720" w:rsidRPr="00F7263B" w:rsidRDefault="00867720" w:rsidP="00710E16">
            <w:pPr>
              <w:contextualSpacing/>
              <w:rPr>
                <w:rFonts w:cs="Times New Roman"/>
                <w:b/>
                <w:sz w:val="20"/>
                <w:szCs w:val="20"/>
              </w:rPr>
            </w:pPr>
            <w:r w:rsidRPr="00F7263B">
              <w:rPr>
                <w:rFonts w:cs="Times New Roman"/>
                <w:b/>
                <w:sz w:val="20"/>
                <w:szCs w:val="20"/>
              </w:rPr>
              <w:t>Position filled Finance/</w:t>
            </w:r>
          </w:p>
          <w:p w:rsidR="00867720" w:rsidRPr="00F7263B" w:rsidRDefault="00867720" w:rsidP="00710E16">
            <w:pPr>
              <w:contextualSpacing/>
              <w:rPr>
                <w:rFonts w:cs="Times New Roman"/>
                <w:b/>
                <w:sz w:val="20"/>
                <w:szCs w:val="20"/>
              </w:rPr>
            </w:pPr>
            <w:r w:rsidRPr="00F7263B">
              <w:rPr>
                <w:rFonts w:cs="Times New Roman"/>
                <w:b/>
                <w:sz w:val="20"/>
                <w:szCs w:val="20"/>
              </w:rPr>
              <w:t>Procurement (%)</w:t>
            </w:r>
          </w:p>
        </w:tc>
        <w:tc>
          <w:tcPr>
            <w:tcW w:w="498" w:type="pct"/>
          </w:tcPr>
          <w:p w:rsidR="00867720" w:rsidRPr="00F7263B" w:rsidRDefault="00867720" w:rsidP="00710E16">
            <w:pPr>
              <w:contextualSpacing/>
              <w:rPr>
                <w:rFonts w:cs="Times New Roman"/>
                <w:b/>
                <w:sz w:val="20"/>
                <w:szCs w:val="20"/>
              </w:rPr>
            </w:pPr>
            <w:r w:rsidRPr="00F7263B">
              <w:rPr>
                <w:rFonts w:cs="Times New Roman"/>
                <w:b/>
                <w:sz w:val="20"/>
                <w:szCs w:val="20"/>
              </w:rPr>
              <w:t>Position Filled Audit /</w:t>
            </w:r>
          </w:p>
          <w:p w:rsidR="00867720" w:rsidRPr="00F7263B" w:rsidRDefault="00867720" w:rsidP="00710E16">
            <w:pPr>
              <w:contextualSpacing/>
              <w:rPr>
                <w:rFonts w:cs="Times New Roman"/>
                <w:b/>
                <w:sz w:val="20"/>
                <w:szCs w:val="20"/>
              </w:rPr>
            </w:pPr>
            <w:r w:rsidRPr="00F7263B">
              <w:rPr>
                <w:rFonts w:cs="Times New Roman"/>
                <w:b/>
                <w:sz w:val="20"/>
                <w:szCs w:val="20"/>
              </w:rPr>
              <w:t>Inspection (%)</w:t>
            </w:r>
          </w:p>
        </w:tc>
        <w:tc>
          <w:tcPr>
            <w:tcW w:w="640" w:type="pct"/>
          </w:tcPr>
          <w:p w:rsidR="00867720" w:rsidRPr="00F7263B" w:rsidRDefault="00867720" w:rsidP="00710E16">
            <w:pPr>
              <w:contextualSpacing/>
              <w:rPr>
                <w:rFonts w:cs="Times New Roman"/>
                <w:b/>
                <w:sz w:val="20"/>
                <w:szCs w:val="20"/>
              </w:rPr>
            </w:pPr>
            <w:r w:rsidRPr="00F7263B">
              <w:rPr>
                <w:rFonts w:cs="Times New Roman"/>
                <w:b/>
                <w:sz w:val="20"/>
                <w:szCs w:val="20"/>
              </w:rPr>
              <w:t xml:space="preserve">Position </w:t>
            </w:r>
            <w:r w:rsidR="00710E16" w:rsidRPr="00F7263B">
              <w:rPr>
                <w:rFonts w:cs="Times New Roman"/>
                <w:b/>
                <w:sz w:val="20"/>
                <w:szCs w:val="20"/>
              </w:rPr>
              <w:t>filled budget and p</w:t>
            </w:r>
            <w:r w:rsidRPr="00F7263B">
              <w:rPr>
                <w:rFonts w:cs="Times New Roman"/>
                <w:b/>
                <w:sz w:val="20"/>
                <w:szCs w:val="20"/>
              </w:rPr>
              <w:t>lanning (%)</w:t>
            </w:r>
          </w:p>
        </w:tc>
        <w:tc>
          <w:tcPr>
            <w:tcW w:w="784" w:type="pct"/>
          </w:tcPr>
          <w:p w:rsidR="00867720" w:rsidRPr="00F7263B" w:rsidRDefault="00867720" w:rsidP="00710E16">
            <w:pPr>
              <w:contextualSpacing/>
              <w:rPr>
                <w:rFonts w:cs="Times New Roman"/>
                <w:b/>
                <w:sz w:val="20"/>
                <w:szCs w:val="20"/>
              </w:rPr>
            </w:pPr>
            <w:r w:rsidRPr="00F7263B">
              <w:rPr>
                <w:rFonts w:cs="Times New Roman"/>
                <w:b/>
                <w:sz w:val="20"/>
                <w:szCs w:val="20"/>
              </w:rPr>
              <w:t xml:space="preserve">Position </w:t>
            </w:r>
            <w:r w:rsidR="00710E16" w:rsidRPr="00F7263B">
              <w:rPr>
                <w:rFonts w:cs="Times New Roman"/>
                <w:b/>
                <w:sz w:val="20"/>
                <w:szCs w:val="20"/>
              </w:rPr>
              <w:t>filled - t</w:t>
            </w:r>
            <w:r w:rsidRPr="00F7263B">
              <w:rPr>
                <w:rFonts w:cs="Times New Roman"/>
                <w:b/>
                <w:sz w:val="20"/>
                <w:szCs w:val="20"/>
              </w:rPr>
              <w:t xml:space="preserve">echnical </w:t>
            </w:r>
            <w:r w:rsidR="00710E16" w:rsidRPr="00F7263B">
              <w:rPr>
                <w:rFonts w:cs="Times New Roman"/>
                <w:b/>
                <w:sz w:val="20"/>
                <w:szCs w:val="20"/>
              </w:rPr>
              <w:t>s</w:t>
            </w:r>
            <w:r w:rsidRPr="00F7263B">
              <w:rPr>
                <w:rFonts w:cs="Times New Roman"/>
                <w:b/>
                <w:sz w:val="20"/>
                <w:szCs w:val="20"/>
              </w:rPr>
              <w:t>taff (engineers etc.) (</w:t>
            </w:r>
            <w:r w:rsidR="00710E16" w:rsidRPr="00F7263B">
              <w:rPr>
                <w:rFonts w:cs="Times New Roman"/>
                <w:b/>
                <w:sz w:val="20"/>
                <w:szCs w:val="20"/>
              </w:rPr>
              <w:t>number)</w:t>
            </w:r>
          </w:p>
        </w:tc>
        <w:tc>
          <w:tcPr>
            <w:tcW w:w="397" w:type="pct"/>
          </w:tcPr>
          <w:p w:rsidR="00867720" w:rsidRPr="00F7263B" w:rsidRDefault="00867720" w:rsidP="00710E16">
            <w:pPr>
              <w:contextualSpacing/>
              <w:rPr>
                <w:rFonts w:cs="Times New Roman"/>
                <w:b/>
                <w:sz w:val="20"/>
                <w:szCs w:val="20"/>
              </w:rPr>
            </w:pPr>
            <w:r w:rsidRPr="00F7263B">
              <w:rPr>
                <w:rFonts w:cs="Times New Roman"/>
                <w:b/>
                <w:sz w:val="20"/>
                <w:szCs w:val="20"/>
              </w:rPr>
              <w:t>Staff with BA/</w:t>
            </w:r>
            <w:r w:rsidR="00B17200" w:rsidRPr="00F7263B">
              <w:rPr>
                <w:rFonts w:cs="Times New Roman"/>
                <w:b/>
                <w:sz w:val="20"/>
                <w:szCs w:val="20"/>
              </w:rPr>
              <w:t>BScs</w:t>
            </w:r>
            <w:r w:rsidRPr="00F7263B">
              <w:rPr>
                <w:rFonts w:cs="Times New Roman"/>
                <w:b/>
                <w:sz w:val="20"/>
                <w:szCs w:val="20"/>
              </w:rPr>
              <w:t>(</w:t>
            </w:r>
            <w:r w:rsidR="00710E16" w:rsidRPr="00F7263B">
              <w:rPr>
                <w:rFonts w:cs="Times New Roman"/>
                <w:b/>
                <w:sz w:val="20"/>
                <w:szCs w:val="20"/>
              </w:rPr>
              <w:t>number</w:t>
            </w:r>
            <w:r w:rsidRPr="00F7263B">
              <w:rPr>
                <w:rFonts w:cs="Times New Roman"/>
                <w:b/>
                <w:sz w:val="20"/>
                <w:szCs w:val="20"/>
              </w:rPr>
              <w:t>)</w:t>
            </w:r>
          </w:p>
        </w:tc>
      </w:tr>
      <w:tr w:rsidR="00867720" w:rsidRPr="00F7263B">
        <w:trPr>
          <w:trHeight w:val="484"/>
        </w:trPr>
        <w:tc>
          <w:tcPr>
            <w:tcW w:w="478" w:type="pct"/>
          </w:tcPr>
          <w:p w:rsidR="00867720" w:rsidRPr="00F7263B" w:rsidRDefault="00867720" w:rsidP="005D2476">
            <w:pPr>
              <w:contextualSpacing/>
              <w:jc w:val="both"/>
              <w:rPr>
                <w:rFonts w:cs="Times New Roman"/>
                <w:sz w:val="20"/>
                <w:szCs w:val="20"/>
              </w:rPr>
            </w:pPr>
            <w:r w:rsidRPr="00F7263B">
              <w:rPr>
                <w:rFonts w:cs="Times New Roman"/>
                <w:sz w:val="20"/>
                <w:szCs w:val="20"/>
              </w:rPr>
              <w:t>All sample</w:t>
            </w:r>
          </w:p>
        </w:tc>
        <w:tc>
          <w:tcPr>
            <w:tcW w:w="447" w:type="pct"/>
          </w:tcPr>
          <w:p w:rsidR="00867720" w:rsidRPr="00F7263B" w:rsidRDefault="00867720" w:rsidP="005D2476">
            <w:pPr>
              <w:contextualSpacing/>
              <w:jc w:val="center"/>
              <w:rPr>
                <w:rFonts w:cs="Times New Roman"/>
                <w:sz w:val="20"/>
                <w:szCs w:val="20"/>
              </w:rPr>
            </w:pPr>
            <w:r w:rsidRPr="00F7263B">
              <w:rPr>
                <w:rFonts w:cs="Times New Roman"/>
                <w:sz w:val="20"/>
                <w:szCs w:val="20"/>
              </w:rPr>
              <w:t>50</w:t>
            </w:r>
          </w:p>
        </w:tc>
        <w:tc>
          <w:tcPr>
            <w:tcW w:w="493" w:type="pct"/>
          </w:tcPr>
          <w:p w:rsidR="00867720" w:rsidRPr="00F7263B" w:rsidRDefault="00867720" w:rsidP="005D2476">
            <w:pPr>
              <w:contextualSpacing/>
              <w:jc w:val="center"/>
              <w:rPr>
                <w:rFonts w:cs="Times New Roman"/>
                <w:sz w:val="20"/>
                <w:szCs w:val="20"/>
              </w:rPr>
            </w:pPr>
            <w:r w:rsidRPr="00F7263B">
              <w:rPr>
                <w:rFonts w:cs="Times New Roman"/>
                <w:sz w:val="20"/>
                <w:szCs w:val="20"/>
              </w:rPr>
              <w:t>39</w:t>
            </w:r>
          </w:p>
        </w:tc>
        <w:tc>
          <w:tcPr>
            <w:tcW w:w="657" w:type="pct"/>
          </w:tcPr>
          <w:p w:rsidR="00867720" w:rsidRPr="00F7263B" w:rsidRDefault="00867720" w:rsidP="005D2476">
            <w:pPr>
              <w:contextualSpacing/>
              <w:jc w:val="center"/>
              <w:rPr>
                <w:rFonts w:cs="Times New Roman"/>
                <w:sz w:val="20"/>
                <w:szCs w:val="20"/>
              </w:rPr>
            </w:pPr>
            <w:r w:rsidRPr="00F7263B">
              <w:rPr>
                <w:rFonts w:cs="Times New Roman"/>
                <w:sz w:val="20"/>
                <w:szCs w:val="20"/>
              </w:rPr>
              <w:t>82 %</w:t>
            </w:r>
          </w:p>
        </w:tc>
        <w:tc>
          <w:tcPr>
            <w:tcW w:w="604" w:type="pct"/>
          </w:tcPr>
          <w:p w:rsidR="00867720" w:rsidRPr="00F7263B" w:rsidRDefault="00867720" w:rsidP="005D2476">
            <w:pPr>
              <w:contextualSpacing/>
              <w:jc w:val="center"/>
              <w:rPr>
                <w:rFonts w:cs="Times New Roman"/>
                <w:sz w:val="20"/>
                <w:szCs w:val="20"/>
              </w:rPr>
            </w:pPr>
            <w:r w:rsidRPr="00F7263B">
              <w:rPr>
                <w:rFonts w:cs="Times New Roman"/>
                <w:sz w:val="20"/>
                <w:szCs w:val="20"/>
              </w:rPr>
              <w:t>84%</w:t>
            </w:r>
          </w:p>
        </w:tc>
        <w:tc>
          <w:tcPr>
            <w:tcW w:w="498" w:type="pct"/>
          </w:tcPr>
          <w:p w:rsidR="00867720" w:rsidRPr="00F7263B" w:rsidRDefault="00867720" w:rsidP="005D2476">
            <w:pPr>
              <w:contextualSpacing/>
              <w:jc w:val="center"/>
              <w:rPr>
                <w:rFonts w:cs="Times New Roman"/>
                <w:sz w:val="20"/>
                <w:szCs w:val="20"/>
              </w:rPr>
            </w:pPr>
            <w:r w:rsidRPr="00F7263B">
              <w:rPr>
                <w:rFonts w:cs="Times New Roman"/>
                <w:sz w:val="20"/>
                <w:szCs w:val="20"/>
              </w:rPr>
              <w:t>85%</w:t>
            </w:r>
          </w:p>
        </w:tc>
        <w:tc>
          <w:tcPr>
            <w:tcW w:w="640" w:type="pct"/>
          </w:tcPr>
          <w:p w:rsidR="00867720" w:rsidRPr="00F7263B" w:rsidRDefault="00867720" w:rsidP="005D2476">
            <w:pPr>
              <w:contextualSpacing/>
              <w:jc w:val="center"/>
              <w:rPr>
                <w:rFonts w:cs="Times New Roman"/>
                <w:sz w:val="20"/>
                <w:szCs w:val="20"/>
              </w:rPr>
            </w:pPr>
            <w:r w:rsidRPr="00F7263B">
              <w:rPr>
                <w:rFonts w:cs="Times New Roman"/>
                <w:sz w:val="20"/>
                <w:szCs w:val="20"/>
              </w:rPr>
              <w:t>64 %</w:t>
            </w:r>
          </w:p>
        </w:tc>
        <w:tc>
          <w:tcPr>
            <w:tcW w:w="784" w:type="pct"/>
          </w:tcPr>
          <w:p w:rsidR="00867720" w:rsidRPr="00F7263B" w:rsidRDefault="00867720" w:rsidP="005D2476">
            <w:pPr>
              <w:contextualSpacing/>
              <w:jc w:val="center"/>
              <w:rPr>
                <w:rFonts w:cs="Times New Roman"/>
                <w:sz w:val="20"/>
                <w:szCs w:val="20"/>
              </w:rPr>
            </w:pPr>
            <w:r w:rsidRPr="00F7263B">
              <w:rPr>
                <w:rFonts w:cs="Times New Roman"/>
                <w:sz w:val="20"/>
                <w:szCs w:val="20"/>
              </w:rPr>
              <w:t>7</w:t>
            </w:r>
          </w:p>
        </w:tc>
        <w:tc>
          <w:tcPr>
            <w:tcW w:w="397" w:type="pct"/>
          </w:tcPr>
          <w:p w:rsidR="00867720" w:rsidRPr="00F7263B" w:rsidRDefault="00867720" w:rsidP="005D2476">
            <w:pPr>
              <w:contextualSpacing/>
              <w:jc w:val="center"/>
              <w:rPr>
                <w:rFonts w:cs="Times New Roman"/>
                <w:sz w:val="20"/>
                <w:szCs w:val="20"/>
              </w:rPr>
            </w:pPr>
            <w:r w:rsidRPr="00F7263B">
              <w:rPr>
                <w:rFonts w:cs="Times New Roman"/>
                <w:sz w:val="20"/>
                <w:szCs w:val="20"/>
              </w:rPr>
              <w:t>15</w:t>
            </w:r>
          </w:p>
        </w:tc>
      </w:tr>
      <w:tr w:rsidR="00867720" w:rsidRPr="00F7263B">
        <w:trPr>
          <w:trHeight w:val="241"/>
        </w:trPr>
        <w:tc>
          <w:tcPr>
            <w:tcW w:w="478" w:type="pct"/>
          </w:tcPr>
          <w:p w:rsidR="00867720" w:rsidRPr="00F7263B" w:rsidRDefault="00867720" w:rsidP="005D2476">
            <w:pPr>
              <w:contextualSpacing/>
              <w:jc w:val="both"/>
              <w:rPr>
                <w:rFonts w:cs="Times New Roman"/>
                <w:sz w:val="20"/>
                <w:szCs w:val="20"/>
              </w:rPr>
            </w:pPr>
            <w:r w:rsidRPr="00F7263B">
              <w:rPr>
                <w:rFonts w:cs="Times New Roman"/>
                <w:sz w:val="20"/>
                <w:szCs w:val="20"/>
              </w:rPr>
              <w:t>ULGDP</w:t>
            </w:r>
          </w:p>
        </w:tc>
        <w:tc>
          <w:tcPr>
            <w:tcW w:w="447" w:type="pct"/>
          </w:tcPr>
          <w:p w:rsidR="00867720" w:rsidRPr="00F7263B" w:rsidRDefault="00867720" w:rsidP="005D2476">
            <w:pPr>
              <w:contextualSpacing/>
              <w:jc w:val="center"/>
              <w:rPr>
                <w:rFonts w:cs="Times New Roman"/>
                <w:sz w:val="20"/>
                <w:szCs w:val="20"/>
              </w:rPr>
            </w:pPr>
            <w:r w:rsidRPr="00F7263B">
              <w:rPr>
                <w:rFonts w:cs="Times New Roman"/>
                <w:sz w:val="20"/>
                <w:szCs w:val="20"/>
              </w:rPr>
              <w:t>57</w:t>
            </w:r>
          </w:p>
        </w:tc>
        <w:tc>
          <w:tcPr>
            <w:tcW w:w="493" w:type="pct"/>
          </w:tcPr>
          <w:p w:rsidR="00867720" w:rsidRPr="00F7263B" w:rsidRDefault="00867720" w:rsidP="005D2476">
            <w:pPr>
              <w:contextualSpacing/>
              <w:jc w:val="center"/>
              <w:rPr>
                <w:rFonts w:cs="Times New Roman"/>
                <w:sz w:val="20"/>
                <w:szCs w:val="20"/>
              </w:rPr>
            </w:pPr>
            <w:r w:rsidRPr="00F7263B">
              <w:rPr>
                <w:rFonts w:cs="Times New Roman"/>
                <w:sz w:val="20"/>
                <w:szCs w:val="20"/>
              </w:rPr>
              <w:t>47</w:t>
            </w:r>
          </w:p>
        </w:tc>
        <w:tc>
          <w:tcPr>
            <w:tcW w:w="657" w:type="pct"/>
          </w:tcPr>
          <w:p w:rsidR="00867720" w:rsidRPr="00F7263B" w:rsidRDefault="00867720" w:rsidP="005D2476">
            <w:pPr>
              <w:contextualSpacing/>
              <w:jc w:val="center"/>
              <w:rPr>
                <w:rFonts w:cs="Times New Roman"/>
                <w:sz w:val="20"/>
                <w:szCs w:val="20"/>
              </w:rPr>
            </w:pPr>
            <w:r w:rsidRPr="00F7263B">
              <w:rPr>
                <w:rFonts w:cs="Times New Roman"/>
                <w:sz w:val="20"/>
                <w:szCs w:val="20"/>
              </w:rPr>
              <w:t>86%</w:t>
            </w:r>
          </w:p>
        </w:tc>
        <w:tc>
          <w:tcPr>
            <w:tcW w:w="604" w:type="pct"/>
          </w:tcPr>
          <w:p w:rsidR="00867720" w:rsidRPr="00F7263B" w:rsidRDefault="00867720" w:rsidP="005D2476">
            <w:pPr>
              <w:contextualSpacing/>
              <w:jc w:val="center"/>
              <w:rPr>
                <w:rFonts w:cs="Times New Roman"/>
                <w:sz w:val="20"/>
                <w:szCs w:val="20"/>
              </w:rPr>
            </w:pPr>
            <w:r w:rsidRPr="00F7263B">
              <w:rPr>
                <w:rFonts w:cs="Times New Roman"/>
                <w:sz w:val="20"/>
                <w:szCs w:val="20"/>
              </w:rPr>
              <w:t>88%</w:t>
            </w:r>
          </w:p>
        </w:tc>
        <w:tc>
          <w:tcPr>
            <w:tcW w:w="498" w:type="pct"/>
          </w:tcPr>
          <w:p w:rsidR="00867720" w:rsidRPr="00F7263B" w:rsidRDefault="00867720" w:rsidP="005D2476">
            <w:pPr>
              <w:contextualSpacing/>
              <w:jc w:val="center"/>
              <w:rPr>
                <w:rFonts w:cs="Times New Roman"/>
                <w:sz w:val="20"/>
                <w:szCs w:val="20"/>
              </w:rPr>
            </w:pPr>
            <w:r w:rsidRPr="00F7263B">
              <w:rPr>
                <w:rFonts w:cs="Times New Roman"/>
                <w:sz w:val="20"/>
                <w:szCs w:val="20"/>
              </w:rPr>
              <w:t>86%</w:t>
            </w:r>
          </w:p>
        </w:tc>
        <w:tc>
          <w:tcPr>
            <w:tcW w:w="640" w:type="pct"/>
          </w:tcPr>
          <w:p w:rsidR="00867720" w:rsidRPr="00F7263B" w:rsidRDefault="00867720" w:rsidP="005D2476">
            <w:pPr>
              <w:contextualSpacing/>
              <w:jc w:val="center"/>
              <w:rPr>
                <w:rFonts w:cs="Times New Roman"/>
                <w:sz w:val="20"/>
                <w:szCs w:val="20"/>
              </w:rPr>
            </w:pPr>
            <w:r w:rsidRPr="00F7263B">
              <w:rPr>
                <w:rFonts w:cs="Times New Roman"/>
                <w:sz w:val="20"/>
                <w:szCs w:val="20"/>
              </w:rPr>
              <w:t>89%</w:t>
            </w:r>
          </w:p>
        </w:tc>
        <w:tc>
          <w:tcPr>
            <w:tcW w:w="784" w:type="pct"/>
          </w:tcPr>
          <w:p w:rsidR="00867720" w:rsidRPr="00F7263B" w:rsidRDefault="00867720" w:rsidP="005D2476">
            <w:pPr>
              <w:contextualSpacing/>
              <w:jc w:val="center"/>
              <w:rPr>
                <w:rFonts w:cs="Times New Roman"/>
                <w:sz w:val="20"/>
                <w:szCs w:val="20"/>
              </w:rPr>
            </w:pPr>
            <w:r w:rsidRPr="00F7263B">
              <w:rPr>
                <w:rFonts w:cs="Times New Roman"/>
                <w:sz w:val="20"/>
                <w:szCs w:val="20"/>
              </w:rPr>
              <w:t>8</w:t>
            </w:r>
          </w:p>
        </w:tc>
        <w:tc>
          <w:tcPr>
            <w:tcW w:w="397" w:type="pct"/>
          </w:tcPr>
          <w:p w:rsidR="00867720" w:rsidRPr="00F7263B" w:rsidRDefault="00867720" w:rsidP="005D2476">
            <w:pPr>
              <w:contextualSpacing/>
              <w:jc w:val="center"/>
              <w:rPr>
                <w:rFonts w:cs="Times New Roman"/>
                <w:sz w:val="20"/>
                <w:szCs w:val="20"/>
              </w:rPr>
            </w:pPr>
            <w:r w:rsidRPr="00F7263B">
              <w:rPr>
                <w:rFonts w:cs="Times New Roman"/>
                <w:sz w:val="20"/>
                <w:szCs w:val="20"/>
              </w:rPr>
              <w:t>17</w:t>
            </w:r>
          </w:p>
        </w:tc>
      </w:tr>
      <w:tr w:rsidR="00867720" w:rsidRPr="00F7263B">
        <w:trPr>
          <w:trHeight w:val="471"/>
        </w:trPr>
        <w:tc>
          <w:tcPr>
            <w:tcW w:w="478" w:type="pct"/>
          </w:tcPr>
          <w:p w:rsidR="00867720" w:rsidRPr="00F7263B" w:rsidRDefault="00867720" w:rsidP="005D2476">
            <w:pPr>
              <w:contextualSpacing/>
              <w:jc w:val="both"/>
              <w:rPr>
                <w:rFonts w:cs="Times New Roman"/>
                <w:sz w:val="20"/>
                <w:szCs w:val="20"/>
              </w:rPr>
            </w:pPr>
            <w:r w:rsidRPr="00F7263B">
              <w:rPr>
                <w:rFonts w:cs="Times New Roman"/>
                <w:sz w:val="20"/>
                <w:szCs w:val="20"/>
              </w:rPr>
              <w:t>Non-ULGDP</w:t>
            </w:r>
          </w:p>
        </w:tc>
        <w:tc>
          <w:tcPr>
            <w:tcW w:w="447" w:type="pct"/>
          </w:tcPr>
          <w:p w:rsidR="00867720" w:rsidRPr="00F7263B" w:rsidRDefault="00867720" w:rsidP="005D2476">
            <w:pPr>
              <w:contextualSpacing/>
              <w:jc w:val="center"/>
              <w:rPr>
                <w:rFonts w:cs="Times New Roman"/>
                <w:sz w:val="20"/>
                <w:szCs w:val="20"/>
              </w:rPr>
            </w:pPr>
            <w:r w:rsidRPr="00F7263B">
              <w:rPr>
                <w:rFonts w:cs="Times New Roman"/>
                <w:sz w:val="20"/>
                <w:szCs w:val="20"/>
              </w:rPr>
              <w:t>42</w:t>
            </w:r>
          </w:p>
        </w:tc>
        <w:tc>
          <w:tcPr>
            <w:tcW w:w="493" w:type="pct"/>
          </w:tcPr>
          <w:p w:rsidR="00867720" w:rsidRPr="00F7263B" w:rsidRDefault="00867720" w:rsidP="005D2476">
            <w:pPr>
              <w:contextualSpacing/>
              <w:jc w:val="center"/>
              <w:rPr>
                <w:rFonts w:cs="Times New Roman"/>
                <w:sz w:val="20"/>
                <w:szCs w:val="20"/>
              </w:rPr>
            </w:pPr>
            <w:r w:rsidRPr="00F7263B">
              <w:rPr>
                <w:rFonts w:cs="Times New Roman"/>
                <w:sz w:val="20"/>
                <w:szCs w:val="20"/>
              </w:rPr>
              <w:t>31</w:t>
            </w:r>
          </w:p>
        </w:tc>
        <w:tc>
          <w:tcPr>
            <w:tcW w:w="657" w:type="pct"/>
          </w:tcPr>
          <w:p w:rsidR="00867720" w:rsidRPr="00F7263B" w:rsidRDefault="00867720" w:rsidP="005D2476">
            <w:pPr>
              <w:contextualSpacing/>
              <w:jc w:val="center"/>
              <w:rPr>
                <w:rFonts w:cs="Times New Roman"/>
                <w:sz w:val="20"/>
                <w:szCs w:val="20"/>
              </w:rPr>
            </w:pPr>
            <w:r w:rsidRPr="00F7263B">
              <w:rPr>
                <w:rFonts w:cs="Times New Roman"/>
                <w:sz w:val="20"/>
                <w:szCs w:val="20"/>
              </w:rPr>
              <w:t>77%</w:t>
            </w:r>
          </w:p>
        </w:tc>
        <w:tc>
          <w:tcPr>
            <w:tcW w:w="604" w:type="pct"/>
          </w:tcPr>
          <w:p w:rsidR="00867720" w:rsidRPr="00F7263B" w:rsidRDefault="00867720" w:rsidP="005D2476">
            <w:pPr>
              <w:contextualSpacing/>
              <w:jc w:val="center"/>
              <w:rPr>
                <w:rFonts w:cs="Times New Roman"/>
                <w:sz w:val="20"/>
                <w:szCs w:val="20"/>
              </w:rPr>
            </w:pPr>
            <w:r w:rsidRPr="00F7263B">
              <w:rPr>
                <w:rFonts w:cs="Times New Roman"/>
                <w:sz w:val="20"/>
                <w:szCs w:val="20"/>
              </w:rPr>
              <w:t>79%</w:t>
            </w:r>
          </w:p>
        </w:tc>
        <w:tc>
          <w:tcPr>
            <w:tcW w:w="498" w:type="pct"/>
          </w:tcPr>
          <w:p w:rsidR="00867720" w:rsidRPr="00F7263B" w:rsidRDefault="00867720" w:rsidP="005D2476">
            <w:pPr>
              <w:contextualSpacing/>
              <w:jc w:val="center"/>
              <w:rPr>
                <w:rFonts w:cs="Times New Roman"/>
                <w:sz w:val="20"/>
                <w:szCs w:val="20"/>
              </w:rPr>
            </w:pPr>
            <w:r w:rsidRPr="00F7263B">
              <w:rPr>
                <w:rFonts w:cs="Times New Roman"/>
                <w:sz w:val="20"/>
                <w:szCs w:val="20"/>
              </w:rPr>
              <w:t>85%</w:t>
            </w:r>
          </w:p>
        </w:tc>
        <w:tc>
          <w:tcPr>
            <w:tcW w:w="640" w:type="pct"/>
          </w:tcPr>
          <w:p w:rsidR="00867720" w:rsidRPr="00F7263B" w:rsidRDefault="00867720" w:rsidP="005D2476">
            <w:pPr>
              <w:contextualSpacing/>
              <w:jc w:val="center"/>
              <w:rPr>
                <w:rFonts w:cs="Times New Roman"/>
                <w:sz w:val="20"/>
                <w:szCs w:val="20"/>
              </w:rPr>
            </w:pPr>
            <w:r w:rsidRPr="00F7263B">
              <w:rPr>
                <w:rFonts w:cs="Times New Roman"/>
                <w:sz w:val="20"/>
                <w:szCs w:val="20"/>
              </w:rPr>
              <w:t>61%</w:t>
            </w:r>
          </w:p>
        </w:tc>
        <w:tc>
          <w:tcPr>
            <w:tcW w:w="784" w:type="pct"/>
          </w:tcPr>
          <w:p w:rsidR="00867720" w:rsidRPr="00F7263B" w:rsidRDefault="00867720" w:rsidP="005D2476">
            <w:pPr>
              <w:contextualSpacing/>
              <w:jc w:val="center"/>
              <w:rPr>
                <w:rFonts w:cs="Times New Roman"/>
                <w:sz w:val="20"/>
                <w:szCs w:val="20"/>
              </w:rPr>
            </w:pPr>
            <w:r w:rsidRPr="00F7263B">
              <w:rPr>
                <w:rFonts w:cs="Times New Roman"/>
                <w:sz w:val="20"/>
                <w:szCs w:val="20"/>
              </w:rPr>
              <w:t>5</w:t>
            </w:r>
          </w:p>
        </w:tc>
        <w:tc>
          <w:tcPr>
            <w:tcW w:w="397" w:type="pct"/>
          </w:tcPr>
          <w:p w:rsidR="00867720" w:rsidRPr="00F7263B" w:rsidRDefault="00867720" w:rsidP="005D2476">
            <w:pPr>
              <w:contextualSpacing/>
              <w:jc w:val="center"/>
              <w:rPr>
                <w:rFonts w:cs="Times New Roman"/>
                <w:sz w:val="20"/>
                <w:szCs w:val="20"/>
              </w:rPr>
            </w:pPr>
            <w:r w:rsidRPr="00F7263B">
              <w:rPr>
                <w:rFonts w:cs="Times New Roman"/>
                <w:sz w:val="20"/>
                <w:szCs w:val="20"/>
              </w:rPr>
              <w:t>12</w:t>
            </w:r>
          </w:p>
        </w:tc>
      </w:tr>
      <w:tr w:rsidR="00867720" w:rsidRPr="00F7263B">
        <w:trPr>
          <w:trHeight w:val="495"/>
        </w:trPr>
        <w:tc>
          <w:tcPr>
            <w:tcW w:w="478" w:type="pct"/>
          </w:tcPr>
          <w:p w:rsidR="00867720" w:rsidRPr="00F7263B" w:rsidRDefault="00867720" w:rsidP="005D2476">
            <w:pPr>
              <w:contextualSpacing/>
              <w:jc w:val="both"/>
              <w:rPr>
                <w:rFonts w:cs="Times New Roman"/>
                <w:sz w:val="20"/>
                <w:szCs w:val="20"/>
              </w:rPr>
            </w:pPr>
            <w:r w:rsidRPr="00F7263B">
              <w:rPr>
                <w:rFonts w:cs="Times New Roman"/>
                <w:sz w:val="20"/>
                <w:szCs w:val="20"/>
              </w:rPr>
              <w:t>No. in the sample</w:t>
            </w:r>
          </w:p>
        </w:tc>
        <w:tc>
          <w:tcPr>
            <w:tcW w:w="447" w:type="pct"/>
          </w:tcPr>
          <w:p w:rsidR="00867720" w:rsidRPr="00F7263B" w:rsidRDefault="00867720" w:rsidP="005D2476">
            <w:pPr>
              <w:contextualSpacing/>
              <w:jc w:val="center"/>
              <w:rPr>
                <w:rFonts w:cs="Times New Roman"/>
                <w:sz w:val="20"/>
                <w:szCs w:val="20"/>
              </w:rPr>
            </w:pPr>
            <w:r w:rsidRPr="00F7263B">
              <w:rPr>
                <w:rFonts w:cs="Times New Roman"/>
                <w:sz w:val="20"/>
                <w:szCs w:val="20"/>
              </w:rPr>
              <w:t>N= 27</w:t>
            </w:r>
          </w:p>
        </w:tc>
        <w:tc>
          <w:tcPr>
            <w:tcW w:w="493" w:type="pct"/>
          </w:tcPr>
          <w:p w:rsidR="00867720" w:rsidRPr="00F7263B" w:rsidRDefault="00867720" w:rsidP="005D2476">
            <w:pPr>
              <w:contextualSpacing/>
              <w:jc w:val="center"/>
              <w:rPr>
                <w:rFonts w:cs="Times New Roman"/>
                <w:sz w:val="20"/>
                <w:szCs w:val="20"/>
              </w:rPr>
            </w:pPr>
            <w:r w:rsidRPr="00F7263B">
              <w:rPr>
                <w:rFonts w:cs="Times New Roman"/>
                <w:sz w:val="20"/>
                <w:szCs w:val="20"/>
              </w:rPr>
              <w:t>N = 27</w:t>
            </w:r>
          </w:p>
        </w:tc>
        <w:tc>
          <w:tcPr>
            <w:tcW w:w="657" w:type="pct"/>
          </w:tcPr>
          <w:p w:rsidR="00867720" w:rsidRPr="00F7263B" w:rsidRDefault="00867720" w:rsidP="005D2476">
            <w:pPr>
              <w:contextualSpacing/>
              <w:jc w:val="center"/>
              <w:rPr>
                <w:rFonts w:cs="Times New Roman"/>
                <w:sz w:val="20"/>
                <w:szCs w:val="20"/>
              </w:rPr>
            </w:pPr>
            <w:r w:rsidRPr="00F7263B">
              <w:rPr>
                <w:rFonts w:cs="Times New Roman"/>
                <w:sz w:val="20"/>
                <w:szCs w:val="20"/>
              </w:rPr>
              <w:t>N= 27</w:t>
            </w:r>
          </w:p>
        </w:tc>
        <w:tc>
          <w:tcPr>
            <w:tcW w:w="604" w:type="pct"/>
          </w:tcPr>
          <w:p w:rsidR="00867720" w:rsidRPr="00F7263B" w:rsidRDefault="00867720" w:rsidP="005D2476">
            <w:pPr>
              <w:contextualSpacing/>
              <w:jc w:val="center"/>
              <w:rPr>
                <w:rFonts w:cs="Times New Roman"/>
                <w:sz w:val="20"/>
                <w:szCs w:val="20"/>
              </w:rPr>
            </w:pPr>
            <w:r w:rsidRPr="00F7263B">
              <w:rPr>
                <w:rFonts w:cs="Times New Roman"/>
                <w:sz w:val="20"/>
                <w:szCs w:val="20"/>
              </w:rPr>
              <w:t>N=26</w:t>
            </w:r>
          </w:p>
        </w:tc>
        <w:tc>
          <w:tcPr>
            <w:tcW w:w="498" w:type="pct"/>
          </w:tcPr>
          <w:p w:rsidR="00867720" w:rsidRPr="00F7263B" w:rsidRDefault="00867720" w:rsidP="005D2476">
            <w:pPr>
              <w:contextualSpacing/>
              <w:jc w:val="center"/>
              <w:rPr>
                <w:rFonts w:cs="Times New Roman"/>
                <w:sz w:val="20"/>
                <w:szCs w:val="20"/>
              </w:rPr>
            </w:pPr>
            <w:r w:rsidRPr="00F7263B">
              <w:rPr>
                <w:rFonts w:cs="Times New Roman"/>
                <w:sz w:val="20"/>
                <w:szCs w:val="20"/>
              </w:rPr>
              <w:t>N=26</w:t>
            </w:r>
          </w:p>
        </w:tc>
        <w:tc>
          <w:tcPr>
            <w:tcW w:w="640" w:type="pct"/>
          </w:tcPr>
          <w:p w:rsidR="00867720" w:rsidRPr="00F7263B" w:rsidRDefault="00867720" w:rsidP="005D2476">
            <w:pPr>
              <w:contextualSpacing/>
              <w:jc w:val="center"/>
              <w:rPr>
                <w:rFonts w:cs="Times New Roman"/>
                <w:sz w:val="20"/>
                <w:szCs w:val="20"/>
              </w:rPr>
            </w:pPr>
            <w:r w:rsidRPr="00F7263B">
              <w:rPr>
                <w:rFonts w:cs="Times New Roman"/>
                <w:sz w:val="20"/>
                <w:szCs w:val="20"/>
              </w:rPr>
              <w:t>N=15</w:t>
            </w:r>
          </w:p>
        </w:tc>
        <w:tc>
          <w:tcPr>
            <w:tcW w:w="784" w:type="pct"/>
          </w:tcPr>
          <w:p w:rsidR="00867720" w:rsidRPr="00F7263B" w:rsidRDefault="00867720" w:rsidP="005D2476">
            <w:pPr>
              <w:contextualSpacing/>
              <w:jc w:val="center"/>
              <w:rPr>
                <w:rFonts w:cs="Times New Roman"/>
                <w:sz w:val="20"/>
                <w:szCs w:val="20"/>
              </w:rPr>
            </w:pPr>
            <w:r w:rsidRPr="00F7263B">
              <w:rPr>
                <w:rFonts w:cs="Times New Roman"/>
                <w:sz w:val="20"/>
                <w:szCs w:val="20"/>
              </w:rPr>
              <w:t>N =19</w:t>
            </w:r>
          </w:p>
        </w:tc>
        <w:tc>
          <w:tcPr>
            <w:tcW w:w="397" w:type="pct"/>
          </w:tcPr>
          <w:p w:rsidR="00867720" w:rsidRPr="00F7263B" w:rsidRDefault="00867720" w:rsidP="005D2476">
            <w:pPr>
              <w:contextualSpacing/>
              <w:jc w:val="center"/>
              <w:rPr>
                <w:rFonts w:cs="Times New Roman"/>
                <w:sz w:val="20"/>
                <w:szCs w:val="20"/>
              </w:rPr>
            </w:pPr>
            <w:r w:rsidRPr="00F7263B">
              <w:rPr>
                <w:rFonts w:cs="Times New Roman"/>
                <w:sz w:val="20"/>
                <w:szCs w:val="20"/>
              </w:rPr>
              <w:t>N= 27</w:t>
            </w:r>
          </w:p>
        </w:tc>
      </w:tr>
    </w:tbl>
    <w:p w:rsidR="004E14BA" w:rsidRPr="00F7263B" w:rsidRDefault="004E14BA" w:rsidP="00391918">
      <w:pPr>
        <w:pStyle w:val="ListParagraph"/>
        <w:ind w:left="0"/>
        <w:jc w:val="both"/>
        <w:rPr>
          <w:rFonts w:cs="Times New Roman"/>
          <w:sz w:val="20"/>
          <w:szCs w:val="20"/>
        </w:rPr>
      </w:pPr>
    </w:p>
    <w:p w:rsidR="006E7278" w:rsidRPr="00F7263B" w:rsidRDefault="00A23256" w:rsidP="00254260">
      <w:pPr>
        <w:pStyle w:val="ListParagraph"/>
        <w:numPr>
          <w:ilvl w:val="0"/>
          <w:numId w:val="96"/>
        </w:numPr>
        <w:ind w:left="0" w:firstLine="0"/>
        <w:jc w:val="both"/>
        <w:rPr>
          <w:rFonts w:cs="Times New Roman"/>
          <w:sz w:val="20"/>
          <w:szCs w:val="20"/>
        </w:rPr>
      </w:pPr>
      <w:r w:rsidRPr="00F7263B">
        <w:rPr>
          <w:rFonts w:cs="Times New Roman"/>
          <w:sz w:val="20"/>
          <w:szCs w:val="20"/>
        </w:rPr>
        <w:t>G</w:t>
      </w:r>
      <w:r w:rsidRPr="00F7263B">
        <w:rPr>
          <w:rFonts w:cs="Times New Roman"/>
          <w:sz w:val="20"/>
          <w:szCs w:val="20"/>
          <w:lang w:bidi="en-US"/>
        </w:rPr>
        <w:t xml:space="preserve">iven the substantial increase in the funds which will be made available to the new 26 ULGs </w:t>
      </w:r>
      <w:r w:rsidR="00310EDB" w:rsidRPr="00F7263B">
        <w:rPr>
          <w:rFonts w:cs="Times New Roman"/>
          <w:sz w:val="20"/>
          <w:szCs w:val="20"/>
          <w:lang w:bidi="en-US"/>
        </w:rPr>
        <w:t>entering</w:t>
      </w:r>
      <w:r w:rsidRPr="00F7263B">
        <w:rPr>
          <w:rFonts w:cs="Times New Roman"/>
          <w:sz w:val="20"/>
          <w:szCs w:val="20"/>
          <w:lang w:bidi="en-US"/>
        </w:rPr>
        <w:t xml:space="preserve"> the Program, having key staffbecomes critical to ensure that the funds are used in the appropriate fiduciary, budgeting, planning, consultation and other Program framework and rules</w:t>
      </w:r>
      <w:r w:rsidR="00310EDB" w:rsidRPr="00F7263B">
        <w:rPr>
          <w:rFonts w:cs="Times New Roman"/>
          <w:sz w:val="20"/>
          <w:szCs w:val="20"/>
          <w:lang w:bidi="en-US"/>
        </w:rPr>
        <w:t xml:space="preserve">.  </w:t>
      </w:r>
      <w:r w:rsidRPr="00F7263B">
        <w:rPr>
          <w:rFonts w:cs="Times New Roman"/>
          <w:sz w:val="20"/>
          <w:szCs w:val="20"/>
          <w:lang w:bidi="en-US"/>
        </w:rPr>
        <w:t>The design of Program will mitigate this risk by making core staffing a Program minimum condition</w:t>
      </w:r>
      <w:r w:rsidR="00310EDB" w:rsidRPr="00F7263B">
        <w:rPr>
          <w:rFonts w:cs="Times New Roman"/>
          <w:sz w:val="20"/>
          <w:szCs w:val="20"/>
          <w:lang w:bidi="en-US"/>
        </w:rPr>
        <w:t xml:space="preserve">.  </w:t>
      </w:r>
      <w:r w:rsidRPr="00F7263B">
        <w:rPr>
          <w:rFonts w:cs="Times New Roman"/>
          <w:sz w:val="20"/>
          <w:szCs w:val="20"/>
          <w:lang w:bidi="en-US"/>
        </w:rPr>
        <w:t xml:space="preserve">As such, in order for all 44 ULGs to access the Program’s </w:t>
      </w:r>
      <w:r w:rsidR="00310EDB" w:rsidRPr="00F7263B">
        <w:rPr>
          <w:rFonts w:cs="Times New Roman"/>
          <w:sz w:val="20"/>
          <w:szCs w:val="20"/>
          <w:lang w:bidi="en-US"/>
        </w:rPr>
        <w:lastRenderedPageBreak/>
        <w:t>performance grant</w:t>
      </w:r>
      <w:r w:rsidRPr="00F7263B">
        <w:rPr>
          <w:rFonts w:cs="Times New Roman"/>
          <w:sz w:val="20"/>
          <w:szCs w:val="20"/>
          <w:lang w:bidi="en-US"/>
        </w:rPr>
        <w:t xml:space="preserve"> funding, they have to have these staff members in place each Program year</w:t>
      </w:r>
      <w:r w:rsidR="00310EDB" w:rsidRPr="00F7263B">
        <w:rPr>
          <w:rFonts w:cs="Times New Roman"/>
          <w:sz w:val="20"/>
          <w:szCs w:val="20"/>
          <w:lang w:bidi="en-US"/>
        </w:rPr>
        <w:t xml:space="preserve">.  </w:t>
      </w:r>
      <w:r w:rsidRPr="00F7263B">
        <w:rPr>
          <w:rFonts w:cs="Times New Roman"/>
          <w:sz w:val="20"/>
          <w:szCs w:val="20"/>
          <w:lang w:bidi="en-US"/>
        </w:rPr>
        <w:t>In addition to this risk mitigation, another measure adopted under Program preparation is the agreement with the ministry that the federal and regional governments will ensure that the Program ULGs have the following requisite staff by Program effectiveness</w:t>
      </w:r>
      <w:r w:rsidR="00310EDB" w:rsidRPr="00F7263B">
        <w:rPr>
          <w:rFonts w:cs="Times New Roman"/>
          <w:sz w:val="20"/>
          <w:szCs w:val="20"/>
          <w:lang w:bidi="en-US"/>
        </w:rPr>
        <w:t>:</w:t>
      </w:r>
      <w:r w:rsidRPr="00F7263B">
        <w:rPr>
          <w:rFonts w:cs="Times New Roman"/>
          <w:sz w:val="20"/>
          <w:szCs w:val="20"/>
        </w:rPr>
        <w:t xml:space="preserve"> (</w:t>
      </w:r>
      <w:r w:rsidR="00310EDB" w:rsidRPr="00F7263B">
        <w:rPr>
          <w:rFonts w:cs="Times New Roman"/>
          <w:sz w:val="20"/>
          <w:szCs w:val="20"/>
        </w:rPr>
        <w:t>a</w:t>
      </w:r>
      <w:r w:rsidRPr="00F7263B">
        <w:rPr>
          <w:rFonts w:cs="Times New Roman"/>
          <w:sz w:val="20"/>
          <w:szCs w:val="20"/>
        </w:rPr>
        <w:t>) city administrator, who is also the main coordinator of the ULGDP II operations, or another dedicated officer (</w:t>
      </w:r>
      <w:r w:rsidR="00310EDB" w:rsidRPr="00F7263B">
        <w:rPr>
          <w:rFonts w:cs="Times New Roman"/>
          <w:sz w:val="20"/>
          <w:szCs w:val="20"/>
        </w:rPr>
        <w:t>b</w:t>
      </w:r>
      <w:r w:rsidRPr="00F7263B">
        <w:rPr>
          <w:rFonts w:cs="Times New Roman"/>
          <w:sz w:val="20"/>
          <w:szCs w:val="20"/>
        </w:rPr>
        <w:t>) finance officer, (</w:t>
      </w:r>
      <w:r w:rsidR="00310EDB" w:rsidRPr="00F7263B">
        <w:rPr>
          <w:rFonts w:cs="Times New Roman"/>
          <w:sz w:val="20"/>
          <w:szCs w:val="20"/>
        </w:rPr>
        <w:t>c</w:t>
      </w:r>
      <w:r w:rsidRPr="00F7263B">
        <w:rPr>
          <w:rFonts w:cs="Times New Roman"/>
          <w:sz w:val="20"/>
          <w:szCs w:val="20"/>
        </w:rPr>
        <w:t>) procurement officer, (</w:t>
      </w:r>
      <w:r w:rsidR="00310EDB" w:rsidRPr="00F7263B">
        <w:rPr>
          <w:rFonts w:cs="Times New Roman"/>
          <w:sz w:val="20"/>
          <w:szCs w:val="20"/>
        </w:rPr>
        <w:t>d</w:t>
      </w:r>
      <w:r w:rsidRPr="00F7263B">
        <w:rPr>
          <w:rFonts w:cs="Times New Roman"/>
          <w:sz w:val="20"/>
          <w:szCs w:val="20"/>
        </w:rPr>
        <w:t>) municipal engineer, (</w:t>
      </w:r>
      <w:r w:rsidR="00310EDB" w:rsidRPr="00F7263B">
        <w:rPr>
          <w:rFonts w:cs="Times New Roman"/>
          <w:sz w:val="20"/>
          <w:szCs w:val="20"/>
        </w:rPr>
        <w:t>e</w:t>
      </w:r>
      <w:r w:rsidRPr="00F7263B">
        <w:rPr>
          <w:rFonts w:cs="Times New Roman"/>
          <w:sz w:val="20"/>
          <w:szCs w:val="20"/>
        </w:rPr>
        <w:t>) physical/urban planner, (</w:t>
      </w:r>
      <w:r w:rsidR="00310EDB" w:rsidRPr="00F7263B">
        <w:rPr>
          <w:rFonts w:cs="Times New Roman"/>
          <w:sz w:val="20"/>
          <w:szCs w:val="20"/>
        </w:rPr>
        <w:t>f</w:t>
      </w:r>
      <w:r w:rsidRPr="00F7263B">
        <w:rPr>
          <w:rFonts w:cs="Times New Roman"/>
          <w:sz w:val="20"/>
          <w:szCs w:val="20"/>
        </w:rPr>
        <w:t>) environmental and social systems management officers.</w:t>
      </w:r>
    </w:p>
    <w:p w:rsidR="0039548F" w:rsidRPr="00F7263B" w:rsidRDefault="0039548F" w:rsidP="00556F1B">
      <w:pPr>
        <w:jc w:val="both"/>
        <w:rPr>
          <w:rFonts w:cs="Times New Roman"/>
          <w:b/>
          <w:sz w:val="20"/>
          <w:szCs w:val="20"/>
        </w:rPr>
        <w:sectPr w:rsidR="0039548F" w:rsidRPr="00F7263B" w:rsidSect="00343654">
          <w:type w:val="oddPage"/>
          <w:pgSz w:w="12240" w:h="15840"/>
          <w:pgMar w:top="1440" w:right="1440" w:bottom="1440" w:left="1440" w:header="720" w:footer="720" w:gutter="0"/>
          <w:cols w:space="720"/>
          <w:docGrid w:linePitch="360"/>
        </w:sectPr>
      </w:pPr>
    </w:p>
    <w:p w:rsidR="00587AB1" w:rsidRPr="00F7263B" w:rsidRDefault="007524FA" w:rsidP="007524FA">
      <w:pPr>
        <w:pStyle w:val="Caption"/>
        <w:jc w:val="center"/>
      </w:pPr>
      <w:bookmarkStart w:id="45" w:name="_Toc374060177"/>
      <w:bookmarkStart w:id="46" w:name="_Toc380087828"/>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2</w:t>
      </w:r>
      <w:r w:rsidR="00B845BE" w:rsidRPr="00F7263B">
        <w:fldChar w:fldCharType="end"/>
      </w:r>
      <w:r w:rsidR="00BA51C5" w:rsidRPr="00F7263B">
        <w:t>: Results Framework Matrix</w:t>
      </w:r>
      <w:bookmarkEnd w:id="45"/>
      <w:bookmarkEnd w:id="46"/>
    </w:p>
    <w:p w:rsidR="00151505" w:rsidRPr="00F7263B" w:rsidRDefault="00151505" w:rsidP="00254260">
      <w:pPr>
        <w:rPr>
          <w:sz w:val="20"/>
          <w:szCs w:val="20"/>
        </w:rPr>
      </w:pPr>
    </w:p>
    <w:tbl>
      <w:tblPr>
        <w:tblStyle w:val="TableGrid"/>
        <w:tblW w:w="13860" w:type="dxa"/>
        <w:tblInd w:w="-612" w:type="dxa"/>
        <w:tblLook w:val="04A0" w:firstRow="1" w:lastRow="0" w:firstColumn="1" w:lastColumn="0" w:noHBand="0" w:noVBand="1"/>
      </w:tblPr>
      <w:tblGrid>
        <w:gridCol w:w="13860"/>
      </w:tblGrid>
      <w:tr w:rsidR="00151505" w:rsidRPr="00F7263B" w:rsidTr="001509A0">
        <w:tc>
          <w:tcPr>
            <w:tcW w:w="13860" w:type="dxa"/>
            <w:tcBorders>
              <w:bottom w:val="single" w:sz="2" w:space="0" w:color="auto"/>
            </w:tcBorders>
            <w:vAlign w:val="center"/>
          </w:tcPr>
          <w:p w:rsidR="00151505" w:rsidRPr="00F7263B" w:rsidRDefault="00151505" w:rsidP="001509A0">
            <w:pPr>
              <w:rPr>
                <w:rFonts w:cs="Times New Roman"/>
                <w:b/>
                <w:sz w:val="20"/>
                <w:szCs w:val="20"/>
              </w:rPr>
            </w:pPr>
          </w:p>
          <w:p w:rsidR="00151505" w:rsidRPr="00F7263B" w:rsidRDefault="00151505" w:rsidP="001509A0">
            <w:pPr>
              <w:rPr>
                <w:rFonts w:cs="Times New Roman"/>
                <w:b/>
                <w:sz w:val="20"/>
                <w:szCs w:val="20"/>
              </w:rPr>
            </w:pPr>
            <w:r w:rsidRPr="00F7263B">
              <w:rPr>
                <w:rFonts w:cs="Times New Roman"/>
                <w:b/>
                <w:sz w:val="20"/>
                <w:szCs w:val="20"/>
              </w:rPr>
              <w:t>Program Development Objective: Enhance institutional capacity of participating ULGs in developing and sustaining urban infrastructure and services.</w:t>
            </w:r>
          </w:p>
          <w:p w:rsidR="00151505" w:rsidRPr="00F7263B" w:rsidRDefault="00151505" w:rsidP="001509A0">
            <w:pPr>
              <w:rPr>
                <w:rFonts w:cs="Times New Roman"/>
                <w:b/>
                <w:sz w:val="20"/>
                <w:szCs w:val="20"/>
              </w:rPr>
            </w:pPr>
          </w:p>
        </w:tc>
      </w:tr>
    </w:tbl>
    <w:tbl>
      <w:tblPr>
        <w:tblW w:w="138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7"/>
        <w:gridCol w:w="399"/>
        <w:gridCol w:w="403"/>
        <w:gridCol w:w="866"/>
        <w:gridCol w:w="781"/>
        <w:gridCol w:w="1013"/>
        <w:gridCol w:w="6"/>
        <w:gridCol w:w="95"/>
        <w:gridCol w:w="917"/>
        <w:gridCol w:w="1014"/>
        <w:gridCol w:w="1013"/>
        <w:gridCol w:w="1016"/>
        <w:gridCol w:w="990"/>
        <w:gridCol w:w="90"/>
        <w:gridCol w:w="1261"/>
        <w:gridCol w:w="1529"/>
      </w:tblGrid>
      <w:tr w:rsidR="00151505" w:rsidRPr="00F7263B" w:rsidTr="001509A0">
        <w:trPr>
          <w:cantSplit/>
          <w:trHeight w:val="242"/>
          <w:tblHeader/>
        </w:trPr>
        <w:tc>
          <w:tcPr>
            <w:tcW w:w="2467"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PDO Level Results Indicators</w:t>
            </w:r>
          </w:p>
        </w:tc>
        <w:tc>
          <w:tcPr>
            <w:tcW w:w="399"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extDirection w:val="btLr"/>
          </w:tcPr>
          <w:p w:rsidR="00151505" w:rsidRPr="00F7263B" w:rsidRDefault="00151505" w:rsidP="001509A0">
            <w:pPr>
              <w:ind w:left="113" w:right="113"/>
              <w:jc w:val="center"/>
              <w:rPr>
                <w:rFonts w:cs="Times New Roman"/>
                <w:b/>
                <w:sz w:val="20"/>
                <w:szCs w:val="20"/>
              </w:rPr>
            </w:pPr>
            <w:r w:rsidRPr="00F7263B">
              <w:rPr>
                <w:rFonts w:cs="Times New Roman"/>
                <w:b/>
                <w:sz w:val="20"/>
                <w:szCs w:val="20"/>
              </w:rPr>
              <w:t>Core</w:t>
            </w:r>
          </w:p>
        </w:tc>
        <w:tc>
          <w:tcPr>
            <w:tcW w:w="403"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extDirection w:val="btLr"/>
          </w:tcPr>
          <w:p w:rsidR="00151505" w:rsidRPr="00F7263B" w:rsidRDefault="00151505" w:rsidP="001509A0">
            <w:pPr>
              <w:ind w:left="113" w:right="113"/>
              <w:jc w:val="center"/>
              <w:rPr>
                <w:rFonts w:cs="Times New Roman"/>
                <w:b/>
                <w:sz w:val="20"/>
                <w:szCs w:val="20"/>
              </w:rPr>
            </w:pPr>
            <w:r w:rsidRPr="00F7263B">
              <w:rPr>
                <w:rFonts w:cs="Times New Roman"/>
                <w:b/>
                <w:sz w:val="20"/>
                <w:szCs w:val="20"/>
              </w:rPr>
              <w:t>DLI</w:t>
            </w:r>
          </w:p>
        </w:tc>
        <w:tc>
          <w:tcPr>
            <w:tcW w:w="866"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Unit of Meas-ure</w:t>
            </w:r>
          </w:p>
        </w:tc>
        <w:tc>
          <w:tcPr>
            <w:tcW w:w="781"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Base-line</w:t>
            </w:r>
          </w:p>
          <w:p w:rsidR="00151505" w:rsidRPr="00F7263B" w:rsidRDefault="00151505" w:rsidP="001509A0">
            <w:pPr>
              <w:jc w:val="center"/>
              <w:rPr>
                <w:rFonts w:cs="Times New Roman"/>
                <w:b/>
                <w:sz w:val="20"/>
                <w:szCs w:val="20"/>
              </w:rPr>
            </w:pPr>
            <w:r w:rsidRPr="00F7263B">
              <w:rPr>
                <w:rFonts w:cs="Times New Roman"/>
                <w:b/>
                <w:sz w:val="20"/>
                <w:szCs w:val="20"/>
              </w:rPr>
              <w:t>FY14</w:t>
            </w:r>
          </w:p>
        </w:tc>
        <w:tc>
          <w:tcPr>
            <w:tcW w:w="5074" w:type="dxa"/>
            <w:gridSpan w:val="7"/>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Target Values</w:t>
            </w:r>
          </w:p>
        </w:tc>
        <w:tc>
          <w:tcPr>
            <w:tcW w:w="1080"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Frequency</w:t>
            </w:r>
          </w:p>
        </w:tc>
        <w:tc>
          <w:tcPr>
            <w:tcW w:w="126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Data Source/ Method-ology</w:t>
            </w:r>
          </w:p>
        </w:tc>
        <w:tc>
          <w:tcPr>
            <w:tcW w:w="1529"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Responsibility for Data Collection</w:t>
            </w:r>
          </w:p>
        </w:tc>
      </w:tr>
      <w:tr w:rsidR="00151505" w:rsidRPr="00F7263B" w:rsidTr="00254260">
        <w:trPr>
          <w:cantSplit/>
          <w:trHeight w:val="449"/>
          <w:tblHeader/>
        </w:trPr>
        <w:tc>
          <w:tcPr>
            <w:tcW w:w="2467" w:type="dxa"/>
            <w:vMerge/>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p>
        </w:tc>
        <w:tc>
          <w:tcPr>
            <w:tcW w:w="399" w:type="dxa"/>
            <w:vMerge/>
            <w:tcBorders>
              <w:top w:val="single" w:sz="2" w:space="0" w:color="auto"/>
            </w:tcBorders>
            <w:shd w:val="clear" w:color="auto" w:fill="F2F2F2" w:themeFill="background1" w:themeFillShade="F2"/>
            <w:textDirection w:val="btLr"/>
          </w:tcPr>
          <w:p w:rsidR="00151505" w:rsidRPr="00F7263B" w:rsidRDefault="00151505" w:rsidP="001509A0">
            <w:pPr>
              <w:ind w:left="113" w:right="113"/>
              <w:jc w:val="center"/>
              <w:rPr>
                <w:rFonts w:cs="Times New Roman"/>
                <w:b/>
                <w:sz w:val="20"/>
                <w:szCs w:val="20"/>
              </w:rPr>
            </w:pPr>
          </w:p>
        </w:tc>
        <w:tc>
          <w:tcPr>
            <w:tcW w:w="403" w:type="dxa"/>
            <w:vMerge/>
            <w:tcBorders>
              <w:top w:val="single" w:sz="2" w:space="0" w:color="auto"/>
            </w:tcBorders>
            <w:shd w:val="clear" w:color="auto" w:fill="F2F2F2" w:themeFill="background1" w:themeFillShade="F2"/>
            <w:textDirection w:val="btLr"/>
          </w:tcPr>
          <w:p w:rsidR="00151505" w:rsidRPr="00F7263B" w:rsidRDefault="00151505" w:rsidP="001509A0">
            <w:pPr>
              <w:ind w:left="113" w:right="113"/>
              <w:jc w:val="center"/>
              <w:rPr>
                <w:rFonts w:cs="Times New Roman"/>
                <w:b/>
                <w:sz w:val="20"/>
                <w:szCs w:val="20"/>
              </w:rPr>
            </w:pPr>
          </w:p>
        </w:tc>
        <w:tc>
          <w:tcPr>
            <w:tcW w:w="866" w:type="dxa"/>
            <w:vMerge/>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p>
        </w:tc>
        <w:tc>
          <w:tcPr>
            <w:tcW w:w="781" w:type="dxa"/>
            <w:vMerge/>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p>
        </w:tc>
        <w:tc>
          <w:tcPr>
            <w:tcW w:w="1114" w:type="dxa"/>
            <w:gridSpan w:val="3"/>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FY15</w:t>
            </w:r>
            <w:r w:rsidRPr="00F7263B">
              <w:rPr>
                <w:rStyle w:val="FootnoteReference"/>
                <w:rFonts w:cs="Times New Roman"/>
                <w:sz w:val="20"/>
                <w:szCs w:val="20"/>
              </w:rPr>
              <w:footnoteReference w:id="30"/>
            </w:r>
          </w:p>
        </w:tc>
        <w:tc>
          <w:tcPr>
            <w:tcW w:w="917" w:type="dxa"/>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FY16</w:t>
            </w:r>
          </w:p>
        </w:tc>
        <w:tc>
          <w:tcPr>
            <w:tcW w:w="1014" w:type="dxa"/>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FY17</w:t>
            </w:r>
          </w:p>
        </w:tc>
        <w:tc>
          <w:tcPr>
            <w:tcW w:w="1013" w:type="dxa"/>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FY18</w:t>
            </w:r>
          </w:p>
        </w:tc>
        <w:tc>
          <w:tcPr>
            <w:tcW w:w="1016" w:type="dxa"/>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r w:rsidRPr="00F7263B">
              <w:rPr>
                <w:rFonts w:cs="Times New Roman"/>
                <w:b/>
                <w:sz w:val="20"/>
                <w:szCs w:val="20"/>
              </w:rPr>
              <w:t>FY19</w:t>
            </w:r>
          </w:p>
        </w:tc>
        <w:tc>
          <w:tcPr>
            <w:tcW w:w="1080" w:type="dxa"/>
            <w:gridSpan w:val="2"/>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p>
        </w:tc>
        <w:tc>
          <w:tcPr>
            <w:tcW w:w="1261" w:type="dxa"/>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p>
        </w:tc>
        <w:tc>
          <w:tcPr>
            <w:tcW w:w="1529" w:type="dxa"/>
            <w:tcBorders>
              <w:top w:val="single" w:sz="2" w:space="0" w:color="auto"/>
            </w:tcBorders>
            <w:shd w:val="clear" w:color="auto" w:fill="F2F2F2" w:themeFill="background1" w:themeFillShade="F2"/>
          </w:tcPr>
          <w:p w:rsidR="00151505" w:rsidRPr="00F7263B" w:rsidRDefault="00151505" w:rsidP="001509A0">
            <w:pPr>
              <w:jc w:val="center"/>
              <w:rPr>
                <w:rFonts w:cs="Times New Roman"/>
                <w:b/>
                <w:sz w:val="20"/>
                <w:szCs w:val="20"/>
              </w:rPr>
            </w:pPr>
          </w:p>
        </w:tc>
      </w:tr>
      <w:tr w:rsidR="00151505" w:rsidRPr="00F7263B" w:rsidTr="00254260">
        <w:tc>
          <w:tcPr>
            <w:tcW w:w="2467" w:type="dxa"/>
          </w:tcPr>
          <w:p w:rsidR="00151505" w:rsidRPr="00F7263B" w:rsidRDefault="00151505" w:rsidP="001509A0">
            <w:pPr>
              <w:tabs>
                <w:tab w:val="left" w:pos="252"/>
              </w:tabs>
              <w:rPr>
                <w:rFonts w:cs="Times New Roman"/>
                <w:sz w:val="20"/>
                <w:szCs w:val="20"/>
              </w:rPr>
            </w:pPr>
            <w:r w:rsidRPr="00F7263B">
              <w:rPr>
                <w:rFonts w:cs="Times New Roman"/>
                <w:sz w:val="20"/>
                <w:szCs w:val="20"/>
              </w:rPr>
              <w:t xml:space="preserve">1. </w:t>
            </w:r>
            <w:r w:rsidRPr="00F7263B">
              <w:rPr>
                <w:rFonts w:cs="Times New Roman"/>
                <w:sz w:val="20"/>
                <w:szCs w:val="20"/>
              </w:rPr>
              <w:tab/>
              <w:t>Score in the APA for institutional performance ofparticipatingULGs, averaged across all cities.</w:t>
            </w:r>
            <w:r w:rsidRPr="00F7263B">
              <w:rPr>
                <w:rFonts w:cs="Times New Roman"/>
                <w:sz w:val="20"/>
                <w:szCs w:val="20"/>
                <w:vertAlign w:val="superscript"/>
              </w:rPr>
              <w:footnoteReference w:id="31"/>
            </w:r>
          </w:p>
        </w:tc>
        <w:tc>
          <w:tcPr>
            <w:tcW w:w="399" w:type="dxa"/>
          </w:tcPr>
          <w:p w:rsidR="00151505" w:rsidRPr="00F7263B" w:rsidRDefault="00151505" w:rsidP="001509A0">
            <w:pPr>
              <w:jc w:val="both"/>
              <w:rPr>
                <w:rFonts w:cs="Times New Roman"/>
                <w:b/>
                <w:noProof/>
                <w:sz w:val="20"/>
                <w:szCs w:val="20"/>
              </w:rPr>
            </w:pPr>
          </w:p>
        </w:tc>
        <w:tc>
          <w:tcPr>
            <w:tcW w:w="403" w:type="dxa"/>
          </w:tcPr>
          <w:p w:rsidR="00151505" w:rsidRPr="00F7263B" w:rsidRDefault="00151505" w:rsidP="001509A0">
            <w:pPr>
              <w:jc w:val="both"/>
              <w:rPr>
                <w:rFonts w:cs="Times New Roman"/>
                <w:sz w:val="20"/>
                <w:szCs w:val="20"/>
              </w:rPr>
            </w:pPr>
            <w:r w:rsidRPr="00F7263B">
              <w:rPr>
                <w:rFonts w:cs="Times New Roman"/>
                <w:noProof/>
                <w:sz w:val="20"/>
                <w:szCs w:val="20"/>
              </w:rPr>
              <w:t>2</w:t>
            </w: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Number</w:t>
            </w:r>
          </w:p>
        </w:tc>
        <w:tc>
          <w:tcPr>
            <w:tcW w:w="781" w:type="dxa"/>
          </w:tcPr>
          <w:p w:rsidR="00151505" w:rsidRPr="00F7263B" w:rsidRDefault="00151505" w:rsidP="001509A0">
            <w:pPr>
              <w:jc w:val="center"/>
              <w:rPr>
                <w:rFonts w:cs="Times New Roman"/>
                <w:sz w:val="20"/>
                <w:szCs w:val="20"/>
              </w:rPr>
            </w:pPr>
            <w:r w:rsidRPr="00F7263B">
              <w:rPr>
                <w:rFonts w:cs="Times New Roman"/>
                <w:sz w:val="20"/>
                <w:szCs w:val="20"/>
              </w:rPr>
              <w:t>0</w:t>
            </w:r>
          </w:p>
        </w:tc>
        <w:tc>
          <w:tcPr>
            <w:tcW w:w="1114" w:type="dxa"/>
            <w:gridSpan w:val="3"/>
          </w:tcPr>
          <w:p w:rsidR="00151505" w:rsidRPr="00F7263B" w:rsidRDefault="00151505" w:rsidP="001509A0">
            <w:pPr>
              <w:jc w:val="center"/>
              <w:rPr>
                <w:rFonts w:cs="Times New Roman"/>
                <w:sz w:val="20"/>
                <w:szCs w:val="20"/>
              </w:rPr>
            </w:pPr>
            <w:r w:rsidRPr="00F7263B">
              <w:rPr>
                <w:rFonts w:cs="Times New Roman"/>
                <w:sz w:val="20"/>
                <w:szCs w:val="20"/>
              </w:rPr>
              <w:t>60</w:t>
            </w:r>
          </w:p>
        </w:tc>
        <w:tc>
          <w:tcPr>
            <w:tcW w:w="917" w:type="dxa"/>
          </w:tcPr>
          <w:p w:rsidR="00151505" w:rsidRPr="00F7263B" w:rsidRDefault="00151505" w:rsidP="001509A0">
            <w:pPr>
              <w:jc w:val="center"/>
              <w:rPr>
                <w:rFonts w:cs="Times New Roman"/>
                <w:sz w:val="20"/>
                <w:szCs w:val="20"/>
              </w:rPr>
            </w:pPr>
            <w:r w:rsidRPr="00F7263B">
              <w:rPr>
                <w:rFonts w:cs="Times New Roman"/>
                <w:sz w:val="20"/>
                <w:szCs w:val="20"/>
              </w:rPr>
              <w:t>65</w:t>
            </w:r>
          </w:p>
        </w:tc>
        <w:tc>
          <w:tcPr>
            <w:tcW w:w="1014" w:type="dxa"/>
          </w:tcPr>
          <w:p w:rsidR="00151505" w:rsidRPr="00F7263B" w:rsidRDefault="00151505" w:rsidP="001509A0">
            <w:pPr>
              <w:jc w:val="center"/>
              <w:rPr>
                <w:rFonts w:cs="Times New Roman"/>
                <w:sz w:val="20"/>
                <w:szCs w:val="20"/>
              </w:rPr>
            </w:pPr>
            <w:r w:rsidRPr="00F7263B">
              <w:rPr>
                <w:rFonts w:cs="Times New Roman"/>
                <w:sz w:val="20"/>
                <w:szCs w:val="20"/>
              </w:rPr>
              <w:t>70</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75</w:t>
            </w:r>
          </w:p>
        </w:tc>
        <w:tc>
          <w:tcPr>
            <w:tcW w:w="1016" w:type="dxa"/>
          </w:tcPr>
          <w:p w:rsidR="00151505" w:rsidRPr="00F7263B" w:rsidRDefault="00151505" w:rsidP="001509A0">
            <w:pPr>
              <w:jc w:val="center"/>
              <w:rPr>
                <w:rFonts w:cs="Times New Roman"/>
                <w:sz w:val="20"/>
                <w:szCs w:val="20"/>
              </w:rPr>
            </w:pPr>
            <w:r w:rsidRPr="00F7263B">
              <w:rPr>
                <w:rFonts w:cs="Times New Roman"/>
                <w:sz w:val="20"/>
                <w:szCs w:val="20"/>
              </w:rPr>
              <w:t>80</w:t>
            </w:r>
          </w:p>
        </w:tc>
        <w:tc>
          <w:tcPr>
            <w:tcW w:w="990" w:type="dxa"/>
          </w:tcPr>
          <w:p w:rsidR="00151505" w:rsidRPr="00F7263B" w:rsidRDefault="00151505" w:rsidP="001509A0">
            <w:pPr>
              <w:jc w:val="both"/>
              <w:rPr>
                <w:rFonts w:cs="Times New Roman"/>
                <w:sz w:val="20"/>
                <w:szCs w:val="20"/>
              </w:rPr>
            </w:pPr>
            <w:r w:rsidRPr="00F7263B">
              <w:rPr>
                <w:rFonts w:cs="Times New Roman"/>
                <w:sz w:val="20"/>
                <w:szCs w:val="20"/>
              </w:rPr>
              <w:t xml:space="preserve">Annually </w:t>
            </w:r>
          </w:p>
          <w:p w:rsidR="00151505" w:rsidRPr="00F7263B" w:rsidRDefault="00151505" w:rsidP="001509A0">
            <w:pPr>
              <w:jc w:val="both"/>
              <w:rPr>
                <w:rFonts w:cs="Times New Roman"/>
                <w:sz w:val="20"/>
                <w:szCs w:val="20"/>
              </w:rPr>
            </w:pPr>
          </w:p>
        </w:tc>
        <w:tc>
          <w:tcPr>
            <w:tcW w:w="1351" w:type="dxa"/>
            <w:gridSpan w:val="2"/>
          </w:tcPr>
          <w:p w:rsidR="00151505" w:rsidRPr="00F7263B" w:rsidRDefault="00151505" w:rsidP="001509A0">
            <w:pPr>
              <w:rPr>
                <w:rFonts w:cs="Times New Roman"/>
                <w:sz w:val="20"/>
                <w:szCs w:val="20"/>
              </w:rPr>
            </w:pPr>
            <w:r w:rsidRPr="00F7263B">
              <w:rPr>
                <w:rFonts w:cs="Times New Roman"/>
                <w:sz w:val="20"/>
                <w:szCs w:val="20"/>
              </w:rPr>
              <w:t xml:space="preserve">APA </w:t>
            </w:r>
          </w:p>
          <w:p w:rsidR="00151505" w:rsidRPr="00F7263B" w:rsidRDefault="00151505" w:rsidP="001509A0">
            <w:pPr>
              <w:rPr>
                <w:rFonts w:cs="Times New Roman"/>
                <w:b/>
                <w:sz w:val="20"/>
                <w:szCs w:val="20"/>
              </w:rPr>
            </w:pPr>
          </w:p>
        </w:tc>
        <w:tc>
          <w:tcPr>
            <w:tcW w:w="1529" w:type="dxa"/>
          </w:tcPr>
          <w:p w:rsidR="00151505" w:rsidRPr="00F7263B" w:rsidRDefault="00151505" w:rsidP="001509A0">
            <w:pPr>
              <w:rPr>
                <w:rFonts w:cs="Times New Roman"/>
                <w:sz w:val="20"/>
                <w:szCs w:val="20"/>
              </w:rPr>
            </w:pPr>
            <w:r w:rsidRPr="00F7263B">
              <w:rPr>
                <w:rFonts w:cs="Times New Roman"/>
                <w:sz w:val="20"/>
                <w:szCs w:val="20"/>
              </w:rPr>
              <w:t>APA firm collects the basic data on performance.  The MUDHCo and the Bank verify the index.</w:t>
            </w:r>
          </w:p>
        </w:tc>
      </w:tr>
      <w:tr w:rsidR="00151505" w:rsidRPr="00F7263B" w:rsidTr="00254260">
        <w:tc>
          <w:tcPr>
            <w:tcW w:w="2467" w:type="dxa"/>
          </w:tcPr>
          <w:p w:rsidR="00151505" w:rsidRPr="00F7263B" w:rsidRDefault="00151505" w:rsidP="001509A0">
            <w:pPr>
              <w:tabs>
                <w:tab w:val="left" w:pos="252"/>
              </w:tabs>
              <w:rPr>
                <w:rFonts w:eastAsia="Times New Roman" w:cs="Times New Roman"/>
                <w:sz w:val="20"/>
                <w:szCs w:val="20"/>
              </w:rPr>
            </w:pPr>
            <w:r w:rsidRPr="00F7263B">
              <w:rPr>
                <w:rFonts w:cs="Times New Roman"/>
                <w:sz w:val="20"/>
                <w:szCs w:val="20"/>
              </w:rPr>
              <w:t xml:space="preserve">2. </w:t>
            </w:r>
            <w:r w:rsidRPr="00F7263B">
              <w:rPr>
                <w:rFonts w:cs="Times New Roman"/>
                <w:sz w:val="20"/>
                <w:szCs w:val="20"/>
              </w:rPr>
              <w:tab/>
              <w:t>Score in the APA forachievement of urban infrastructure targets by ULGs, averaged across all cities.</w:t>
            </w:r>
          </w:p>
        </w:tc>
        <w:tc>
          <w:tcPr>
            <w:tcW w:w="399" w:type="dxa"/>
          </w:tcPr>
          <w:p w:rsidR="00151505" w:rsidRPr="00F7263B" w:rsidRDefault="00151505" w:rsidP="001509A0">
            <w:pPr>
              <w:jc w:val="both"/>
              <w:rPr>
                <w:rFonts w:cs="Times New Roman"/>
                <w:b/>
                <w:noProof/>
                <w:sz w:val="20"/>
                <w:szCs w:val="20"/>
              </w:rPr>
            </w:pPr>
          </w:p>
        </w:tc>
        <w:tc>
          <w:tcPr>
            <w:tcW w:w="403" w:type="dxa"/>
          </w:tcPr>
          <w:p w:rsidR="00151505" w:rsidRPr="00F7263B" w:rsidRDefault="00151505" w:rsidP="001509A0">
            <w:pPr>
              <w:jc w:val="both"/>
              <w:rPr>
                <w:rFonts w:cs="Times New Roman"/>
                <w:sz w:val="20"/>
                <w:szCs w:val="20"/>
              </w:rPr>
            </w:pPr>
            <w:r w:rsidRPr="00F7263B">
              <w:rPr>
                <w:rFonts w:cs="Times New Roman"/>
                <w:noProof/>
                <w:sz w:val="20"/>
                <w:szCs w:val="20"/>
              </w:rPr>
              <w:t>3</w:t>
            </w: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Number</w:t>
            </w:r>
          </w:p>
        </w:tc>
        <w:tc>
          <w:tcPr>
            <w:tcW w:w="781" w:type="dxa"/>
          </w:tcPr>
          <w:p w:rsidR="00151505" w:rsidRPr="00F7263B" w:rsidRDefault="00151505" w:rsidP="001509A0">
            <w:pPr>
              <w:jc w:val="center"/>
              <w:rPr>
                <w:rFonts w:cs="Times New Roman"/>
                <w:sz w:val="20"/>
                <w:szCs w:val="20"/>
              </w:rPr>
            </w:pPr>
            <w:r w:rsidRPr="00F7263B">
              <w:rPr>
                <w:rFonts w:cs="Times New Roman"/>
                <w:sz w:val="20"/>
                <w:szCs w:val="20"/>
              </w:rPr>
              <w:t>0</w:t>
            </w:r>
          </w:p>
        </w:tc>
        <w:tc>
          <w:tcPr>
            <w:tcW w:w="1114" w:type="dxa"/>
            <w:gridSpan w:val="3"/>
          </w:tcPr>
          <w:p w:rsidR="00151505" w:rsidRPr="00F7263B" w:rsidRDefault="00151505" w:rsidP="001509A0">
            <w:pPr>
              <w:jc w:val="center"/>
              <w:rPr>
                <w:rFonts w:cs="Times New Roman"/>
                <w:sz w:val="20"/>
                <w:szCs w:val="20"/>
              </w:rPr>
            </w:pPr>
            <w:r w:rsidRPr="00F7263B">
              <w:rPr>
                <w:rFonts w:cs="Times New Roman"/>
                <w:sz w:val="20"/>
                <w:szCs w:val="20"/>
              </w:rPr>
              <w:t>60</w:t>
            </w:r>
          </w:p>
        </w:tc>
        <w:tc>
          <w:tcPr>
            <w:tcW w:w="917" w:type="dxa"/>
          </w:tcPr>
          <w:p w:rsidR="00151505" w:rsidRPr="00F7263B" w:rsidRDefault="00151505" w:rsidP="001509A0">
            <w:pPr>
              <w:jc w:val="center"/>
              <w:rPr>
                <w:rFonts w:cs="Times New Roman"/>
                <w:sz w:val="20"/>
                <w:szCs w:val="20"/>
              </w:rPr>
            </w:pPr>
            <w:r w:rsidRPr="00F7263B">
              <w:rPr>
                <w:rFonts w:cs="Times New Roman"/>
                <w:sz w:val="20"/>
                <w:szCs w:val="20"/>
              </w:rPr>
              <w:t>65</w:t>
            </w:r>
          </w:p>
        </w:tc>
        <w:tc>
          <w:tcPr>
            <w:tcW w:w="1014" w:type="dxa"/>
          </w:tcPr>
          <w:p w:rsidR="00151505" w:rsidRPr="00F7263B" w:rsidRDefault="00151505" w:rsidP="001509A0">
            <w:pPr>
              <w:jc w:val="center"/>
              <w:rPr>
                <w:rFonts w:cs="Times New Roman"/>
                <w:sz w:val="20"/>
                <w:szCs w:val="20"/>
              </w:rPr>
            </w:pPr>
            <w:r w:rsidRPr="00F7263B">
              <w:rPr>
                <w:rFonts w:cs="Times New Roman"/>
                <w:sz w:val="20"/>
                <w:szCs w:val="20"/>
              </w:rPr>
              <w:t>70</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75</w:t>
            </w:r>
          </w:p>
        </w:tc>
        <w:tc>
          <w:tcPr>
            <w:tcW w:w="1016" w:type="dxa"/>
          </w:tcPr>
          <w:p w:rsidR="00151505" w:rsidRPr="00F7263B" w:rsidRDefault="00151505" w:rsidP="001509A0">
            <w:pPr>
              <w:jc w:val="center"/>
              <w:rPr>
                <w:rFonts w:cs="Times New Roman"/>
                <w:sz w:val="20"/>
                <w:szCs w:val="20"/>
              </w:rPr>
            </w:pPr>
            <w:r w:rsidRPr="00F7263B">
              <w:rPr>
                <w:rFonts w:cs="Times New Roman"/>
                <w:sz w:val="20"/>
                <w:szCs w:val="20"/>
              </w:rPr>
              <w:t>80</w:t>
            </w:r>
          </w:p>
        </w:tc>
        <w:tc>
          <w:tcPr>
            <w:tcW w:w="990" w:type="dxa"/>
          </w:tcPr>
          <w:p w:rsidR="00151505" w:rsidRPr="00F7263B" w:rsidRDefault="00151505" w:rsidP="001509A0">
            <w:pPr>
              <w:jc w:val="both"/>
              <w:rPr>
                <w:rFonts w:cs="Times New Roman"/>
                <w:sz w:val="20"/>
                <w:szCs w:val="20"/>
              </w:rPr>
            </w:pPr>
            <w:r w:rsidRPr="00F7263B">
              <w:rPr>
                <w:rFonts w:cs="Times New Roman"/>
                <w:sz w:val="20"/>
                <w:szCs w:val="20"/>
              </w:rPr>
              <w:t xml:space="preserve">Annually </w:t>
            </w:r>
          </w:p>
        </w:tc>
        <w:tc>
          <w:tcPr>
            <w:tcW w:w="1351" w:type="dxa"/>
            <w:gridSpan w:val="2"/>
          </w:tcPr>
          <w:p w:rsidR="00151505" w:rsidRPr="00F7263B" w:rsidRDefault="00151505" w:rsidP="001509A0">
            <w:pPr>
              <w:rPr>
                <w:rFonts w:cs="Times New Roman"/>
                <w:b/>
                <w:sz w:val="20"/>
                <w:szCs w:val="20"/>
              </w:rPr>
            </w:pPr>
            <w:r w:rsidRPr="00F7263B">
              <w:rPr>
                <w:rFonts w:cs="Times New Roman"/>
                <w:sz w:val="20"/>
                <w:szCs w:val="20"/>
              </w:rPr>
              <w:t xml:space="preserve">APA </w:t>
            </w:r>
          </w:p>
        </w:tc>
        <w:tc>
          <w:tcPr>
            <w:tcW w:w="1529" w:type="dxa"/>
          </w:tcPr>
          <w:p w:rsidR="00151505" w:rsidRPr="00F7263B" w:rsidRDefault="00151505" w:rsidP="001509A0">
            <w:pPr>
              <w:rPr>
                <w:rFonts w:cs="Times New Roman"/>
                <w:sz w:val="20"/>
                <w:szCs w:val="20"/>
              </w:rPr>
            </w:pPr>
            <w:r w:rsidRPr="00F7263B">
              <w:rPr>
                <w:rFonts w:cs="Times New Roman"/>
                <w:sz w:val="20"/>
                <w:szCs w:val="20"/>
              </w:rPr>
              <w:t>See above.</w:t>
            </w:r>
          </w:p>
        </w:tc>
      </w:tr>
      <w:tr w:rsidR="00151505" w:rsidRPr="00F7263B" w:rsidTr="001509A0">
        <w:trPr>
          <w:trHeight w:val="350"/>
        </w:trPr>
        <w:tc>
          <w:tcPr>
            <w:tcW w:w="13860" w:type="dxa"/>
            <w:gridSpan w:val="16"/>
            <w:shd w:val="clear" w:color="auto" w:fill="F2F2F2" w:themeFill="background1" w:themeFillShade="F2"/>
            <w:vAlign w:val="center"/>
          </w:tcPr>
          <w:p w:rsidR="00151505" w:rsidRPr="00F7263B" w:rsidRDefault="00151505" w:rsidP="001509A0">
            <w:pPr>
              <w:jc w:val="both"/>
              <w:rPr>
                <w:rFonts w:cs="Times New Roman"/>
                <w:b/>
                <w:sz w:val="20"/>
                <w:szCs w:val="20"/>
              </w:rPr>
            </w:pPr>
            <w:r w:rsidRPr="00F7263B">
              <w:rPr>
                <w:rFonts w:cs="Times New Roman"/>
                <w:b/>
                <w:sz w:val="20"/>
                <w:szCs w:val="20"/>
              </w:rPr>
              <w:t>Intermediate Results Area 1: Institutional Performance</w:t>
            </w:r>
          </w:p>
        </w:tc>
      </w:tr>
      <w:tr w:rsidR="00151505" w:rsidRPr="00F7263B" w:rsidTr="001509A0">
        <w:trPr>
          <w:trHeight w:val="782"/>
        </w:trPr>
        <w:tc>
          <w:tcPr>
            <w:tcW w:w="2467" w:type="dxa"/>
          </w:tcPr>
          <w:p w:rsidR="00151505" w:rsidRPr="00F7263B" w:rsidRDefault="00151505" w:rsidP="001509A0">
            <w:pPr>
              <w:tabs>
                <w:tab w:val="left" w:pos="267"/>
              </w:tabs>
              <w:rPr>
                <w:rFonts w:cs="Times New Roman"/>
                <w:b/>
                <w:sz w:val="20"/>
                <w:szCs w:val="20"/>
              </w:rPr>
            </w:pPr>
            <w:r w:rsidRPr="00F7263B">
              <w:rPr>
                <w:sz w:val="20"/>
                <w:szCs w:val="20"/>
              </w:rPr>
              <w:t>1.</w:t>
            </w:r>
            <w:r w:rsidRPr="00F7263B">
              <w:rPr>
                <w:sz w:val="20"/>
                <w:szCs w:val="20"/>
              </w:rPr>
              <w:tab/>
              <w:t>ULGs that achieve an increase of own source municipal revenue of at least 10% over the previous year under ULGDP II.</w:t>
            </w:r>
            <w:r w:rsidRPr="00F7263B">
              <w:rPr>
                <w:rStyle w:val="FootnoteReference"/>
                <w:sz w:val="20"/>
                <w:szCs w:val="20"/>
              </w:rPr>
              <w:footnoteReference w:id="32"/>
            </w:r>
          </w:p>
        </w:tc>
        <w:tc>
          <w:tcPr>
            <w:tcW w:w="399" w:type="dxa"/>
          </w:tcPr>
          <w:p w:rsidR="00151505" w:rsidRPr="00F7263B" w:rsidRDefault="00151505" w:rsidP="001509A0">
            <w:pPr>
              <w:jc w:val="both"/>
              <w:rPr>
                <w:rFonts w:cs="Times New Roman"/>
                <w:b/>
                <w:noProof/>
                <w:sz w:val="20"/>
                <w:szCs w:val="20"/>
              </w:rPr>
            </w:pPr>
          </w:p>
        </w:tc>
        <w:tc>
          <w:tcPr>
            <w:tcW w:w="403" w:type="dxa"/>
          </w:tcPr>
          <w:p w:rsidR="00151505" w:rsidRPr="00F7263B" w:rsidRDefault="00151505" w:rsidP="001509A0">
            <w:pPr>
              <w:jc w:val="both"/>
              <w:rPr>
                <w:rFonts w:cs="Times New Roman"/>
                <w:sz w:val="20"/>
                <w:szCs w:val="20"/>
              </w:rPr>
            </w:pPr>
            <w:r w:rsidRPr="00F7263B">
              <w:rPr>
                <w:rFonts w:cs="Times New Roman"/>
                <w:sz w:val="20"/>
                <w:szCs w:val="20"/>
              </w:rPr>
              <w:t>2</w:t>
            </w: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Number</w:t>
            </w:r>
          </w:p>
        </w:tc>
        <w:tc>
          <w:tcPr>
            <w:tcW w:w="781" w:type="dxa"/>
          </w:tcPr>
          <w:p w:rsidR="00151505" w:rsidRPr="00F7263B" w:rsidRDefault="00151505" w:rsidP="001509A0">
            <w:pPr>
              <w:jc w:val="center"/>
              <w:rPr>
                <w:rFonts w:cs="Times New Roman"/>
                <w:sz w:val="20"/>
                <w:szCs w:val="20"/>
              </w:rPr>
            </w:pPr>
            <w:r w:rsidRPr="00F7263B">
              <w:rPr>
                <w:rFonts w:cs="Times New Roman"/>
                <w:sz w:val="20"/>
                <w:szCs w:val="20"/>
              </w:rPr>
              <w:t>0</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10</w:t>
            </w:r>
          </w:p>
        </w:tc>
        <w:tc>
          <w:tcPr>
            <w:tcW w:w="1018" w:type="dxa"/>
            <w:gridSpan w:val="3"/>
          </w:tcPr>
          <w:p w:rsidR="00151505" w:rsidRPr="00F7263B" w:rsidRDefault="00151505" w:rsidP="001509A0">
            <w:pPr>
              <w:jc w:val="center"/>
              <w:rPr>
                <w:rFonts w:cs="Times New Roman"/>
                <w:sz w:val="20"/>
                <w:szCs w:val="20"/>
              </w:rPr>
            </w:pPr>
            <w:r w:rsidRPr="00F7263B">
              <w:rPr>
                <w:rFonts w:cs="Times New Roman"/>
                <w:sz w:val="20"/>
                <w:szCs w:val="20"/>
              </w:rPr>
              <w:t>18</w:t>
            </w:r>
          </w:p>
        </w:tc>
        <w:tc>
          <w:tcPr>
            <w:tcW w:w="1014" w:type="dxa"/>
          </w:tcPr>
          <w:p w:rsidR="00151505" w:rsidRPr="00F7263B" w:rsidRDefault="00151505" w:rsidP="001509A0">
            <w:pPr>
              <w:jc w:val="center"/>
              <w:rPr>
                <w:rFonts w:cs="Times New Roman"/>
                <w:sz w:val="20"/>
                <w:szCs w:val="20"/>
              </w:rPr>
            </w:pPr>
            <w:r w:rsidRPr="00F7263B">
              <w:rPr>
                <w:rFonts w:cs="Times New Roman"/>
                <w:sz w:val="20"/>
                <w:szCs w:val="20"/>
              </w:rPr>
              <w:t>24</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30</w:t>
            </w:r>
          </w:p>
        </w:tc>
        <w:tc>
          <w:tcPr>
            <w:tcW w:w="1016" w:type="dxa"/>
          </w:tcPr>
          <w:p w:rsidR="00151505" w:rsidRPr="00F7263B" w:rsidRDefault="00151505" w:rsidP="001509A0">
            <w:pPr>
              <w:jc w:val="center"/>
              <w:rPr>
                <w:rFonts w:cs="Times New Roman"/>
                <w:sz w:val="20"/>
                <w:szCs w:val="20"/>
              </w:rPr>
            </w:pPr>
            <w:r w:rsidRPr="00F7263B">
              <w:rPr>
                <w:rFonts w:cs="Times New Roman"/>
                <w:sz w:val="20"/>
                <w:szCs w:val="20"/>
              </w:rPr>
              <w:t>36</w:t>
            </w:r>
          </w:p>
        </w:tc>
        <w:tc>
          <w:tcPr>
            <w:tcW w:w="990" w:type="dxa"/>
          </w:tcPr>
          <w:p w:rsidR="00151505" w:rsidRPr="00F7263B" w:rsidRDefault="00151505" w:rsidP="001509A0">
            <w:pPr>
              <w:jc w:val="both"/>
              <w:rPr>
                <w:rFonts w:cs="Times New Roman"/>
                <w:b/>
                <w:sz w:val="20"/>
                <w:szCs w:val="20"/>
              </w:rPr>
            </w:pPr>
            <w:r w:rsidRPr="00F7263B">
              <w:rPr>
                <w:rFonts w:cs="Times New Roman"/>
                <w:sz w:val="20"/>
                <w:szCs w:val="20"/>
              </w:rPr>
              <w:t>Annually</w:t>
            </w:r>
          </w:p>
        </w:tc>
        <w:tc>
          <w:tcPr>
            <w:tcW w:w="1351" w:type="dxa"/>
            <w:gridSpan w:val="2"/>
          </w:tcPr>
          <w:p w:rsidR="00151505" w:rsidRPr="00F7263B" w:rsidRDefault="00151505" w:rsidP="001509A0">
            <w:pPr>
              <w:jc w:val="both"/>
              <w:rPr>
                <w:rFonts w:cs="Times New Roman"/>
                <w:sz w:val="20"/>
                <w:szCs w:val="20"/>
              </w:rPr>
            </w:pPr>
            <w:r w:rsidRPr="00F7263B">
              <w:rPr>
                <w:rFonts w:cs="Times New Roman"/>
                <w:sz w:val="20"/>
                <w:szCs w:val="20"/>
              </w:rPr>
              <w:t>APA</w:t>
            </w:r>
          </w:p>
        </w:tc>
        <w:tc>
          <w:tcPr>
            <w:tcW w:w="1529" w:type="dxa"/>
          </w:tcPr>
          <w:p w:rsidR="00151505" w:rsidRPr="00F7263B" w:rsidRDefault="00151505" w:rsidP="001509A0">
            <w:pPr>
              <w:rPr>
                <w:rFonts w:cs="Times New Roman"/>
                <w:sz w:val="20"/>
                <w:szCs w:val="20"/>
              </w:rPr>
            </w:pPr>
            <w:r w:rsidRPr="00F7263B">
              <w:rPr>
                <w:rFonts w:cs="Times New Roman"/>
                <w:sz w:val="20"/>
                <w:szCs w:val="20"/>
              </w:rPr>
              <w:t>Firm collects the data and the MUDHCo and the Bank review and confirm.</w:t>
            </w:r>
          </w:p>
        </w:tc>
      </w:tr>
      <w:tr w:rsidR="00151505" w:rsidRPr="00F7263B" w:rsidTr="001509A0">
        <w:trPr>
          <w:trHeight w:val="467"/>
        </w:trPr>
        <w:tc>
          <w:tcPr>
            <w:tcW w:w="2467" w:type="dxa"/>
          </w:tcPr>
          <w:p w:rsidR="00151505" w:rsidRPr="00F7263B" w:rsidRDefault="00151505" w:rsidP="001509A0">
            <w:pPr>
              <w:tabs>
                <w:tab w:val="left" w:pos="267"/>
              </w:tabs>
              <w:rPr>
                <w:rFonts w:eastAsia="Times New Roman" w:cs="Times New Roman"/>
                <w:sz w:val="20"/>
                <w:szCs w:val="20"/>
              </w:rPr>
            </w:pPr>
            <w:r w:rsidRPr="00F7263B">
              <w:rPr>
                <w:sz w:val="20"/>
                <w:szCs w:val="20"/>
              </w:rPr>
              <w:lastRenderedPageBreak/>
              <w:t xml:space="preserve">2. </w:t>
            </w:r>
            <w:r w:rsidRPr="00F7263B">
              <w:rPr>
                <w:sz w:val="20"/>
                <w:szCs w:val="20"/>
              </w:rPr>
              <w:tab/>
              <w:t>ULGs</w:t>
            </w:r>
            <w:r w:rsidR="00DF606E" w:rsidRPr="00F7263B">
              <w:rPr>
                <w:rFonts w:cs="Times New Roman"/>
                <w:sz w:val="20"/>
                <w:szCs w:val="20"/>
              </w:rPr>
              <w:t>with timely audit5</w:t>
            </w:r>
            <w:r w:rsidR="00DF606E" w:rsidRPr="00F7263B">
              <w:rPr>
                <w:rStyle w:val="FootnoteReference"/>
                <w:rFonts w:cs="Times New Roman"/>
                <w:sz w:val="20"/>
                <w:szCs w:val="20"/>
              </w:rPr>
              <w:footnoteReference w:id="33"/>
            </w:r>
            <w:r w:rsidRPr="00F7263B">
              <w:rPr>
                <w:rFonts w:cs="Times New Roman"/>
                <w:sz w:val="20"/>
                <w:szCs w:val="20"/>
              </w:rPr>
              <w:t>.</w:t>
            </w:r>
          </w:p>
        </w:tc>
        <w:tc>
          <w:tcPr>
            <w:tcW w:w="399" w:type="dxa"/>
          </w:tcPr>
          <w:p w:rsidR="00151505" w:rsidRPr="00F7263B" w:rsidRDefault="00151505" w:rsidP="001509A0">
            <w:pPr>
              <w:jc w:val="both"/>
              <w:rPr>
                <w:rFonts w:cs="Times New Roman"/>
                <w:noProof/>
                <w:sz w:val="20"/>
                <w:szCs w:val="20"/>
              </w:rPr>
            </w:pPr>
          </w:p>
        </w:tc>
        <w:tc>
          <w:tcPr>
            <w:tcW w:w="403" w:type="dxa"/>
          </w:tcPr>
          <w:p w:rsidR="00151505" w:rsidRPr="00F7263B" w:rsidRDefault="00151505" w:rsidP="001509A0">
            <w:pPr>
              <w:jc w:val="both"/>
              <w:rPr>
                <w:rFonts w:cs="Times New Roman"/>
                <w:noProof/>
                <w:sz w:val="20"/>
                <w:szCs w:val="20"/>
              </w:rPr>
            </w:pPr>
            <w:r w:rsidRPr="00F7263B">
              <w:rPr>
                <w:rFonts w:cs="Times New Roman"/>
                <w:noProof/>
                <w:sz w:val="20"/>
                <w:szCs w:val="20"/>
              </w:rPr>
              <w:t>8</w:t>
            </w: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Number</w:t>
            </w:r>
          </w:p>
          <w:p w:rsidR="00151505" w:rsidRPr="00F7263B" w:rsidRDefault="00151505" w:rsidP="001509A0">
            <w:pPr>
              <w:jc w:val="both"/>
              <w:rPr>
                <w:rFonts w:cs="Times New Roman"/>
                <w:sz w:val="20"/>
                <w:szCs w:val="20"/>
              </w:rPr>
            </w:pPr>
          </w:p>
        </w:tc>
        <w:tc>
          <w:tcPr>
            <w:tcW w:w="781" w:type="dxa"/>
          </w:tcPr>
          <w:p w:rsidR="00151505" w:rsidRPr="00F7263B" w:rsidRDefault="00DF606E" w:rsidP="001509A0">
            <w:pPr>
              <w:jc w:val="center"/>
              <w:rPr>
                <w:rFonts w:cs="Times New Roman"/>
                <w:sz w:val="20"/>
                <w:szCs w:val="20"/>
              </w:rPr>
            </w:pPr>
            <w:r w:rsidRPr="00F7263B">
              <w:rPr>
                <w:rFonts w:cs="Times New Roman"/>
                <w:sz w:val="20"/>
                <w:szCs w:val="20"/>
              </w:rPr>
              <w:t>5</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18</w:t>
            </w:r>
          </w:p>
        </w:tc>
        <w:tc>
          <w:tcPr>
            <w:tcW w:w="1018" w:type="dxa"/>
            <w:gridSpan w:val="3"/>
          </w:tcPr>
          <w:p w:rsidR="00151505" w:rsidRPr="00F7263B" w:rsidRDefault="00151505" w:rsidP="001509A0">
            <w:pPr>
              <w:jc w:val="center"/>
              <w:rPr>
                <w:rFonts w:cs="Times New Roman"/>
                <w:sz w:val="20"/>
                <w:szCs w:val="20"/>
              </w:rPr>
            </w:pPr>
            <w:r w:rsidRPr="00F7263B">
              <w:rPr>
                <w:rFonts w:cs="Times New Roman"/>
                <w:sz w:val="20"/>
                <w:szCs w:val="20"/>
              </w:rPr>
              <w:t>32</w:t>
            </w:r>
          </w:p>
        </w:tc>
        <w:tc>
          <w:tcPr>
            <w:tcW w:w="1014" w:type="dxa"/>
          </w:tcPr>
          <w:p w:rsidR="00151505" w:rsidRPr="00F7263B" w:rsidRDefault="00151505" w:rsidP="001509A0">
            <w:pPr>
              <w:jc w:val="center"/>
              <w:rPr>
                <w:rFonts w:cs="Times New Roman"/>
                <w:sz w:val="20"/>
                <w:szCs w:val="20"/>
              </w:rPr>
            </w:pPr>
            <w:r w:rsidRPr="00F7263B">
              <w:rPr>
                <w:rFonts w:cs="Times New Roman"/>
                <w:sz w:val="20"/>
                <w:szCs w:val="20"/>
              </w:rPr>
              <w:t>38</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44</w:t>
            </w:r>
          </w:p>
        </w:tc>
        <w:tc>
          <w:tcPr>
            <w:tcW w:w="1016" w:type="dxa"/>
          </w:tcPr>
          <w:p w:rsidR="00151505" w:rsidRPr="00F7263B" w:rsidRDefault="00151505" w:rsidP="001509A0">
            <w:pPr>
              <w:jc w:val="center"/>
              <w:rPr>
                <w:rFonts w:cs="Times New Roman"/>
                <w:sz w:val="20"/>
                <w:szCs w:val="20"/>
              </w:rPr>
            </w:pPr>
            <w:r w:rsidRPr="00F7263B">
              <w:rPr>
                <w:rFonts w:cs="Times New Roman"/>
                <w:sz w:val="20"/>
                <w:szCs w:val="20"/>
              </w:rPr>
              <w:t>44</w:t>
            </w:r>
          </w:p>
        </w:tc>
        <w:tc>
          <w:tcPr>
            <w:tcW w:w="990" w:type="dxa"/>
          </w:tcPr>
          <w:p w:rsidR="00151505" w:rsidRPr="00F7263B" w:rsidRDefault="00151505" w:rsidP="001509A0">
            <w:pPr>
              <w:jc w:val="both"/>
              <w:rPr>
                <w:rFonts w:cs="Times New Roman"/>
                <w:sz w:val="20"/>
                <w:szCs w:val="20"/>
              </w:rPr>
            </w:pPr>
            <w:r w:rsidRPr="00F7263B">
              <w:rPr>
                <w:rFonts w:cs="Times New Roman"/>
                <w:sz w:val="20"/>
                <w:szCs w:val="20"/>
              </w:rPr>
              <w:t>Annually</w:t>
            </w:r>
          </w:p>
        </w:tc>
        <w:tc>
          <w:tcPr>
            <w:tcW w:w="1351" w:type="dxa"/>
            <w:gridSpan w:val="2"/>
          </w:tcPr>
          <w:p w:rsidR="00151505" w:rsidRPr="00F7263B" w:rsidRDefault="00151505" w:rsidP="001509A0">
            <w:pPr>
              <w:jc w:val="both"/>
              <w:rPr>
                <w:rFonts w:cs="Times New Roman"/>
                <w:sz w:val="20"/>
                <w:szCs w:val="20"/>
              </w:rPr>
            </w:pPr>
            <w:r w:rsidRPr="00F7263B">
              <w:rPr>
                <w:rFonts w:cs="Times New Roman"/>
                <w:sz w:val="20"/>
                <w:szCs w:val="20"/>
              </w:rPr>
              <w:t>APA</w:t>
            </w:r>
          </w:p>
        </w:tc>
        <w:tc>
          <w:tcPr>
            <w:tcW w:w="1529" w:type="dxa"/>
          </w:tcPr>
          <w:p w:rsidR="00151505" w:rsidRPr="00F7263B" w:rsidRDefault="00151505" w:rsidP="001509A0">
            <w:pPr>
              <w:jc w:val="both"/>
              <w:rPr>
                <w:rFonts w:cs="Times New Roman"/>
                <w:sz w:val="20"/>
                <w:szCs w:val="20"/>
              </w:rPr>
            </w:pPr>
            <w:r w:rsidRPr="00F7263B">
              <w:rPr>
                <w:rFonts w:cs="Times New Roman"/>
                <w:sz w:val="20"/>
                <w:szCs w:val="20"/>
              </w:rPr>
              <w:t>Same as above.</w:t>
            </w:r>
          </w:p>
        </w:tc>
      </w:tr>
      <w:tr w:rsidR="00151505" w:rsidRPr="00F7263B" w:rsidTr="001509A0">
        <w:tc>
          <w:tcPr>
            <w:tcW w:w="2467" w:type="dxa"/>
          </w:tcPr>
          <w:p w:rsidR="00151505" w:rsidRPr="00F7263B" w:rsidRDefault="00151505" w:rsidP="001509A0">
            <w:pPr>
              <w:tabs>
                <w:tab w:val="left" w:pos="267"/>
              </w:tabs>
              <w:rPr>
                <w:rFonts w:eastAsia="Times New Roman" w:cs="Times New Roman"/>
                <w:sz w:val="20"/>
                <w:szCs w:val="20"/>
              </w:rPr>
            </w:pPr>
            <w:r w:rsidRPr="00F7263B">
              <w:rPr>
                <w:rFonts w:cs="Times New Roman"/>
                <w:sz w:val="20"/>
                <w:szCs w:val="20"/>
              </w:rPr>
              <w:t xml:space="preserve">3. </w:t>
            </w:r>
            <w:r w:rsidRPr="00F7263B">
              <w:rPr>
                <w:rFonts w:cs="Times New Roman"/>
                <w:sz w:val="20"/>
                <w:szCs w:val="20"/>
              </w:rPr>
              <w:tab/>
              <w:t>ULGs with clean (unqualified) audit under ULGDP II.</w:t>
            </w:r>
          </w:p>
        </w:tc>
        <w:tc>
          <w:tcPr>
            <w:tcW w:w="399" w:type="dxa"/>
          </w:tcPr>
          <w:p w:rsidR="00151505" w:rsidRPr="00F7263B" w:rsidRDefault="00151505" w:rsidP="001509A0">
            <w:pPr>
              <w:jc w:val="both"/>
              <w:rPr>
                <w:rFonts w:cs="Times New Roman"/>
                <w:b/>
                <w:sz w:val="20"/>
                <w:szCs w:val="20"/>
              </w:rPr>
            </w:pPr>
          </w:p>
        </w:tc>
        <w:tc>
          <w:tcPr>
            <w:tcW w:w="403" w:type="dxa"/>
          </w:tcPr>
          <w:p w:rsidR="00151505" w:rsidRPr="00F7263B" w:rsidRDefault="00151505" w:rsidP="001509A0">
            <w:pPr>
              <w:jc w:val="both"/>
              <w:rPr>
                <w:rFonts w:cs="Times New Roman"/>
                <w:sz w:val="20"/>
                <w:szCs w:val="20"/>
              </w:rPr>
            </w:pPr>
            <w:r w:rsidRPr="00F7263B">
              <w:rPr>
                <w:rFonts w:cs="Times New Roman"/>
                <w:sz w:val="20"/>
                <w:szCs w:val="20"/>
              </w:rPr>
              <w:t>2</w:t>
            </w: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Number</w:t>
            </w:r>
          </w:p>
          <w:p w:rsidR="00151505" w:rsidRPr="00F7263B" w:rsidRDefault="00151505" w:rsidP="001509A0">
            <w:pPr>
              <w:jc w:val="both"/>
              <w:rPr>
                <w:rFonts w:cs="Times New Roman"/>
                <w:sz w:val="20"/>
                <w:szCs w:val="20"/>
              </w:rPr>
            </w:pPr>
          </w:p>
        </w:tc>
        <w:tc>
          <w:tcPr>
            <w:tcW w:w="781" w:type="dxa"/>
          </w:tcPr>
          <w:p w:rsidR="00151505" w:rsidRPr="00F7263B" w:rsidRDefault="00151505" w:rsidP="001509A0">
            <w:pPr>
              <w:jc w:val="center"/>
              <w:rPr>
                <w:rFonts w:cs="Times New Roman"/>
                <w:sz w:val="20"/>
                <w:szCs w:val="20"/>
              </w:rPr>
            </w:pPr>
            <w:r w:rsidRPr="00F7263B">
              <w:rPr>
                <w:rFonts w:cs="Times New Roman"/>
                <w:sz w:val="20"/>
                <w:szCs w:val="20"/>
              </w:rPr>
              <w:t>0</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5</w:t>
            </w:r>
          </w:p>
        </w:tc>
        <w:tc>
          <w:tcPr>
            <w:tcW w:w="1018" w:type="dxa"/>
            <w:gridSpan w:val="3"/>
          </w:tcPr>
          <w:p w:rsidR="00151505" w:rsidRPr="00F7263B" w:rsidRDefault="00151505" w:rsidP="001509A0">
            <w:pPr>
              <w:jc w:val="center"/>
              <w:rPr>
                <w:rFonts w:cs="Times New Roman"/>
                <w:sz w:val="20"/>
                <w:szCs w:val="20"/>
              </w:rPr>
            </w:pPr>
            <w:r w:rsidRPr="00F7263B">
              <w:rPr>
                <w:rFonts w:cs="Times New Roman"/>
                <w:sz w:val="20"/>
                <w:szCs w:val="20"/>
              </w:rPr>
              <w:t>8</w:t>
            </w:r>
          </w:p>
        </w:tc>
        <w:tc>
          <w:tcPr>
            <w:tcW w:w="1014" w:type="dxa"/>
          </w:tcPr>
          <w:p w:rsidR="00151505" w:rsidRPr="00F7263B" w:rsidRDefault="00151505" w:rsidP="001509A0">
            <w:pPr>
              <w:jc w:val="center"/>
              <w:rPr>
                <w:rFonts w:cs="Times New Roman"/>
                <w:sz w:val="20"/>
                <w:szCs w:val="20"/>
              </w:rPr>
            </w:pPr>
            <w:r w:rsidRPr="00F7263B">
              <w:rPr>
                <w:rFonts w:cs="Times New Roman"/>
                <w:sz w:val="20"/>
                <w:szCs w:val="20"/>
              </w:rPr>
              <w:t>12</w:t>
            </w:r>
          </w:p>
        </w:tc>
        <w:tc>
          <w:tcPr>
            <w:tcW w:w="1013" w:type="dxa"/>
          </w:tcPr>
          <w:p w:rsidR="00151505" w:rsidRPr="00F7263B" w:rsidRDefault="00151505" w:rsidP="001509A0">
            <w:pPr>
              <w:jc w:val="center"/>
              <w:rPr>
                <w:rFonts w:cs="Times New Roman"/>
                <w:sz w:val="20"/>
                <w:szCs w:val="20"/>
              </w:rPr>
            </w:pPr>
            <w:r w:rsidRPr="00F7263B">
              <w:rPr>
                <w:rFonts w:cs="Times New Roman"/>
                <w:sz w:val="20"/>
                <w:szCs w:val="20"/>
              </w:rPr>
              <w:t>16</w:t>
            </w:r>
          </w:p>
        </w:tc>
        <w:tc>
          <w:tcPr>
            <w:tcW w:w="1016" w:type="dxa"/>
          </w:tcPr>
          <w:p w:rsidR="00151505" w:rsidRPr="00F7263B" w:rsidRDefault="00151505" w:rsidP="001509A0">
            <w:pPr>
              <w:jc w:val="center"/>
              <w:rPr>
                <w:rFonts w:cs="Times New Roman"/>
                <w:sz w:val="20"/>
                <w:szCs w:val="20"/>
              </w:rPr>
            </w:pPr>
            <w:r w:rsidRPr="00F7263B">
              <w:rPr>
                <w:rFonts w:cs="Times New Roman"/>
                <w:sz w:val="20"/>
                <w:szCs w:val="20"/>
              </w:rPr>
              <w:t>20</w:t>
            </w:r>
          </w:p>
        </w:tc>
        <w:tc>
          <w:tcPr>
            <w:tcW w:w="990" w:type="dxa"/>
          </w:tcPr>
          <w:p w:rsidR="00151505" w:rsidRPr="00F7263B" w:rsidRDefault="00151505" w:rsidP="001509A0">
            <w:pPr>
              <w:jc w:val="both"/>
              <w:rPr>
                <w:rFonts w:cs="Times New Roman"/>
                <w:b/>
                <w:sz w:val="20"/>
                <w:szCs w:val="20"/>
              </w:rPr>
            </w:pPr>
            <w:r w:rsidRPr="00F7263B">
              <w:rPr>
                <w:rFonts w:cs="Times New Roman"/>
                <w:sz w:val="20"/>
                <w:szCs w:val="20"/>
              </w:rPr>
              <w:t>Annually</w:t>
            </w:r>
          </w:p>
        </w:tc>
        <w:tc>
          <w:tcPr>
            <w:tcW w:w="1351" w:type="dxa"/>
            <w:gridSpan w:val="2"/>
          </w:tcPr>
          <w:p w:rsidR="00151505" w:rsidRPr="00F7263B" w:rsidRDefault="00151505" w:rsidP="001509A0">
            <w:pPr>
              <w:jc w:val="both"/>
              <w:rPr>
                <w:rFonts w:cs="Times New Roman"/>
                <w:sz w:val="20"/>
                <w:szCs w:val="20"/>
              </w:rPr>
            </w:pPr>
            <w:r w:rsidRPr="00F7263B">
              <w:rPr>
                <w:rFonts w:cs="Times New Roman"/>
                <w:sz w:val="20"/>
                <w:szCs w:val="20"/>
              </w:rPr>
              <w:t>APA</w:t>
            </w:r>
          </w:p>
        </w:tc>
        <w:tc>
          <w:tcPr>
            <w:tcW w:w="1529" w:type="dxa"/>
          </w:tcPr>
          <w:p w:rsidR="00151505" w:rsidRPr="00F7263B" w:rsidRDefault="00151505" w:rsidP="001509A0">
            <w:pPr>
              <w:jc w:val="both"/>
              <w:rPr>
                <w:rFonts w:cs="Times New Roman"/>
                <w:sz w:val="20"/>
                <w:szCs w:val="20"/>
              </w:rPr>
            </w:pPr>
            <w:r w:rsidRPr="00F7263B">
              <w:rPr>
                <w:rFonts w:cs="Times New Roman"/>
                <w:sz w:val="20"/>
                <w:szCs w:val="20"/>
              </w:rPr>
              <w:t>Same as above.</w:t>
            </w:r>
          </w:p>
        </w:tc>
      </w:tr>
      <w:tr w:rsidR="00151505" w:rsidRPr="00F7263B" w:rsidTr="001509A0">
        <w:trPr>
          <w:trHeight w:val="368"/>
        </w:trPr>
        <w:tc>
          <w:tcPr>
            <w:tcW w:w="13860" w:type="dxa"/>
            <w:gridSpan w:val="16"/>
            <w:shd w:val="clear" w:color="auto" w:fill="F2F2F2" w:themeFill="background1" w:themeFillShade="F2"/>
            <w:vAlign w:val="center"/>
          </w:tcPr>
          <w:p w:rsidR="00151505" w:rsidRPr="00F7263B" w:rsidRDefault="00151505" w:rsidP="001509A0">
            <w:pPr>
              <w:jc w:val="both"/>
              <w:rPr>
                <w:rFonts w:cs="Times New Roman"/>
                <w:b/>
                <w:sz w:val="20"/>
                <w:szCs w:val="20"/>
              </w:rPr>
            </w:pPr>
            <w:r w:rsidRPr="00F7263B">
              <w:rPr>
                <w:rFonts w:cs="Times New Roman"/>
                <w:b/>
                <w:sz w:val="20"/>
                <w:szCs w:val="20"/>
              </w:rPr>
              <w:t>Intermediate Results Area 2: Infrastructure and Maintenance</w:t>
            </w:r>
          </w:p>
        </w:tc>
      </w:tr>
      <w:tr w:rsidR="00151505" w:rsidRPr="00F7263B" w:rsidTr="00254260">
        <w:tc>
          <w:tcPr>
            <w:tcW w:w="2467" w:type="dxa"/>
          </w:tcPr>
          <w:p w:rsidR="00151505" w:rsidRPr="00F7263B" w:rsidRDefault="00151505" w:rsidP="001509A0">
            <w:pPr>
              <w:pStyle w:val="ListParagraph"/>
              <w:tabs>
                <w:tab w:val="left" w:pos="267"/>
              </w:tabs>
              <w:ind w:left="0"/>
              <w:rPr>
                <w:rFonts w:cs="Times New Roman"/>
                <w:sz w:val="20"/>
                <w:szCs w:val="20"/>
              </w:rPr>
            </w:pPr>
            <w:r w:rsidRPr="00F7263B">
              <w:rPr>
                <w:rFonts w:cs="Times New Roman"/>
                <w:sz w:val="20"/>
                <w:szCs w:val="20"/>
              </w:rPr>
              <w:t xml:space="preserve">1. </w:t>
            </w:r>
            <w:r w:rsidRPr="00F7263B">
              <w:rPr>
                <w:rFonts w:cs="Times New Roman"/>
                <w:sz w:val="20"/>
                <w:szCs w:val="20"/>
              </w:rPr>
              <w:tab/>
              <w:t>Direct Program beneficiaries under the ULGDP II</w:t>
            </w:r>
          </w:p>
        </w:tc>
        <w:tc>
          <w:tcPr>
            <w:tcW w:w="399" w:type="dxa"/>
          </w:tcPr>
          <w:p w:rsidR="00151505" w:rsidRPr="00F7263B" w:rsidRDefault="00151505" w:rsidP="001509A0">
            <w:pPr>
              <w:jc w:val="both"/>
              <w:rPr>
                <w:rFonts w:cs="Times New Roman"/>
                <w:b/>
                <w:noProof/>
                <w:sz w:val="20"/>
                <w:szCs w:val="20"/>
              </w:rPr>
            </w:pPr>
            <w:r w:rsidRPr="00F7263B">
              <w:rPr>
                <w:rFonts w:cs="Times New Roman"/>
                <w:b/>
                <w:noProof/>
                <w:sz w:val="20"/>
                <w:szCs w:val="20"/>
              </w:rPr>
              <w:t>√</w:t>
            </w:r>
          </w:p>
        </w:tc>
        <w:tc>
          <w:tcPr>
            <w:tcW w:w="403" w:type="dxa"/>
          </w:tcPr>
          <w:p w:rsidR="00151505" w:rsidRPr="00F7263B" w:rsidRDefault="00151505" w:rsidP="001509A0">
            <w:pPr>
              <w:jc w:val="both"/>
              <w:rPr>
                <w:rFonts w:cs="Times New Roman"/>
                <w:noProof/>
                <w:sz w:val="20"/>
                <w:szCs w:val="20"/>
              </w:rPr>
            </w:pPr>
            <w:r w:rsidRPr="00F7263B">
              <w:rPr>
                <w:rFonts w:cs="Times New Roman"/>
                <w:noProof/>
                <w:sz w:val="20"/>
                <w:szCs w:val="20"/>
              </w:rPr>
              <w:t>na</w:t>
            </w: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Number</w:t>
            </w:r>
          </w:p>
        </w:tc>
        <w:tc>
          <w:tcPr>
            <w:tcW w:w="781" w:type="dxa"/>
          </w:tcPr>
          <w:p w:rsidR="00151505" w:rsidRPr="00F7263B" w:rsidRDefault="00151505" w:rsidP="001509A0">
            <w:pPr>
              <w:jc w:val="center"/>
              <w:rPr>
                <w:rFonts w:cs="Times New Roman"/>
                <w:sz w:val="20"/>
                <w:szCs w:val="20"/>
              </w:rPr>
            </w:pPr>
            <w:r w:rsidRPr="00F7263B">
              <w:rPr>
                <w:rFonts w:cs="Times New Roman"/>
                <w:sz w:val="20"/>
                <w:szCs w:val="20"/>
              </w:rPr>
              <w:t>0</w:t>
            </w:r>
          </w:p>
        </w:tc>
        <w:tc>
          <w:tcPr>
            <w:tcW w:w="1114" w:type="dxa"/>
            <w:gridSpan w:val="3"/>
          </w:tcPr>
          <w:p w:rsidR="00151505" w:rsidRPr="00F7263B" w:rsidRDefault="00151505" w:rsidP="001509A0">
            <w:pPr>
              <w:jc w:val="both"/>
              <w:rPr>
                <w:rFonts w:cs="Times New Roman"/>
                <w:sz w:val="20"/>
                <w:szCs w:val="20"/>
              </w:rPr>
            </w:pPr>
            <w:r w:rsidRPr="00F7263B">
              <w:rPr>
                <w:rFonts w:cs="Times New Roman"/>
                <w:sz w:val="20"/>
                <w:szCs w:val="20"/>
              </w:rPr>
              <w:t>2.85 million</w:t>
            </w:r>
          </w:p>
        </w:tc>
        <w:tc>
          <w:tcPr>
            <w:tcW w:w="917" w:type="dxa"/>
          </w:tcPr>
          <w:p w:rsidR="00151505" w:rsidRPr="00F7263B" w:rsidRDefault="00151505" w:rsidP="001509A0">
            <w:pPr>
              <w:jc w:val="both"/>
              <w:rPr>
                <w:rFonts w:cs="Times New Roman"/>
                <w:sz w:val="20"/>
                <w:szCs w:val="20"/>
              </w:rPr>
            </w:pPr>
            <w:r w:rsidRPr="00F7263B">
              <w:rPr>
                <w:rFonts w:cs="Times New Roman"/>
                <w:sz w:val="20"/>
                <w:szCs w:val="20"/>
              </w:rPr>
              <w:t>3 million</w:t>
            </w:r>
          </w:p>
        </w:tc>
        <w:tc>
          <w:tcPr>
            <w:tcW w:w="1014" w:type="dxa"/>
          </w:tcPr>
          <w:p w:rsidR="00151505" w:rsidRPr="00F7263B" w:rsidRDefault="00151505" w:rsidP="001509A0">
            <w:pPr>
              <w:jc w:val="both"/>
              <w:rPr>
                <w:rFonts w:cs="Times New Roman"/>
                <w:sz w:val="20"/>
                <w:szCs w:val="20"/>
              </w:rPr>
            </w:pPr>
            <w:r w:rsidRPr="00F7263B">
              <w:rPr>
                <w:rFonts w:cs="Times New Roman"/>
                <w:sz w:val="20"/>
                <w:szCs w:val="20"/>
              </w:rPr>
              <w:t>4.4 million</w:t>
            </w:r>
          </w:p>
        </w:tc>
        <w:tc>
          <w:tcPr>
            <w:tcW w:w="1013" w:type="dxa"/>
          </w:tcPr>
          <w:p w:rsidR="00151505" w:rsidRPr="00F7263B" w:rsidRDefault="00151505" w:rsidP="001509A0">
            <w:pPr>
              <w:jc w:val="both"/>
              <w:rPr>
                <w:rFonts w:cs="Times New Roman"/>
                <w:sz w:val="20"/>
                <w:szCs w:val="20"/>
              </w:rPr>
            </w:pPr>
            <w:r w:rsidRPr="00F7263B">
              <w:rPr>
                <w:rFonts w:cs="Times New Roman"/>
                <w:sz w:val="20"/>
                <w:szCs w:val="20"/>
              </w:rPr>
              <w:t>4.4 million</w:t>
            </w:r>
          </w:p>
        </w:tc>
        <w:tc>
          <w:tcPr>
            <w:tcW w:w="1016" w:type="dxa"/>
          </w:tcPr>
          <w:p w:rsidR="00151505" w:rsidRPr="00F7263B" w:rsidRDefault="00151505" w:rsidP="001509A0">
            <w:pPr>
              <w:jc w:val="both"/>
              <w:rPr>
                <w:rFonts w:cs="Times New Roman"/>
                <w:sz w:val="20"/>
                <w:szCs w:val="20"/>
              </w:rPr>
            </w:pPr>
            <w:r w:rsidRPr="00F7263B">
              <w:rPr>
                <w:rFonts w:cs="Times New Roman"/>
                <w:sz w:val="20"/>
                <w:szCs w:val="20"/>
              </w:rPr>
              <w:t>4.4 million</w:t>
            </w:r>
          </w:p>
        </w:tc>
        <w:tc>
          <w:tcPr>
            <w:tcW w:w="1080" w:type="dxa"/>
            <w:gridSpan w:val="2"/>
          </w:tcPr>
          <w:p w:rsidR="00151505" w:rsidRPr="00F7263B" w:rsidRDefault="00151505" w:rsidP="001509A0">
            <w:pPr>
              <w:jc w:val="both"/>
              <w:rPr>
                <w:rFonts w:cs="Times New Roman"/>
                <w:sz w:val="20"/>
                <w:szCs w:val="20"/>
              </w:rPr>
            </w:pPr>
            <w:r w:rsidRPr="00F7263B">
              <w:rPr>
                <w:rFonts w:cs="Times New Roman"/>
                <w:sz w:val="20"/>
                <w:szCs w:val="20"/>
              </w:rPr>
              <w:t>Annually</w:t>
            </w:r>
          </w:p>
        </w:tc>
        <w:tc>
          <w:tcPr>
            <w:tcW w:w="1261" w:type="dxa"/>
          </w:tcPr>
          <w:p w:rsidR="00151505" w:rsidRPr="00F7263B" w:rsidRDefault="00151505" w:rsidP="001509A0">
            <w:pPr>
              <w:rPr>
                <w:rFonts w:cs="Times New Roman"/>
                <w:sz w:val="20"/>
                <w:szCs w:val="20"/>
              </w:rPr>
            </w:pPr>
            <w:r w:rsidRPr="00F7263B">
              <w:rPr>
                <w:bCs/>
                <w:sz w:val="20"/>
                <w:szCs w:val="20"/>
              </w:rPr>
              <w:t>Census and APA</w:t>
            </w:r>
          </w:p>
        </w:tc>
        <w:tc>
          <w:tcPr>
            <w:tcW w:w="1529" w:type="dxa"/>
          </w:tcPr>
          <w:p w:rsidR="00151505" w:rsidRPr="00F7263B" w:rsidRDefault="00151505" w:rsidP="001509A0">
            <w:pPr>
              <w:jc w:val="both"/>
              <w:rPr>
                <w:rFonts w:cs="Times New Roman"/>
                <w:sz w:val="20"/>
                <w:szCs w:val="20"/>
              </w:rPr>
            </w:pPr>
            <w:r w:rsidRPr="00F7263B">
              <w:rPr>
                <w:rFonts w:cs="Times New Roman"/>
                <w:sz w:val="20"/>
                <w:szCs w:val="20"/>
              </w:rPr>
              <w:t>MUDHCo</w:t>
            </w:r>
          </w:p>
        </w:tc>
      </w:tr>
      <w:tr w:rsidR="00151505" w:rsidRPr="00F7263B" w:rsidTr="00254260">
        <w:tc>
          <w:tcPr>
            <w:tcW w:w="2467" w:type="dxa"/>
          </w:tcPr>
          <w:p w:rsidR="00151505" w:rsidRPr="00F7263B" w:rsidRDefault="00151505" w:rsidP="001509A0">
            <w:pPr>
              <w:pStyle w:val="ListParagraph"/>
              <w:tabs>
                <w:tab w:val="left" w:pos="342"/>
              </w:tabs>
              <w:ind w:left="0"/>
              <w:rPr>
                <w:rFonts w:cs="Times New Roman"/>
                <w:sz w:val="20"/>
                <w:szCs w:val="20"/>
              </w:rPr>
            </w:pPr>
            <w:r w:rsidRPr="00F7263B">
              <w:rPr>
                <w:rFonts w:cs="Times New Roman"/>
                <w:sz w:val="20"/>
                <w:szCs w:val="20"/>
              </w:rPr>
              <w:t xml:space="preserve">1.a. </w:t>
            </w:r>
            <w:r w:rsidRPr="00F7263B">
              <w:rPr>
                <w:rFonts w:cs="Times New Roman"/>
                <w:sz w:val="20"/>
                <w:szCs w:val="20"/>
              </w:rPr>
              <w:tab/>
              <w:t xml:space="preserve">Of which female </w:t>
            </w:r>
          </w:p>
        </w:tc>
        <w:tc>
          <w:tcPr>
            <w:tcW w:w="399" w:type="dxa"/>
          </w:tcPr>
          <w:p w:rsidR="00151505" w:rsidRPr="00F7263B" w:rsidRDefault="00151505" w:rsidP="001509A0">
            <w:pPr>
              <w:jc w:val="both"/>
              <w:rPr>
                <w:rFonts w:cs="Times New Roman"/>
                <w:b/>
                <w:noProof/>
                <w:sz w:val="20"/>
                <w:szCs w:val="20"/>
              </w:rPr>
            </w:pPr>
            <w:r w:rsidRPr="00F7263B">
              <w:rPr>
                <w:rFonts w:cs="Times New Roman"/>
                <w:b/>
                <w:noProof/>
                <w:sz w:val="20"/>
                <w:szCs w:val="20"/>
              </w:rPr>
              <w:t>√</w:t>
            </w:r>
          </w:p>
        </w:tc>
        <w:tc>
          <w:tcPr>
            <w:tcW w:w="403" w:type="dxa"/>
          </w:tcPr>
          <w:p w:rsidR="00151505" w:rsidRPr="00F7263B" w:rsidRDefault="00151505" w:rsidP="001509A0">
            <w:pPr>
              <w:jc w:val="both"/>
              <w:rPr>
                <w:rFonts w:cs="Times New Roman"/>
                <w:noProof/>
                <w:sz w:val="20"/>
                <w:szCs w:val="20"/>
              </w:rPr>
            </w:pP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Percent</w:t>
            </w:r>
          </w:p>
        </w:tc>
        <w:tc>
          <w:tcPr>
            <w:tcW w:w="781" w:type="dxa"/>
          </w:tcPr>
          <w:p w:rsidR="00151505" w:rsidRPr="00F7263B" w:rsidRDefault="00151505" w:rsidP="001509A0">
            <w:pPr>
              <w:jc w:val="center"/>
              <w:rPr>
                <w:rFonts w:cs="Times New Roman"/>
                <w:sz w:val="20"/>
                <w:szCs w:val="20"/>
              </w:rPr>
            </w:pPr>
            <w:r w:rsidRPr="00F7263B">
              <w:rPr>
                <w:rFonts w:cs="Times New Roman"/>
                <w:sz w:val="20"/>
                <w:szCs w:val="20"/>
              </w:rPr>
              <w:t>0</w:t>
            </w:r>
          </w:p>
        </w:tc>
        <w:tc>
          <w:tcPr>
            <w:tcW w:w="1114" w:type="dxa"/>
            <w:gridSpan w:val="3"/>
          </w:tcPr>
          <w:p w:rsidR="00151505" w:rsidRPr="00F7263B" w:rsidRDefault="00151505" w:rsidP="001509A0">
            <w:pPr>
              <w:jc w:val="both"/>
              <w:rPr>
                <w:rFonts w:cs="Times New Roman"/>
                <w:sz w:val="20"/>
                <w:szCs w:val="20"/>
              </w:rPr>
            </w:pPr>
            <w:r w:rsidRPr="00F7263B">
              <w:rPr>
                <w:rFonts w:cs="Times New Roman"/>
                <w:sz w:val="20"/>
                <w:szCs w:val="20"/>
              </w:rPr>
              <w:t>50%</w:t>
            </w:r>
          </w:p>
        </w:tc>
        <w:tc>
          <w:tcPr>
            <w:tcW w:w="917" w:type="dxa"/>
          </w:tcPr>
          <w:p w:rsidR="00151505" w:rsidRPr="00F7263B" w:rsidRDefault="00151505" w:rsidP="001509A0">
            <w:pPr>
              <w:jc w:val="both"/>
              <w:rPr>
                <w:rFonts w:cs="Times New Roman"/>
                <w:sz w:val="20"/>
                <w:szCs w:val="20"/>
              </w:rPr>
            </w:pPr>
            <w:r w:rsidRPr="00F7263B">
              <w:rPr>
                <w:rFonts w:cs="Times New Roman"/>
                <w:sz w:val="20"/>
                <w:szCs w:val="20"/>
              </w:rPr>
              <w:t>50%</w:t>
            </w:r>
          </w:p>
        </w:tc>
        <w:tc>
          <w:tcPr>
            <w:tcW w:w="1014" w:type="dxa"/>
          </w:tcPr>
          <w:p w:rsidR="00151505" w:rsidRPr="00F7263B" w:rsidRDefault="00151505" w:rsidP="001509A0">
            <w:pPr>
              <w:jc w:val="both"/>
              <w:rPr>
                <w:rFonts w:cs="Times New Roman"/>
                <w:sz w:val="20"/>
                <w:szCs w:val="20"/>
              </w:rPr>
            </w:pPr>
            <w:r w:rsidRPr="00F7263B">
              <w:rPr>
                <w:rFonts w:cs="Times New Roman"/>
                <w:sz w:val="20"/>
                <w:szCs w:val="20"/>
              </w:rPr>
              <w:t>50%</w:t>
            </w:r>
          </w:p>
        </w:tc>
        <w:tc>
          <w:tcPr>
            <w:tcW w:w="1013" w:type="dxa"/>
          </w:tcPr>
          <w:p w:rsidR="00151505" w:rsidRPr="00F7263B" w:rsidRDefault="00151505" w:rsidP="001509A0">
            <w:pPr>
              <w:jc w:val="both"/>
              <w:rPr>
                <w:rFonts w:cs="Times New Roman"/>
                <w:sz w:val="20"/>
                <w:szCs w:val="20"/>
              </w:rPr>
            </w:pPr>
            <w:r w:rsidRPr="00F7263B">
              <w:rPr>
                <w:rFonts w:cs="Times New Roman"/>
                <w:sz w:val="20"/>
                <w:szCs w:val="20"/>
              </w:rPr>
              <w:t>50%</w:t>
            </w:r>
          </w:p>
        </w:tc>
        <w:tc>
          <w:tcPr>
            <w:tcW w:w="1016" w:type="dxa"/>
          </w:tcPr>
          <w:p w:rsidR="00151505" w:rsidRPr="00F7263B" w:rsidRDefault="00151505" w:rsidP="001509A0">
            <w:pPr>
              <w:jc w:val="both"/>
              <w:rPr>
                <w:rFonts w:cs="Times New Roman"/>
                <w:sz w:val="20"/>
                <w:szCs w:val="20"/>
              </w:rPr>
            </w:pPr>
            <w:r w:rsidRPr="00F7263B">
              <w:rPr>
                <w:rFonts w:cs="Times New Roman"/>
                <w:sz w:val="20"/>
                <w:szCs w:val="20"/>
              </w:rPr>
              <w:t>50%</w:t>
            </w:r>
          </w:p>
        </w:tc>
        <w:tc>
          <w:tcPr>
            <w:tcW w:w="1080" w:type="dxa"/>
            <w:gridSpan w:val="2"/>
          </w:tcPr>
          <w:p w:rsidR="00151505" w:rsidRPr="00F7263B" w:rsidRDefault="00151505" w:rsidP="001509A0">
            <w:pPr>
              <w:jc w:val="both"/>
              <w:rPr>
                <w:rFonts w:cs="Times New Roman"/>
                <w:sz w:val="20"/>
                <w:szCs w:val="20"/>
              </w:rPr>
            </w:pPr>
            <w:r w:rsidRPr="00F7263B">
              <w:rPr>
                <w:rFonts w:cs="Times New Roman"/>
                <w:sz w:val="20"/>
                <w:szCs w:val="20"/>
              </w:rPr>
              <w:t>Annually</w:t>
            </w:r>
          </w:p>
        </w:tc>
        <w:tc>
          <w:tcPr>
            <w:tcW w:w="1261" w:type="dxa"/>
          </w:tcPr>
          <w:p w:rsidR="00151505" w:rsidRPr="00F7263B" w:rsidRDefault="00151505" w:rsidP="001509A0">
            <w:pPr>
              <w:rPr>
                <w:rFonts w:cs="Times New Roman"/>
                <w:sz w:val="20"/>
                <w:szCs w:val="20"/>
              </w:rPr>
            </w:pPr>
            <w:r w:rsidRPr="00F7263B">
              <w:rPr>
                <w:bCs/>
                <w:sz w:val="20"/>
                <w:szCs w:val="20"/>
              </w:rPr>
              <w:t>Census and APA</w:t>
            </w:r>
          </w:p>
        </w:tc>
        <w:tc>
          <w:tcPr>
            <w:tcW w:w="1529" w:type="dxa"/>
          </w:tcPr>
          <w:p w:rsidR="00151505" w:rsidRPr="00F7263B" w:rsidRDefault="00151505" w:rsidP="001509A0">
            <w:pPr>
              <w:jc w:val="both"/>
              <w:rPr>
                <w:rFonts w:cs="Times New Roman"/>
                <w:sz w:val="20"/>
                <w:szCs w:val="20"/>
              </w:rPr>
            </w:pPr>
            <w:r w:rsidRPr="00F7263B">
              <w:rPr>
                <w:rFonts w:cs="Times New Roman"/>
                <w:sz w:val="20"/>
                <w:szCs w:val="20"/>
              </w:rPr>
              <w:t>MUDHCo</w:t>
            </w:r>
          </w:p>
        </w:tc>
      </w:tr>
      <w:tr w:rsidR="00151505" w:rsidRPr="00F7263B" w:rsidTr="00254260">
        <w:tc>
          <w:tcPr>
            <w:tcW w:w="2467" w:type="dxa"/>
          </w:tcPr>
          <w:p w:rsidR="00151505" w:rsidRPr="00F7263B" w:rsidRDefault="00151505" w:rsidP="001509A0">
            <w:pPr>
              <w:pStyle w:val="ListParagraph"/>
              <w:tabs>
                <w:tab w:val="left" w:pos="267"/>
              </w:tabs>
              <w:ind w:left="0"/>
              <w:rPr>
                <w:rFonts w:cs="Times New Roman"/>
                <w:sz w:val="20"/>
                <w:szCs w:val="20"/>
              </w:rPr>
            </w:pPr>
            <w:r w:rsidRPr="00F7263B">
              <w:rPr>
                <w:sz w:val="20"/>
                <w:szCs w:val="20"/>
              </w:rPr>
              <w:t xml:space="preserve">2. </w:t>
            </w:r>
            <w:r w:rsidRPr="00F7263B">
              <w:rPr>
                <w:sz w:val="20"/>
                <w:szCs w:val="20"/>
              </w:rPr>
              <w:tab/>
              <w:t xml:space="preserve">People in participating urban local governments provided with access to </w:t>
            </w:r>
            <w:r w:rsidRPr="00F7263B">
              <w:rPr>
                <w:bCs/>
                <w:iCs/>
                <w:sz w:val="20"/>
                <w:szCs w:val="20"/>
              </w:rPr>
              <w:t>all-season roads within a 500 meter range</w:t>
            </w:r>
            <w:r w:rsidRPr="00F7263B">
              <w:rPr>
                <w:sz w:val="20"/>
                <w:szCs w:val="20"/>
              </w:rPr>
              <w:t xml:space="preserve"> provided under the ULGDP II</w:t>
            </w:r>
            <w:r w:rsidRPr="00F7263B">
              <w:rPr>
                <w:rStyle w:val="FootnoteReference"/>
                <w:sz w:val="20"/>
                <w:szCs w:val="20"/>
              </w:rPr>
              <w:footnoteReference w:id="34"/>
            </w:r>
          </w:p>
        </w:tc>
        <w:tc>
          <w:tcPr>
            <w:tcW w:w="399" w:type="dxa"/>
          </w:tcPr>
          <w:p w:rsidR="00151505" w:rsidRPr="00F7263B" w:rsidRDefault="00151505" w:rsidP="001509A0">
            <w:pPr>
              <w:jc w:val="both"/>
              <w:rPr>
                <w:rFonts w:cs="Times New Roman"/>
                <w:b/>
                <w:noProof/>
                <w:sz w:val="20"/>
                <w:szCs w:val="20"/>
              </w:rPr>
            </w:pPr>
            <w:r w:rsidRPr="00F7263B">
              <w:rPr>
                <w:rFonts w:cs="Times New Roman"/>
                <w:b/>
                <w:noProof/>
                <w:sz w:val="20"/>
                <w:szCs w:val="20"/>
              </w:rPr>
              <w:t>√</w:t>
            </w:r>
          </w:p>
        </w:tc>
        <w:tc>
          <w:tcPr>
            <w:tcW w:w="403" w:type="dxa"/>
          </w:tcPr>
          <w:p w:rsidR="00151505" w:rsidRPr="00F7263B" w:rsidRDefault="00151505" w:rsidP="001509A0">
            <w:pPr>
              <w:jc w:val="both"/>
              <w:rPr>
                <w:rFonts w:cs="Times New Roman"/>
                <w:noProof/>
                <w:sz w:val="20"/>
                <w:szCs w:val="20"/>
              </w:rPr>
            </w:pPr>
            <w:r w:rsidRPr="00F7263B">
              <w:rPr>
                <w:rFonts w:cs="Times New Roman"/>
                <w:noProof/>
                <w:sz w:val="20"/>
                <w:szCs w:val="20"/>
              </w:rPr>
              <w:t>3</w:t>
            </w:r>
          </w:p>
        </w:tc>
        <w:tc>
          <w:tcPr>
            <w:tcW w:w="866" w:type="dxa"/>
          </w:tcPr>
          <w:p w:rsidR="00151505" w:rsidRPr="00F7263B" w:rsidRDefault="00151505" w:rsidP="001509A0">
            <w:pPr>
              <w:jc w:val="both"/>
              <w:rPr>
                <w:rFonts w:cs="Times New Roman"/>
                <w:sz w:val="20"/>
                <w:szCs w:val="20"/>
              </w:rPr>
            </w:pPr>
            <w:r w:rsidRPr="00F7263B">
              <w:rPr>
                <w:rFonts w:cs="Times New Roman"/>
                <w:sz w:val="20"/>
                <w:szCs w:val="20"/>
              </w:rPr>
              <w:t>Number</w:t>
            </w:r>
          </w:p>
        </w:tc>
        <w:tc>
          <w:tcPr>
            <w:tcW w:w="781" w:type="dxa"/>
          </w:tcPr>
          <w:p w:rsidR="00151505" w:rsidRPr="00F7263B" w:rsidRDefault="00151505" w:rsidP="001509A0">
            <w:pPr>
              <w:jc w:val="center"/>
              <w:rPr>
                <w:rFonts w:cs="Times New Roman"/>
                <w:sz w:val="20"/>
                <w:szCs w:val="20"/>
              </w:rPr>
            </w:pPr>
            <w:r w:rsidRPr="00F7263B">
              <w:rPr>
                <w:rFonts w:cs="Times New Roman"/>
                <w:sz w:val="20"/>
                <w:szCs w:val="20"/>
              </w:rPr>
              <w:t>0</w:t>
            </w:r>
          </w:p>
        </w:tc>
        <w:tc>
          <w:tcPr>
            <w:tcW w:w="1114" w:type="dxa"/>
            <w:gridSpan w:val="3"/>
          </w:tcPr>
          <w:p w:rsidR="00151505" w:rsidRPr="00F7263B" w:rsidRDefault="00151505" w:rsidP="001509A0">
            <w:pPr>
              <w:jc w:val="both"/>
              <w:rPr>
                <w:rFonts w:cs="Times New Roman"/>
                <w:sz w:val="20"/>
                <w:szCs w:val="20"/>
              </w:rPr>
            </w:pPr>
            <w:r w:rsidRPr="00F7263B">
              <w:rPr>
                <w:rFonts w:cs="Times New Roman"/>
                <w:sz w:val="20"/>
                <w:szCs w:val="20"/>
              </w:rPr>
              <w:t>1 million</w:t>
            </w:r>
          </w:p>
        </w:tc>
        <w:tc>
          <w:tcPr>
            <w:tcW w:w="917" w:type="dxa"/>
          </w:tcPr>
          <w:p w:rsidR="00151505" w:rsidRPr="00F7263B" w:rsidRDefault="00151505" w:rsidP="001509A0">
            <w:pPr>
              <w:jc w:val="both"/>
              <w:rPr>
                <w:rFonts w:cs="Times New Roman"/>
                <w:sz w:val="20"/>
                <w:szCs w:val="20"/>
              </w:rPr>
            </w:pPr>
            <w:r w:rsidRPr="00F7263B">
              <w:rPr>
                <w:rFonts w:cs="Times New Roman"/>
                <w:sz w:val="20"/>
                <w:szCs w:val="20"/>
              </w:rPr>
              <w:t>2 million</w:t>
            </w:r>
          </w:p>
        </w:tc>
        <w:tc>
          <w:tcPr>
            <w:tcW w:w="1014" w:type="dxa"/>
          </w:tcPr>
          <w:p w:rsidR="00151505" w:rsidRPr="00F7263B" w:rsidRDefault="00151505" w:rsidP="001509A0">
            <w:pPr>
              <w:jc w:val="both"/>
              <w:rPr>
                <w:rFonts w:cs="Times New Roman"/>
                <w:sz w:val="20"/>
                <w:szCs w:val="20"/>
              </w:rPr>
            </w:pPr>
            <w:r w:rsidRPr="00F7263B">
              <w:rPr>
                <w:rFonts w:cs="Times New Roman"/>
                <w:sz w:val="20"/>
                <w:szCs w:val="20"/>
              </w:rPr>
              <w:t>3 million</w:t>
            </w:r>
          </w:p>
        </w:tc>
        <w:tc>
          <w:tcPr>
            <w:tcW w:w="1013" w:type="dxa"/>
          </w:tcPr>
          <w:p w:rsidR="00151505" w:rsidRPr="00F7263B" w:rsidRDefault="00151505" w:rsidP="001509A0">
            <w:pPr>
              <w:jc w:val="both"/>
              <w:rPr>
                <w:rFonts w:cs="Times New Roman"/>
                <w:sz w:val="20"/>
                <w:szCs w:val="20"/>
              </w:rPr>
            </w:pPr>
            <w:r w:rsidRPr="00F7263B">
              <w:rPr>
                <w:rFonts w:cs="Times New Roman"/>
                <w:sz w:val="20"/>
                <w:szCs w:val="20"/>
              </w:rPr>
              <w:t>4 million</w:t>
            </w:r>
          </w:p>
        </w:tc>
        <w:tc>
          <w:tcPr>
            <w:tcW w:w="1016" w:type="dxa"/>
          </w:tcPr>
          <w:p w:rsidR="00151505" w:rsidRPr="00F7263B" w:rsidRDefault="00151505" w:rsidP="001509A0">
            <w:pPr>
              <w:jc w:val="both"/>
              <w:rPr>
                <w:rFonts w:cs="Times New Roman"/>
                <w:sz w:val="20"/>
                <w:szCs w:val="20"/>
              </w:rPr>
            </w:pPr>
            <w:r w:rsidRPr="00F7263B">
              <w:rPr>
                <w:rFonts w:cs="Times New Roman"/>
                <w:sz w:val="20"/>
                <w:szCs w:val="20"/>
              </w:rPr>
              <w:t>4.2 million</w:t>
            </w:r>
          </w:p>
        </w:tc>
        <w:tc>
          <w:tcPr>
            <w:tcW w:w="1080" w:type="dxa"/>
            <w:gridSpan w:val="2"/>
          </w:tcPr>
          <w:p w:rsidR="00151505" w:rsidRPr="00F7263B" w:rsidRDefault="00151505" w:rsidP="001509A0">
            <w:pPr>
              <w:jc w:val="both"/>
              <w:rPr>
                <w:rFonts w:cs="Times New Roman"/>
                <w:sz w:val="20"/>
                <w:szCs w:val="20"/>
              </w:rPr>
            </w:pPr>
            <w:r w:rsidRPr="00F7263B">
              <w:rPr>
                <w:rFonts w:cs="Times New Roman"/>
                <w:sz w:val="20"/>
                <w:szCs w:val="20"/>
              </w:rPr>
              <w:t>Annually</w:t>
            </w:r>
          </w:p>
        </w:tc>
        <w:tc>
          <w:tcPr>
            <w:tcW w:w="1261" w:type="dxa"/>
          </w:tcPr>
          <w:p w:rsidR="00151505" w:rsidRPr="00F7263B" w:rsidRDefault="00151505" w:rsidP="001509A0">
            <w:pPr>
              <w:rPr>
                <w:rFonts w:cs="Times New Roman"/>
                <w:sz w:val="20"/>
                <w:szCs w:val="20"/>
              </w:rPr>
            </w:pPr>
            <w:r w:rsidRPr="00F7263B">
              <w:rPr>
                <w:bCs/>
                <w:sz w:val="20"/>
                <w:szCs w:val="20"/>
              </w:rPr>
              <w:t>Census and APA</w:t>
            </w:r>
          </w:p>
        </w:tc>
        <w:tc>
          <w:tcPr>
            <w:tcW w:w="1529" w:type="dxa"/>
          </w:tcPr>
          <w:p w:rsidR="00151505" w:rsidRPr="00F7263B" w:rsidRDefault="00151505" w:rsidP="001509A0">
            <w:pPr>
              <w:jc w:val="both"/>
              <w:rPr>
                <w:rFonts w:cs="Times New Roman"/>
                <w:sz w:val="20"/>
                <w:szCs w:val="20"/>
              </w:rPr>
            </w:pPr>
            <w:r w:rsidRPr="00F7263B">
              <w:rPr>
                <w:rFonts w:cs="Times New Roman"/>
                <w:sz w:val="20"/>
                <w:szCs w:val="20"/>
              </w:rPr>
              <w:t>MUDHCo</w:t>
            </w:r>
          </w:p>
        </w:tc>
      </w:tr>
      <w:tr w:rsidR="00EE7DBD" w:rsidRPr="00F7263B" w:rsidTr="00254260">
        <w:tc>
          <w:tcPr>
            <w:tcW w:w="2467" w:type="dxa"/>
          </w:tcPr>
          <w:p w:rsidR="00EE7DBD" w:rsidRPr="00F7263B" w:rsidRDefault="00EE7DBD" w:rsidP="001509A0">
            <w:pPr>
              <w:pStyle w:val="ListParagraph"/>
              <w:tabs>
                <w:tab w:val="left" w:pos="267"/>
              </w:tabs>
              <w:ind w:left="0"/>
              <w:rPr>
                <w:rFonts w:cs="Times New Roman"/>
                <w:b/>
                <w:sz w:val="20"/>
                <w:szCs w:val="20"/>
              </w:rPr>
            </w:pPr>
            <w:r w:rsidRPr="00F7263B">
              <w:rPr>
                <w:rFonts w:cs="Times New Roman"/>
                <w:sz w:val="20"/>
                <w:szCs w:val="20"/>
              </w:rPr>
              <w:t>3.</w:t>
            </w:r>
            <w:r w:rsidRPr="00F7263B">
              <w:rPr>
                <w:rFonts w:cs="Times New Roman"/>
                <w:sz w:val="20"/>
                <w:szCs w:val="20"/>
              </w:rPr>
              <w:tab/>
              <w:t xml:space="preserve">Urbancobblestoneroads built or </w:t>
            </w:r>
            <w:r w:rsidRPr="00F7263B">
              <w:rPr>
                <w:sz w:val="20"/>
                <w:szCs w:val="20"/>
              </w:rPr>
              <w:t>rehabilitated</w:t>
            </w:r>
            <w:r w:rsidRPr="00F7263B">
              <w:rPr>
                <w:rFonts w:cs="Times New Roman"/>
                <w:sz w:val="20"/>
                <w:szCs w:val="20"/>
              </w:rPr>
              <w:t xml:space="preserve"> under ULGDP II</w:t>
            </w:r>
          </w:p>
        </w:tc>
        <w:tc>
          <w:tcPr>
            <w:tcW w:w="399" w:type="dxa"/>
          </w:tcPr>
          <w:p w:rsidR="00EE7DBD" w:rsidRPr="00F7263B" w:rsidRDefault="00EE7DBD" w:rsidP="001509A0">
            <w:pPr>
              <w:jc w:val="both"/>
              <w:rPr>
                <w:rFonts w:cs="Times New Roman"/>
                <w:noProof/>
                <w:sz w:val="20"/>
                <w:szCs w:val="20"/>
              </w:rPr>
            </w:pPr>
          </w:p>
        </w:tc>
        <w:tc>
          <w:tcPr>
            <w:tcW w:w="403" w:type="dxa"/>
          </w:tcPr>
          <w:p w:rsidR="00EE7DBD" w:rsidRPr="00F7263B" w:rsidRDefault="00EE7DBD" w:rsidP="001509A0">
            <w:pPr>
              <w:jc w:val="both"/>
              <w:rPr>
                <w:rFonts w:cs="Times New Roman"/>
                <w:sz w:val="20"/>
                <w:szCs w:val="20"/>
              </w:rPr>
            </w:pPr>
            <w:r w:rsidRPr="00F7263B">
              <w:rPr>
                <w:rFonts w:cs="Times New Roman"/>
                <w:sz w:val="20"/>
                <w:szCs w:val="20"/>
              </w:rPr>
              <w:t>3</w:t>
            </w:r>
          </w:p>
        </w:tc>
        <w:tc>
          <w:tcPr>
            <w:tcW w:w="866" w:type="dxa"/>
          </w:tcPr>
          <w:p w:rsidR="00EE7DBD" w:rsidRPr="00F7263B" w:rsidRDefault="00EE7DBD" w:rsidP="001509A0">
            <w:pPr>
              <w:jc w:val="both"/>
              <w:rPr>
                <w:rFonts w:cs="Times New Roman"/>
                <w:sz w:val="20"/>
                <w:szCs w:val="20"/>
              </w:rPr>
            </w:pPr>
            <w:r w:rsidRPr="00F7263B">
              <w:rPr>
                <w:rFonts w:cs="Times New Roman"/>
                <w:sz w:val="20"/>
                <w:szCs w:val="20"/>
              </w:rPr>
              <w:t>Kilo-meters</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114" w:type="dxa"/>
            <w:gridSpan w:val="3"/>
          </w:tcPr>
          <w:p w:rsidR="00EE7DBD" w:rsidRPr="00F7263B" w:rsidRDefault="00EE7DBD" w:rsidP="001509A0">
            <w:pPr>
              <w:jc w:val="center"/>
              <w:rPr>
                <w:rFonts w:cs="Times New Roman"/>
                <w:sz w:val="20"/>
                <w:szCs w:val="20"/>
              </w:rPr>
            </w:pPr>
            <w:r w:rsidRPr="00F7263B">
              <w:rPr>
                <w:rFonts w:cs="Times New Roman"/>
                <w:sz w:val="20"/>
                <w:szCs w:val="20"/>
              </w:rPr>
              <w:t>120</w:t>
            </w:r>
          </w:p>
        </w:tc>
        <w:tc>
          <w:tcPr>
            <w:tcW w:w="917" w:type="dxa"/>
          </w:tcPr>
          <w:p w:rsidR="00EE7DBD" w:rsidRPr="00F7263B" w:rsidRDefault="00EE7DBD" w:rsidP="001509A0">
            <w:pPr>
              <w:jc w:val="center"/>
              <w:rPr>
                <w:rFonts w:cs="Times New Roman"/>
                <w:sz w:val="20"/>
                <w:szCs w:val="20"/>
              </w:rPr>
            </w:pPr>
            <w:r w:rsidRPr="00F7263B">
              <w:rPr>
                <w:rFonts w:cs="Times New Roman"/>
                <w:sz w:val="20"/>
                <w:szCs w:val="20"/>
              </w:rPr>
              <w:t>270</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420</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570</w:t>
            </w:r>
          </w:p>
        </w:tc>
        <w:tc>
          <w:tcPr>
            <w:tcW w:w="1016" w:type="dxa"/>
          </w:tcPr>
          <w:p w:rsidR="00EE7DBD" w:rsidRPr="00F7263B" w:rsidRDefault="00EE7DBD" w:rsidP="001509A0">
            <w:pPr>
              <w:jc w:val="center"/>
              <w:rPr>
                <w:rFonts w:cs="Times New Roman"/>
                <w:sz w:val="20"/>
                <w:szCs w:val="20"/>
              </w:rPr>
            </w:pPr>
            <w:r w:rsidRPr="00F7263B">
              <w:rPr>
                <w:rFonts w:cs="Times New Roman"/>
                <w:sz w:val="20"/>
                <w:szCs w:val="20"/>
              </w:rPr>
              <w:t>730</w:t>
            </w:r>
          </w:p>
        </w:tc>
        <w:tc>
          <w:tcPr>
            <w:tcW w:w="1080" w:type="dxa"/>
            <w:gridSpan w:val="2"/>
          </w:tcPr>
          <w:p w:rsidR="00EE7DBD" w:rsidRPr="00F7263B" w:rsidRDefault="00EE7DBD" w:rsidP="001509A0">
            <w:pPr>
              <w:jc w:val="both"/>
              <w:rPr>
                <w:rFonts w:cs="Times New Roman"/>
                <w:sz w:val="20"/>
                <w:szCs w:val="20"/>
              </w:rPr>
            </w:pPr>
            <w:r w:rsidRPr="00F7263B">
              <w:rPr>
                <w:rFonts w:cs="Times New Roman"/>
                <w:sz w:val="20"/>
                <w:szCs w:val="20"/>
              </w:rPr>
              <w:t>Annually</w:t>
            </w:r>
          </w:p>
        </w:tc>
        <w:tc>
          <w:tcPr>
            <w:tcW w:w="1261" w:type="dxa"/>
          </w:tcPr>
          <w:p w:rsidR="00EE7DBD" w:rsidRPr="00F7263B" w:rsidRDefault="00EE7DBD" w:rsidP="001509A0">
            <w:pPr>
              <w:jc w:val="both"/>
              <w:rPr>
                <w:rFonts w:cs="Times New Roman"/>
                <w:b/>
                <w:sz w:val="20"/>
                <w:szCs w:val="20"/>
              </w:rPr>
            </w:pPr>
            <w:r w:rsidRPr="00F7263B">
              <w:rPr>
                <w:rFonts w:cs="Times New Roman"/>
                <w:sz w:val="20"/>
                <w:szCs w:val="20"/>
              </w:rPr>
              <w:t>APA</w:t>
            </w:r>
          </w:p>
        </w:tc>
        <w:tc>
          <w:tcPr>
            <w:tcW w:w="1529" w:type="dxa"/>
          </w:tcPr>
          <w:p w:rsidR="00EE7DBD" w:rsidRPr="00F7263B" w:rsidRDefault="00EE7DBD" w:rsidP="001509A0">
            <w:pPr>
              <w:rPr>
                <w:rFonts w:cs="Times New Roman"/>
                <w:sz w:val="20"/>
                <w:szCs w:val="20"/>
              </w:rPr>
            </w:pPr>
            <w:r w:rsidRPr="00F7263B">
              <w:rPr>
                <w:rFonts w:cs="Times New Roman"/>
                <w:sz w:val="20"/>
                <w:szCs w:val="20"/>
              </w:rPr>
              <w:t>Firm collects the data and the MUDHCo and the Bank review and confirm.</w:t>
            </w:r>
          </w:p>
        </w:tc>
      </w:tr>
      <w:tr w:rsidR="00EE7DBD" w:rsidRPr="00F7263B" w:rsidTr="00254260">
        <w:trPr>
          <w:trHeight w:val="512"/>
        </w:trPr>
        <w:tc>
          <w:tcPr>
            <w:tcW w:w="2467" w:type="dxa"/>
          </w:tcPr>
          <w:p w:rsidR="00EE7DBD" w:rsidRPr="00F7263B" w:rsidRDefault="00EE7DBD" w:rsidP="001509A0">
            <w:pPr>
              <w:pStyle w:val="ListParagraph"/>
              <w:tabs>
                <w:tab w:val="left" w:pos="267"/>
              </w:tabs>
              <w:ind w:left="0"/>
              <w:rPr>
                <w:rFonts w:cs="Times New Roman"/>
                <w:b/>
                <w:sz w:val="20"/>
                <w:szCs w:val="20"/>
              </w:rPr>
            </w:pPr>
            <w:r w:rsidRPr="00F7263B">
              <w:rPr>
                <w:rFonts w:cs="Times New Roman"/>
                <w:sz w:val="20"/>
                <w:szCs w:val="20"/>
              </w:rPr>
              <w:t>4.</w:t>
            </w:r>
            <w:r w:rsidRPr="00F7263B">
              <w:rPr>
                <w:rFonts w:cs="Times New Roman"/>
                <w:sz w:val="20"/>
                <w:szCs w:val="20"/>
              </w:rPr>
              <w:tab/>
              <w:t xml:space="preserve">Urbangravel roads built or </w:t>
            </w:r>
            <w:r w:rsidRPr="00F7263B">
              <w:rPr>
                <w:sz w:val="20"/>
                <w:szCs w:val="20"/>
              </w:rPr>
              <w:t>rehabilitated</w:t>
            </w:r>
            <w:r w:rsidRPr="00F7263B">
              <w:rPr>
                <w:rFonts w:cs="Times New Roman"/>
                <w:sz w:val="20"/>
                <w:szCs w:val="20"/>
              </w:rPr>
              <w:t xml:space="preserve"> under ULGDP II</w:t>
            </w:r>
          </w:p>
        </w:tc>
        <w:tc>
          <w:tcPr>
            <w:tcW w:w="399" w:type="dxa"/>
          </w:tcPr>
          <w:p w:rsidR="00EE7DBD" w:rsidRPr="00F7263B" w:rsidRDefault="00EE7DBD" w:rsidP="001509A0">
            <w:pPr>
              <w:jc w:val="both"/>
              <w:rPr>
                <w:rFonts w:cs="Times New Roman"/>
                <w:noProof/>
                <w:sz w:val="20"/>
                <w:szCs w:val="20"/>
              </w:rPr>
            </w:pPr>
          </w:p>
        </w:tc>
        <w:tc>
          <w:tcPr>
            <w:tcW w:w="403" w:type="dxa"/>
          </w:tcPr>
          <w:p w:rsidR="00EE7DBD" w:rsidRPr="00F7263B" w:rsidRDefault="00EE7DBD" w:rsidP="001509A0">
            <w:pPr>
              <w:jc w:val="both"/>
              <w:rPr>
                <w:rFonts w:cs="Times New Roman"/>
                <w:sz w:val="20"/>
                <w:szCs w:val="20"/>
              </w:rPr>
            </w:pPr>
            <w:r w:rsidRPr="00F7263B">
              <w:rPr>
                <w:rFonts w:cs="Times New Roman"/>
                <w:sz w:val="20"/>
                <w:szCs w:val="20"/>
              </w:rPr>
              <w:t>3</w:t>
            </w:r>
          </w:p>
        </w:tc>
        <w:tc>
          <w:tcPr>
            <w:tcW w:w="866" w:type="dxa"/>
          </w:tcPr>
          <w:p w:rsidR="00EE7DBD" w:rsidRPr="00F7263B" w:rsidRDefault="00EE7DBD" w:rsidP="001509A0">
            <w:pPr>
              <w:jc w:val="both"/>
              <w:rPr>
                <w:rFonts w:cs="Times New Roman"/>
                <w:sz w:val="20"/>
                <w:szCs w:val="20"/>
              </w:rPr>
            </w:pPr>
            <w:r w:rsidRPr="00F7263B">
              <w:rPr>
                <w:rFonts w:cs="Times New Roman"/>
                <w:sz w:val="20"/>
                <w:szCs w:val="20"/>
              </w:rPr>
              <w:t>Kilo-meters</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114" w:type="dxa"/>
            <w:gridSpan w:val="3"/>
          </w:tcPr>
          <w:p w:rsidR="00EE7DBD" w:rsidRPr="00F7263B" w:rsidRDefault="00EE7DBD" w:rsidP="001509A0">
            <w:pPr>
              <w:jc w:val="center"/>
              <w:rPr>
                <w:rFonts w:cs="Times New Roman"/>
                <w:sz w:val="20"/>
                <w:szCs w:val="20"/>
              </w:rPr>
            </w:pPr>
            <w:r w:rsidRPr="00F7263B">
              <w:rPr>
                <w:rFonts w:cs="Times New Roman"/>
                <w:sz w:val="20"/>
                <w:szCs w:val="20"/>
              </w:rPr>
              <w:t>15</w:t>
            </w:r>
          </w:p>
        </w:tc>
        <w:tc>
          <w:tcPr>
            <w:tcW w:w="917" w:type="dxa"/>
          </w:tcPr>
          <w:p w:rsidR="00EE7DBD" w:rsidRPr="00F7263B" w:rsidRDefault="00EE7DBD" w:rsidP="001509A0">
            <w:pPr>
              <w:jc w:val="center"/>
              <w:rPr>
                <w:rFonts w:cs="Times New Roman"/>
                <w:sz w:val="20"/>
                <w:szCs w:val="20"/>
              </w:rPr>
            </w:pPr>
            <w:r w:rsidRPr="00F7263B">
              <w:rPr>
                <w:rFonts w:cs="Times New Roman"/>
                <w:sz w:val="20"/>
                <w:szCs w:val="20"/>
              </w:rPr>
              <w:t>45</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75</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105</w:t>
            </w:r>
          </w:p>
        </w:tc>
        <w:tc>
          <w:tcPr>
            <w:tcW w:w="1016" w:type="dxa"/>
          </w:tcPr>
          <w:p w:rsidR="00EE7DBD" w:rsidRPr="00F7263B" w:rsidRDefault="00EE7DBD" w:rsidP="001509A0">
            <w:pPr>
              <w:jc w:val="center"/>
              <w:rPr>
                <w:rFonts w:cs="Times New Roman"/>
                <w:sz w:val="20"/>
                <w:szCs w:val="20"/>
              </w:rPr>
            </w:pPr>
            <w:r w:rsidRPr="00F7263B">
              <w:rPr>
                <w:rFonts w:cs="Times New Roman"/>
                <w:sz w:val="20"/>
                <w:szCs w:val="20"/>
              </w:rPr>
              <w:t>135</w:t>
            </w:r>
          </w:p>
        </w:tc>
        <w:tc>
          <w:tcPr>
            <w:tcW w:w="1080" w:type="dxa"/>
            <w:gridSpan w:val="2"/>
          </w:tcPr>
          <w:p w:rsidR="00EE7DBD" w:rsidRPr="00F7263B" w:rsidRDefault="00EE7DBD" w:rsidP="001509A0">
            <w:pPr>
              <w:jc w:val="both"/>
              <w:rPr>
                <w:rFonts w:cs="Times New Roman"/>
                <w:sz w:val="20"/>
                <w:szCs w:val="20"/>
              </w:rPr>
            </w:pPr>
            <w:r w:rsidRPr="00F7263B">
              <w:rPr>
                <w:rFonts w:cs="Times New Roman"/>
                <w:sz w:val="20"/>
                <w:szCs w:val="20"/>
              </w:rPr>
              <w:t>Annually</w:t>
            </w:r>
          </w:p>
        </w:tc>
        <w:tc>
          <w:tcPr>
            <w:tcW w:w="1261" w:type="dxa"/>
          </w:tcPr>
          <w:p w:rsidR="00EE7DBD" w:rsidRPr="00F7263B" w:rsidRDefault="00EE7DBD" w:rsidP="001509A0">
            <w:pPr>
              <w:jc w:val="both"/>
              <w:rPr>
                <w:rFonts w:cs="Times New Roman"/>
                <w:b/>
                <w:sz w:val="20"/>
                <w:szCs w:val="20"/>
              </w:rPr>
            </w:pPr>
            <w:r w:rsidRPr="00F7263B">
              <w:rPr>
                <w:rFonts w:cs="Times New Roman"/>
                <w:sz w:val="20"/>
                <w:szCs w:val="20"/>
              </w:rPr>
              <w:t>APA</w:t>
            </w:r>
          </w:p>
        </w:tc>
        <w:tc>
          <w:tcPr>
            <w:tcW w:w="1529" w:type="dxa"/>
          </w:tcPr>
          <w:p w:rsidR="00EE7DBD" w:rsidRPr="00F7263B" w:rsidRDefault="00EE7DBD" w:rsidP="001509A0">
            <w:pPr>
              <w:jc w:val="both"/>
              <w:rPr>
                <w:rFonts w:cs="Times New Roman"/>
                <w:sz w:val="20"/>
                <w:szCs w:val="20"/>
              </w:rPr>
            </w:pPr>
            <w:r w:rsidRPr="00F7263B">
              <w:rPr>
                <w:rFonts w:cs="Times New Roman"/>
                <w:sz w:val="20"/>
                <w:szCs w:val="20"/>
              </w:rPr>
              <w:t>Same as above.</w:t>
            </w:r>
          </w:p>
        </w:tc>
      </w:tr>
      <w:tr w:rsidR="00EE7DBD" w:rsidRPr="00F7263B" w:rsidTr="00254260">
        <w:trPr>
          <w:trHeight w:val="512"/>
        </w:trPr>
        <w:tc>
          <w:tcPr>
            <w:tcW w:w="2467" w:type="dxa"/>
          </w:tcPr>
          <w:p w:rsidR="00EE7DBD" w:rsidRPr="00F7263B" w:rsidRDefault="00EE7DBD" w:rsidP="00151505">
            <w:pPr>
              <w:pStyle w:val="ListParagraph"/>
              <w:numPr>
                <w:ilvl w:val="0"/>
                <w:numId w:val="91"/>
              </w:numPr>
              <w:tabs>
                <w:tab w:val="left" w:pos="312"/>
              </w:tabs>
              <w:ind w:left="0" w:firstLine="0"/>
              <w:rPr>
                <w:rFonts w:cs="Times New Roman"/>
                <w:color w:val="000000"/>
                <w:sz w:val="20"/>
                <w:szCs w:val="20"/>
              </w:rPr>
            </w:pPr>
            <w:r w:rsidRPr="00F7263B">
              <w:rPr>
                <w:rFonts w:cs="Times New Roman"/>
                <w:color w:val="000000"/>
                <w:sz w:val="20"/>
                <w:szCs w:val="20"/>
              </w:rPr>
              <w:t>Serviced land for industry, MSEs, and housing.</w:t>
            </w:r>
          </w:p>
        </w:tc>
        <w:tc>
          <w:tcPr>
            <w:tcW w:w="399" w:type="dxa"/>
          </w:tcPr>
          <w:p w:rsidR="00EE7DBD" w:rsidRPr="00F7263B" w:rsidRDefault="00EE7DBD" w:rsidP="001509A0">
            <w:pPr>
              <w:jc w:val="both"/>
              <w:rPr>
                <w:rFonts w:cs="Times New Roman"/>
                <w:noProof/>
                <w:sz w:val="20"/>
                <w:szCs w:val="20"/>
                <w:highlight w:val="yellow"/>
              </w:rPr>
            </w:pPr>
          </w:p>
        </w:tc>
        <w:tc>
          <w:tcPr>
            <w:tcW w:w="403" w:type="dxa"/>
          </w:tcPr>
          <w:p w:rsidR="00EE7DBD" w:rsidRPr="00F7263B" w:rsidRDefault="00EE7DBD" w:rsidP="001509A0">
            <w:pPr>
              <w:jc w:val="both"/>
              <w:rPr>
                <w:rFonts w:cs="Times New Roman"/>
                <w:sz w:val="20"/>
                <w:szCs w:val="20"/>
              </w:rPr>
            </w:pPr>
            <w:r w:rsidRPr="00F7263B">
              <w:rPr>
                <w:rFonts w:cs="Times New Roman"/>
                <w:sz w:val="20"/>
                <w:szCs w:val="20"/>
              </w:rPr>
              <w:t>2</w:t>
            </w:r>
          </w:p>
        </w:tc>
        <w:tc>
          <w:tcPr>
            <w:tcW w:w="866" w:type="dxa"/>
          </w:tcPr>
          <w:p w:rsidR="00EE7DBD" w:rsidRPr="00F7263B" w:rsidRDefault="00EE7DBD" w:rsidP="001509A0">
            <w:pPr>
              <w:jc w:val="both"/>
              <w:rPr>
                <w:rFonts w:cs="Times New Roman"/>
                <w:sz w:val="20"/>
                <w:szCs w:val="20"/>
              </w:rPr>
            </w:pPr>
            <w:r w:rsidRPr="00F7263B">
              <w:rPr>
                <w:rFonts w:cs="Times New Roman"/>
                <w:sz w:val="20"/>
                <w:szCs w:val="20"/>
              </w:rPr>
              <w:t>Hectares</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114" w:type="dxa"/>
            <w:gridSpan w:val="3"/>
          </w:tcPr>
          <w:p w:rsidR="00EE7DBD" w:rsidRPr="00F7263B" w:rsidRDefault="00EE7DBD" w:rsidP="001509A0">
            <w:pPr>
              <w:jc w:val="center"/>
              <w:rPr>
                <w:rFonts w:cs="Times New Roman"/>
                <w:sz w:val="20"/>
                <w:szCs w:val="20"/>
              </w:rPr>
            </w:pPr>
            <w:r w:rsidRPr="00F7263B">
              <w:rPr>
                <w:rFonts w:cs="Times New Roman"/>
                <w:sz w:val="20"/>
                <w:szCs w:val="20"/>
              </w:rPr>
              <w:t>300</w:t>
            </w:r>
          </w:p>
        </w:tc>
        <w:tc>
          <w:tcPr>
            <w:tcW w:w="917" w:type="dxa"/>
          </w:tcPr>
          <w:p w:rsidR="00EE7DBD" w:rsidRPr="00F7263B" w:rsidRDefault="00EE7DBD" w:rsidP="001509A0">
            <w:pPr>
              <w:jc w:val="center"/>
              <w:rPr>
                <w:rFonts w:cs="Times New Roman"/>
                <w:sz w:val="20"/>
                <w:szCs w:val="20"/>
              </w:rPr>
            </w:pPr>
            <w:r w:rsidRPr="00F7263B">
              <w:rPr>
                <w:rFonts w:cs="Times New Roman"/>
                <w:sz w:val="20"/>
                <w:szCs w:val="20"/>
              </w:rPr>
              <w:t>680</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1,060</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1,440</w:t>
            </w:r>
          </w:p>
        </w:tc>
        <w:tc>
          <w:tcPr>
            <w:tcW w:w="1016" w:type="dxa"/>
          </w:tcPr>
          <w:p w:rsidR="00EE7DBD" w:rsidRPr="00F7263B" w:rsidRDefault="00EE7DBD" w:rsidP="000C2E0A">
            <w:pPr>
              <w:jc w:val="center"/>
              <w:rPr>
                <w:rFonts w:cs="Times New Roman"/>
                <w:sz w:val="20"/>
                <w:szCs w:val="20"/>
              </w:rPr>
            </w:pPr>
            <w:r w:rsidRPr="00F7263B">
              <w:rPr>
                <w:rFonts w:cs="Times New Roman"/>
                <w:sz w:val="20"/>
                <w:szCs w:val="20"/>
              </w:rPr>
              <w:t>1,820</w:t>
            </w:r>
          </w:p>
          <w:p w:rsidR="00EE7DBD" w:rsidRPr="00F7263B" w:rsidRDefault="00EE7DBD" w:rsidP="001509A0">
            <w:pPr>
              <w:jc w:val="center"/>
              <w:rPr>
                <w:rFonts w:cs="Times New Roman"/>
                <w:sz w:val="20"/>
                <w:szCs w:val="20"/>
              </w:rPr>
            </w:pPr>
          </w:p>
        </w:tc>
        <w:tc>
          <w:tcPr>
            <w:tcW w:w="1080" w:type="dxa"/>
            <w:gridSpan w:val="2"/>
          </w:tcPr>
          <w:p w:rsidR="00EE7DBD" w:rsidRPr="00F7263B" w:rsidRDefault="00EE7DBD" w:rsidP="001509A0">
            <w:pPr>
              <w:jc w:val="both"/>
              <w:rPr>
                <w:rFonts w:cs="Times New Roman"/>
                <w:sz w:val="20"/>
                <w:szCs w:val="20"/>
              </w:rPr>
            </w:pPr>
            <w:r w:rsidRPr="00F7263B">
              <w:rPr>
                <w:rFonts w:cs="Times New Roman"/>
                <w:sz w:val="20"/>
                <w:szCs w:val="20"/>
              </w:rPr>
              <w:t>Annually</w:t>
            </w:r>
          </w:p>
        </w:tc>
        <w:tc>
          <w:tcPr>
            <w:tcW w:w="1261" w:type="dxa"/>
          </w:tcPr>
          <w:p w:rsidR="00EE7DBD" w:rsidRPr="00F7263B" w:rsidRDefault="00EE7DBD" w:rsidP="001509A0">
            <w:pPr>
              <w:jc w:val="both"/>
              <w:rPr>
                <w:rFonts w:cs="Times New Roman"/>
                <w:b/>
                <w:sz w:val="20"/>
                <w:szCs w:val="20"/>
              </w:rPr>
            </w:pPr>
            <w:r w:rsidRPr="00F7263B">
              <w:rPr>
                <w:rFonts w:cs="Times New Roman"/>
                <w:sz w:val="20"/>
                <w:szCs w:val="20"/>
              </w:rPr>
              <w:t>APA</w:t>
            </w:r>
          </w:p>
        </w:tc>
        <w:tc>
          <w:tcPr>
            <w:tcW w:w="1529" w:type="dxa"/>
          </w:tcPr>
          <w:p w:rsidR="00EE7DBD" w:rsidRPr="00F7263B" w:rsidRDefault="00EE7DBD" w:rsidP="001509A0">
            <w:pPr>
              <w:jc w:val="both"/>
              <w:rPr>
                <w:rFonts w:cs="Times New Roman"/>
                <w:sz w:val="20"/>
                <w:szCs w:val="20"/>
              </w:rPr>
            </w:pPr>
            <w:r w:rsidRPr="00F7263B">
              <w:rPr>
                <w:rFonts w:cs="Times New Roman"/>
                <w:sz w:val="20"/>
                <w:szCs w:val="20"/>
              </w:rPr>
              <w:t>Same as above.</w:t>
            </w:r>
          </w:p>
        </w:tc>
      </w:tr>
      <w:tr w:rsidR="00EE7DBD" w:rsidRPr="00F7263B" w:rsidTr="00254260">
        <w:tc>
          <w:tcPr>
            <w:tcW w:w="2467" w:type="dxa"/>
          </w:tcPr>
          <w:p w:rsidR="00EE7DBD" w:rsidRPr="00F7263B" w:rsidRDefault="00EE7DBD" w:rsidP="001509A0">
            <w:pPr>
              <w:pStyle w:val="ListParagraph"/>
              <w:tabs>
                <w:tab w:val="left" w:pos="267"/>
              </w:tabs>
              <w:ind w:left="0"/>
              <w:rPr>
                <w:rFonts w:cs="Times New Roman"/>
                <w:sz w:val="20"/>
                <w:szCs w:val="20"/>
              </w:rPr>
            </w:pPr>
            <w:r w:rsidRPr="00F7263B">
              <w:rPr>
                <w:rFonts w:cs="Times New Roman"/>
                <w:color w:val="000000"/>
                <w:sz w:val="20"/>
                <w:szCs w:val="20"/>
              </w:rPr>
              <w:lastRenderedPageBreak/>
              <w:t>6.</w:t>
            </w:r>
            <w:r w:rsidRPr="00F7263B">
              <w:rPr>
                <w:rFonts w:cs="Times New Roman"/>
                <w:color w:val="000000"/>
                <w:sz w:val="20"/>
                <w:szCs w:val="20"/>
              </w:rPr>
              <w:tab/>
              <w:t xml:space="preserve">New controlled or sanitary landfills supported under the project </w:t>
            </w:r>
            <w:r w:rsidRPr="00F7263B">
              <w:rPr>
                <w:sz w:val="20"/>
                <w:szCs w:val="20"/>
              </w:rPr>
              <w:t>under</w:t>
            </w:r>
            <w:r w:rsidRPr="00F7263B">
              <w:rPr>
                <w:rFonts w:cs="Times New Roman"/>
                <w:color w:val="000000"/>
                <w:sz w:val="20"/>
                <w:szCs w:val="20"/>
              </w:rPr>
              <w:t xml:space="preserve"> the ULGDP II</w:t>
            </w:r>
          </w:p>
        </w:tc>
        <w:tc>
          <w:tcPr>
            <w:tcW w:w="399" w:type="dxa"/>
          </w:tcPr>
          <w:p w:rsidR="00EE7DBD" w:rsidRPr="00F7263B" w:rsidRDefault="00EE7DBD" w:rsidP="001509A0">
            <w:pPr>
              <w:jc w:val="both"/>
              <w:rPr>
                <w:rFonts w:cs="Times New Roman"/>
                <w:noProof/>
                <w:sz w:val="20"/>
                <w:szCs w:val="20"/>
                <w:highlight w:val="yellow"/>
              </w:rPr>
            </w:pPr>
          </w:p>
        </w:tc>
        <w:tc>
          <w:tcPr>
            <w:tcW w:w="403" w:type="dxa"/>
          </w:tcPr>
          <w:p w:rsidR="00EE7DBD" w:rsidRPr="00F7263B" w:rsidRDefault="00EE7DBD" w:rsidP="001509A0">
            <w:pPr>
              <w:jc w:val="both"/>
              <w:rPr>
                <w:rFonts w:cs="Times New Roman"/>
                <w:sz w:val="20"/>
                <w:szCs w:val="20"/>
              </w:rPr>
            </w:pPr>
            <w:r w:rsidRPr="00F7263B">
              <w:rPr>
                <w:rFonts w:cs="Times New Roman"/>
                <w:sz w:val="20"/>
                <w:szCs w:val="20"/>
              </w:rPr>
              <w:t>3</w:t>
            </w:r>
          </w:p>
        </w:tc>
        <w:tc>
          <w:tcPr>
            <w:tcW w:w="866" w:type="dxa"/>
          </w:tcPr>
          <w:p w:rsidR="00EE7DBD" w:rsidRPr="00F7263B" w:rsidRDefault="00EE7DBD" w:rsidP="001509A0">
            <w:pPr>
              <w:jc w:val="both"/>
              <w:rPr>
                <w:rFonts w:cs="Times New Roman"/>
                <w:sz w:val="20"/>
                <w:szCs w:val="20"/>
              </w:rPr>
            </w:pPr>
            <w:r w:rsidRPr="00F7263B">
              <w:rPr>
                <w:rFonts w:cs="Times New Roman"/>
                <w:sz w:val="20"/>
                <w:szCs w:val="20"/>
              </w:rPr>
              <w:t>Number</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114" w:type="dxa"/>
            <w:gridSpan w:val="3"/>
          </w:tcPr>
          <w:p w:rsidR="00EE7DBD" w:rsidRPr="00F7263B" w:rsidRDefault="00EE7DBD" w:rsidP="001509A0">
            <w:pPr>
              <w:jc w:val="center"/>
              <w:rPr>
                <w:rFonts w:cs="Times New Roman"/>
                <w:sz w:val="20"/>
                <w:szCs w:val="20"/>
              </w:rPr>
            </w:pPr>
            <w:r w:rsidRPr="00F7263B">
              <w:rPr>
                <w:rFonts w:cs="Times New Roman"/>
                <w:sz w:val="20"/>
                <w:szCs w:val="20"/>
              </w:rPr>
              <w:t>0</w:t>
            </w:r>
          </w:p>
        </w:tc>
        <w:tc>
          <w:tcPr>
            <w:tcW w:w="917" w:type="dxa"/>
          </w:tcPr>
          <w:p w:rsidR="00EE7DBD" w:rsidRPr="00F7263B" w:rsidRDefault="00EE7DBD" w:rsidP="001509A0">
            <w:pPr>
              <w:jc w:val="center"/>
              <w:rPr>
                <w:rFonts w:cs="Times New Roman"/>
                <w:sz w:val="20"/>
                <w:szCs w:val="20"/>
              </w:rPr>
            </w:pPr>
            <w:r w:rsidRPr="00F7263B">
              <w:rPr>
                <w:rFonts w:cs="Times New Roman"/>
                <w:sz w:val="20"/>
                <w:szCs w:val="20"/>
              </w:rPr>
              <w:t>2</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5</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9</w:t>
            </w:r>
          </w:p>
        </w:tc>
        <w:tc>
          <w:tcPr>
            <w:tcW w:w="1016" w:type="dxa"/>
          </w:tcPr>
          <w:p w:rsidR="00EE7DBD" w:rsidRPr="00F7263B" w:rsidRDefault="00EE7DBD" w:rsidP="001509A0">
            <w:pPr>
              <w:jc w:val="center"/>
              <w:rPr>
                <w:rFonts w:cs="Times New Roman"/>
                <w:sz w:val="20"/>
                <w:szCs w:val="20"/>
              </w:rPr>
            </w:pPr>
            <w:r w:rsidRPr="00F7263B">
              <w:rPr>
                <w:rFonts w:cs="Times New Roman"/>
                <w:sz w:val="20"/>
                <w:szCs w:val="20"/>
              </w:rPr>
              <w:t>13</w:t>
            </w:r>
          </w:p>
        </w:tc>
        <w:tc>
          <w:tcPr>
            <w:tcW w:w="1080" w:type="dxa"/>
            <w:gridSpan w:val="2"/>
          </w:tcPr>
          <w:p w:rsidR="00EE7DBD" w:rsidRPr="00F7263B" w:rsidRDefault="00EE7DBD" w:rsidP="001509A0">
            <w:pPr>
              <w:jc w:val="both"/>
              <w:rPr>
                <w:rFonts w:cs="Times New Roman"/>
                <w:sz w:val="20"/>
                <w:szCs w:val="20"/>
              </w:rPr>
            </w:pPr>
            <w:r w:rsidRPr="00F7263B">
              <w:rPr>
                <w:rFonts w:cs="Times New Roman"/>
                <w:sz w:val="20"/>
                <w:szCs w:val="20"/>
              </w:rPr>
              <w:t>Annually</w:t>
            </w:r>
          </w:p>
        </w:tc>
        <w:tc>
          <w:tcPr>
            <w:tcW w:w="1261" w:type="dxa"/>
          </w:tcPr>
          <w:p w:rsidR="00EE7DBD" w:rsidRPr="00F7263B" w:rsidRDefault="00EE7DBD" w:rsidP="001509A0">
            <w:pPr>
              <w:jc w:val="both"/>
              <w:rPr>
                <w:rFonts w:cs="Times New Roman"/>
                <w:b/>
                <w:sz w:val="20"/>
                <w:szCs w:val="20"/>
              </w:rPr>
            </w:pPr>
            <w:r w:rsidRPr="00F7263B">
              <w:rPr>
                <w:rFonts w:cs="Times New Roman"/>
                <w:sz w:val="20"/>
                <w:szCs w:val="20"/>
              </w:rPr>
              <w:t>APA</w:t>
            </w:r>
          </w:p>
        </w:tc>
        <w:tc>
          <w:tcPr>
            <w:tcW w:w="1529" w:type="dxa"/>
          </w:tcPr>
          <w:p w:rsidR="00EE7DBD" w:rsidRPr="00F7263B" w:rsidRDefault="00EE7DBD" w:rsidP="001509A0">
            <w:pPr>
              <w:jc w:val="both"/>
              <w:rPr>
                <w:rFonts w:cs="Times New Roman"/>
                <w:sz w:val="20"/>
                <w:szCs w:val="20"/>
              </w:rPr>
            </w:pPr>
            <w:r w:rsidRPr="00F7263B">
              <w:rPr>
                <w:rFonts w:cs="Times New Roman"/>
                <w:sz w:val="20"/>
                <w:szCs w:val="20"/>
              </w:rPr>
              <w:t>Same as above.</w:t>
            </w:r>
          </w:p>
        </w:tc>
      </w:tr>
      <w:tr w:rsidR="00EE7DBD" w:rsidRPr="00F7263B" w:rsidTr="00254260">
        <w:trPr>
          <w:trHeight w:val="332"/>
        </w:trPr>
        <w:tc>
          <w:tcPr>
            <w:tcW w:w="2467" w:type="dxa"/>
          </w:tcPr>
          <w:p w:rsidR="00EE7DBD" w:rsidRPr="00F7263B" w:rsidRDefault="00EE7DBD" w:rsidP="001509A0">
            <w:pPr>
              <w:pStyle w:val="ListParagraph"/>
              <w:tabs>
                <w:tab w:val="left" w:pos="267"/>
              </w:tabs>
              <w:ind w:left="0"/>
              <w:rPr>
                <w:rFonts w:cs="Times New Roman"/>
                <w:color w:val="000000"/>
                <w:sz w:val="20"/>
                <w:szCs w:val="20"/>
              </w:rPr>
            </w:pPr>
            <w:r w:rsidRPr="00F7263B">
              <w:rPr>
                <w:rFonts w:cs="Times New Roman"/>
                <w:color w:val="000000"/>
                <w:sz w:val="20"/>
                <w:szCs w:val="20"/>
              </w:rPr>
              <w:t>7.</w:t>
            </w:r>
            <w:r w:rsidRPr="00F7263B">
              <w:rPr>
                <w:rFonts w:cs="Times New Roman"/>
                <w:color w:val="000000"/>
                <w:sz w:val="20"/>
                <w:szCs w:val="20"/>
              </w:rPr>
              <w:tab/>
              <w:t>Public parks and greenery under the ULGDP II</w:t>
            </w:r>
          </w:p>
        </w:tc>
        <w:tc>
          <w:tcPr>
            <w:tcW w:w="399" w:type="dxa"/>
          </w:tcPr>
          <w:p w:rsidR="00EE7DBD" w:rsidRPr="00F7263B" w:rsidRDefault="00EE7DBD" w:rsidP="001509A0">
            <w:pPr>
              <w:jc w:val="both"/>
              <w:rPr>
                <w:rFonts w:cs="Times New Roman"/>
                <w:noProof/>
                <w:sz w:val="20"/>
                <w:szCs w:val="20"/>
              </w:rPr>
            </w:pPr>
          </w:p>
        </w:tc>
        <w:tc>
          <w:tcPr>
            <w:tcW w:w="403" w:type="dxa"/>
          </w:tcPr>
          <w:p w:rsidR="00EE7DBD" w:rsidRPr="00F7263B" w:rsidRDefault="00EE7DBD" w:rsidP="001509A0">
            <w:pPr>
              <w:jc w:val="both"/>
              <w:rPr>
                <w:rFonts w:cs="Times New Roman"/>
                <w:sz w:val="20"/>
                <w:szCs w:val="20"/>
              </w:rPr>
            </w:pPr>
            <w:r w:rsidRPr="00F7263B">
              <w:rPr>
                <w:rFonts w:cs="Times New Roman"/>
                <w:sz w:val="20"/>
                <w:szCs w:val="20"/>
              </w:rPr>
              <w:t>3</w:t>
            </w:r>
          </w:p>
        </w:tc>
        <w:tc>
          <w:tcPr>
            <w:tcW w:w="866" w:type="dxa"/>
          </w:tcPr>
          <w:p w:rsidR="00EE7DBD" w:rsidRPr="00F7263B" w:rsidRDefault="00EE7DBD" w:rsidP="001509A0">
            <w:pPr>
              <w:jc w:val="both"/>
              <w:rPr>
                <w:rFonts w:cs="Times New Roman"/>
                <w:sz w:val="20"/>
                <w:szCs w:val="20"/>
              </w:rPr>
            </w:pPr>
            <w:r w:rsidRPr="00F7263B">
              <w:rPr>
                <w:rFonts w:cs="Times New Roman"/>
                <w:sz w:val="20"/>
                <w:szCs w:val="20"/>
              </w:rPr>
              <w:t>Hectares</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114" w:type="dxa"/>
            <w:gridSpan w:val="3"/>
          </w:tcPr>
          <w:p w:rsidR="00EE7DBD" w:rsidRPr="00F7263B" w:rsidRDefault="00EE7DBD" w:rsidP="001509A0">
            <w:pPr>
              <w:jc w:val="center"/>
              <w:rPr>
                <w:rFonts w:cs="Times New Roman"/>
                <w:sz w:val="20"/>
                <w:szCs w:val="20"/>
              </w:rPr>
            </w:pPr>
            <w:r w:rsidRPr="00F7263B">
              <w:rPr>
                <w:rFonts w:cs="Times New Roman"/>
                <w:sz w:val="20"/>
                <w:szCs w:val="20"/>
              </w:rPr>
              <w:t>5</w:t>
            </w:r>
          </w:p>
        </w:tc>
        <w:tc>
          <w:tcPr>
            <w:tcW w:w="917" w:type="dxa"/>
          </w:tcPr>
          <w:p w:rsidR="00EE7DBD" w:rsidRPr="00F7263B" w:rsidRDefault="00EE7DBD" w:rsidP="001509A0">
            <w:pPr>
              <w:jc w:val="center"/>
              <w:rPr>
                <w:rFonts w:cs="Times New Roman"/>
                <w:sz w:val="20"/>
                <w:szCs w:val="20"/>
              </w:rPr>
            </w:pPr>
            <w:r w:rsidRPr="00F7263B">
              <w:rPr>
                <w:rFonts w:cs="Times New Roman"/>
                <w:sz w:val="20"/>
                <w:szCs w:val="20"/>
              </w:rPr>
              <w:t>15</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25</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40</w:t>
            </w:r>
          </w:p>
        </w:tc>
        <w:tc>
          <w:tcPr>
            <w:tcW w:w="1016" w:type="dxa"/>
          </w:tcPr>
          <w:p w:rsidR="00EE7DBD" w:rsidRPr="00F7263B" w:rsidRDefault="00EE7DBD" w:rsidP="001509A0">
            <w:pPr>
              <w:jc w:val="center"/>
              <w:rPr>
                <w:rFonts w:cs="Times New Roman"/>
                <w:sz w:val="20"/>
                <w:szCs w:val="20"/>
              </w:rPr>
            </w:pPr>
            <w:r w:rsidRPr="00F7263B">
              <w:rPr>
                <w:rFonts w:cs="Times New Roman"/>
                <w:sz w:val="20"/>
                <w:szCs w:val="20"/>
              </w:rPr>
              <w:t>55</w:t>
            </w:r>
          </w:p>
        </w:tc>
        <w:tc>
          <w:tcPr>
            <w:tcW w:w="1080" w:type="dxa"/>
            <w:gridSpan w:val="2"/>
          </w:tcPr>
          <w:p w:rsidR="00EE7DBD" w:rsidRPr="00F7263B" w:rsidRDefault="00EE7DBD" w:rsidP="001509A0">
            <w:pPr>
              <w:jc w:val="both"/>
              <w:rPr>
                <w:rFonts w:cs="Times New Roman"/>
                <w:sz w:val="20"/>
                <w:szCs w:val="20"/>
              </w:rPr>
            </w:pPr>
            <w:r w:rsidRPr="00F7263B">
              <w:rPr>
                <w:rFonts w:cs="Times New Roman"/>
                <w:sz w:val="20"/>
                <w:szCs w:val="20"/>
              </w:rPr>
              <w:t>Annually</w:t>
            </w:r>
          </w:p>
        </w:tc>
        <w:tc>
          <w:tcPr>
            <w:tcW w:w="1261" w:type="dxa"/>
          </w:tcPr>
          <w:p w:rsidR="00EE7DBD" w:rsidRPr="00F7263B" w:rsidRDefault="00EE7DBD" w:rsidP="001509A0">
            <w:pPr>
              <w:jc w:val="both"/>
              <w:rPr>
                <w:rFonts w:cs="Times New Roman"/>
                <w:b/>
                <w:sz w:val="20"/>
                <w:szCs w:val="20"/>
              </w:rPr>
            </w:pPr>
            <w:r w:rsidRPr="00F7263B">
              <w:rPr>
                <w:rFonts w:cs="Times New Roman"/>
                <w:sz w:val="20"/>
                <w:szCs w:val="20"/>
              </w:rPr>
              <w:t>APA</w:t>
            </w:r>
          </w:p>
        </w:tc>
        <w:tc>
          <w:tcPr>
            <w:tcW w:w="1529" w:type="dxa"/>
          </w:tcPr>
          <w:p w:rsidR="00EE7DBD" w:rsidRPr="00F7263B" w:rsidRDefault="00EE7DBD" w:rsidP="001509A0">
            <w:pPr>
              <w:jc w:val="both"/>
              <w:rPr>
                <w:rFonts w:cs="Times New Roman"/>
                <w:sz w:val="20"/>
                <w:szCs w:val="20"/>
              </w:rPr>
            </w:pPr>
            <w:r w:rsidRPr="00F7263B">
              <w:rPr>
                <w:rFonts w:cs="Times New Roman"/>
                <w:sz w:val="20"/>
                <w:szCs w:val="20"/>
              </w:rPr>
              <w:t>Same as above.</w:t>
            </w:r>
          </w:p>
        </w:tc>
      </w:tr>
      <w:tr w:rsidR="00EE7DBD" w:rsidRPr="00F7263B" w:rsidTr="00254260">
        <w:tc>
          <w:tcPr>
            <w:tcW w:w="2467" w:type="dxa"/>
          </w:tcPr>
          <w:p w:rsidR="00EE7DBD" w:rsidRPr="00F7263B" w:rsidRDefault="00EE7DBD" w:rsidP="001509A0">
            <w:pPr>
              <w:pStyle w:val="ListParagraph"/>
              <w:tabs>
                <w:tab w:val="left" w:pos="267"/>
              </w:tabs>
              <w:ind w:left="0"/>
              <w:rPr>
                <w:rFonts w:cs="Times New Roman"/>
                <w:b/>
                <w:sz w:val="20"/>
                <w:szCs w:val="20"/>
              </w:rPr>
            </w:pPr>
            <w:r w:rsidRPr="00F7263B">
              <w:rPr>
                <w:rFonts w:cs="Times New Roman"/>
                <w:sz w:val="20"/>
                <w:szCs w:val="20"/>
              </w:rPr>
              <w:t xml:space="preserve">8. </w:t>
            </w:r>
            <w:r w:rsidRPr="00F7263B">
              <w:rPr>
                <w:rFonts w:cs="Times New Roman"/>
                <w:sz w:val="20"/>
                <w:szCs w:val="20"/>
              </w:rPr>
              <w:tab/>
              <w:t xml:space="preserve">ULGs that execute at least </w:t>
            </w:r>
            <w:r w:rsidRPr="00F7263B">
              <w:rPr>
                <w:rFonts w:cs="Times New Roman"/>
                <w:color w:val="000000"/>
                <w:sz w:val="20"/>
                <w:szCs w:val="20"/>
              </w:rPr>
              <w:t>80</w:t>
            </w:r>
            <w:r w:rsidRPr="00F7263B">
              <w:rPr>
                <w:rFonts w:cs="Times New Roman"/>
                <w:sz w:val="20"/>
                <w:szCs w:val="20"/>
              </w:rPr>
              <w:t xml:space="preserve"> percent of </w:t>
            </w:r>
            <w:r w:rsidRPr="00F7263B">
              <w:rPr>
                <w:sz w:val="20"/>
                <w:szCs w:val="20"/>
              </w:rPr>
              <w:t>their</w:t>
            </w:r>
            <w:r w:rsidRPr="00F7263B">
              <w:rPr>
                <w:rFonts w:cs="Times New Roman"/>
                <w:sz w:val="20"/>
                <w:szCs w:val="20"/>
              </w:rPr>
              <w:t xml:space="preserve"> O&amp;M budget under the ULGDP II.</w:t>
            </w:r>
          </w:p>
        </w:tc>
        <w:tc>
          <w:tcPr>
            <w:tcW w:w="399" w:type="dxa"/>
          </w:tcPr>
          <w:p w:rsidR="00EE7DBD" w:rsidRPr="00F7263B" w:rsidRDefault="00E505C8" w:rsidP="001509A0">
            <w:pPr>
              <w:rPr>
                <w:rFonts w:cs="Times New Roman"/>
                <w:b/>
                <w:sz w:val="20"/>
                <w:szCs w:val="20"/>
              </w:rPr>
            </w:pPr>
            <w:r>
              <w:rPr>
                <w:rFonts w:cs="Times New Roman"/>
                <w:noProof/>
                <w:sz w:val="20"/>
                <w:szCs w:val="20"/>
              </w:rPr>
              <mc:AlternateContent>
                <mc:Choice Requires="wps">
                  <w:drawing>
                    <wp:anchor distT="0" distB="0" distL="114300" distR="114300" simplePos="0" relativeHeight="251719680" behindDoc="0" locked="0" layoutInCell="1" allowOverlap="1">
                      <wp:simplePos x="0" y="0"/>
                      <wp:positionH relativeFrom="column">
                        <wp:posOffset>7620</wp:posOffset>
                      </wp:positionH>
                      <wp:positionV relativeFrom="paragraph">
                        <wp:posOffset>74295</wp:posOffset>
                      </wp:positionV>
                      <wp:extent cx="94615" cy="94615"/>
                      <wp:effectExtent l="0" t="0" r="19685" b="1968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5.85pt;width:7.45pt;height: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q3iGwIAADkEAAAOAAAAZHJzL2Uyb0RvYy54bWysU1GP0zAMfkfiP0R5Z12n7bhV606nHUNI&#10;B3fi4Ad4abpGpHFwsnXHr8dNt7EDnhB9iOLa+fz5s724ObRW7DUFg66U+WgshXYKK+O2pfz6Zf3m&#10;WooQwVVg0elSPusgb5avXy06X+gJNmgrTYJBXCg6X8omRl9kWVCNbiGM0GvHzhqphcgmbbOKoGP0&#10;1maT8fgq65AqT6h0CPz3bnDKZcKva63iQ10HHYUtJXOL6aR0bvozWy6g2BL4xqgjDfgHFi0Yx0nP&#10;UHcQQezI/AHVGkUYsI4jhW2GdW2UTjVwNfn4t2qeGvA61cLiBH+WKfw/WPVp/0jCVKWcS+Gg5RZ9&#10;ZtHAba0WeS9P50PBUU/+kfoCg79H9S0Ih6uGo/QtEXaNhopJpfjsxYPeCPxUbLqPWDE67CImpQ41&#10;tT0gayAOqSHP54boQxSKf86nV/lMCsWe4cp8MihOTz2F+F5jK/pLKYmJJ2jY34c4hJ5CEnW0plob&#10;a5NB283KktgDT8Y6fX21jB4uw6wTHSefTWYJ+YUvXEKM0/c3iNZEHnFr2lJen4Og6DV75yrOCUUE&#10;Y4c757eOaZx0G/TfYPXMGhIO88v7xpcG6YcUHc9uKcP3HZCWwn5w3Id5Pp32w56M6ezthA269Gwu&#10;PeAUQ5UySjFcV3FYkJ0ns204U55qd3jLvatNUrbnN7A6kuX5TOodd6lfgEs7Rf3a+OVPAAAA//8D&#10;AFBLAwQUAAYACAAAACEAcKM599oAAAAGAQAADwAAAGRycy9kb3ducmV2LnhtbEyOQU+DQBSE7yb+&#10;h80z8WYXMEGlLI3R1MRjSy/eHvAKKPuWsEuL/npfT3qaTGYy8+WbxQ7qRJPvHRuIVxEo4to1PbcG&#10;DuX27hGUD8gNDo7JwDd52BTXVzlmjTvzjk770CoZYZ+hgS6EMdPa1x1Z9Cs3Ekt2dJPFIHZqdTPh&#10;WcbtoJMoSrXFnuWhw5FeOqq/9rM1UPXJAX925Vtkn7b34X0pP+ePV2Nub5bnNahAS/grwwVf0KEQ&#10;psrN3Hg1iE+kKBI/gLrEaQyqMpCkKegi1//xi18AAAD//wMAUEsBAi0AFAAGAAgAAAAhALaDOJL+&#10;AAAA4QEAABMAAAAAAAAAAAAAAAAAAAAAAFtDb250ZW50X1R5cGVzXS54bWxQSwECLQAUAAYACAAA&#10;ACEAOP0h/9YAAACUAQAACwAAAAAAAAAAAAAAAAAvAQAAX3JlbHMvLnJlbHNQSwECLQAUAAYACAAA&#10;ACEATi6t4hsCAAA5BAAADgAAAAAAAAAAAAAAAAAuAgAAZHJzL2Uyb0RvYy54bWxQSwECLQAUAAYA&#10;CAAAACEAcKM599oAAAAGAQAADwAAAAAAAAAAAAAAAAB1BAAAZHJzL2Rvd25yZXYueG1sUEsFBgAA&#10;AAAEAAQA8wAAAHwFAAAAAA==&#10;"/>
                  </w:pict>
                </mc:Fallback>
              </mc:AlternateContent>
            </w:r>
          </w:p>
        </w:tc>
        <w:tc>
          <w:tcPr>
            <w:tcW w:w="403" w:type="dxa"/>
          </w:tcPr>
          <w:p w:rsidR="00EE7DBD" w:rsidRPr="00F7263B" w:rsidRDefault="00EE7DBD" w:rsidP="001509A0">
            <w:pPr>
              <w:rPr>
                <w:rFonts w:cs="Times New Roman"/>
                <w:sz w:val="20"/>
                <w:szCs w:val="20"/>
              </w:rPr>
            </w:pPr>
            <w:r w:rsidRPr="00F7263B">
              <w:rPr>
                <w:rFonts w:cs="Times New Roman"/>
                <w:sz w:val="20"/>
                <w:szCs w:val="20"/>
              </w:rPr>
              <w:t>3</w:t>
            </w:r>
          </w:p>
        </w:tc>
        <w:tc>
          <w:tcPr>
            <w:tcW w:w="866" w:type="dxa"/>
          </w:tcPr>
          <w:p w:rsidR="00EE7DBD" w:rsidRPr="00F7263B" w:rsidRDefault="00EE7DBD" w:rsidP="001509A0">
            <w:pPr>
              <w:rPr>
                <w:rFonts w:cs="Times New Roman"/>
                <w:sz w:val="20"/>
                <w:szCs w:val="20"/>
              </w:rPr>
            </w:pPr>
            <w:r w:rsidRPr="00F7263B">
              <w:rPr>
                <w:rFonts w:cs="Times New Roman"/>
                <w:sz w:val="20"/>
                <w:szCs w:val="20"/>
              </w:rPr>
              <w:t xml:space="preserve">Number </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114" w:type="dxa"/>
            <w:gridSpan w:val="3"/>
          </w:tcPr>
          <w:p w:rsidR="00EE7DBD" w:rsidRPr="00F7263B" w:rsidRDefault="00EE7DBD" w:rsidP="001509A0">
            <w:pPr>
              <w:jc w:val="center"/>
              <w:rPr>
                <w:rFonts w:cs="Times New Roman"/>
                <w:sz w:val="20"/>
                <w:szCs w:val="20"/>
              </w:rPr>
            </w:pPr>
            <w:r w:rsidRPr="00F7263B">
              <w:rPr>
                <w:rFonts w:cs="Times New Roman"/>
                <w:sz w:val="20"/>
                <w:szCs w:val="20"/>
              </w:rPr>
              <w:t>9</w:t>
            </w:r>
          </w:p>
        </w:tc>
        <w:tc>
          <w:tcPr>
            <w:tcW w:w="917" w:type="dxa"/>
          </w:tcPr>
          <w:p w:rsidR="00EE7DBD" w:rsidRPr="00F7263B" w:rsidRDefault="00EE7DBD" w:rsidP="001509A0">
            <w:pPr>
              <w:jc w:val="center"/>
              <w:rPr>
                <w:rFonts w:cs="Times New Roman"/>
                <w:sz w:val="20"/>
                <w:szCs w:val="20"/>
              </w:rPr>
            </w:pPr>
            <w:r w:rsidRPr="00F7263B">
              <w:rPr>
                <w:rFonts w:cs="Times New Roman"/>
                <w:sz w:val="20"/>
                <w:szCs w:val="20"/>
              </w:rPr>
              <w:t>22</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30</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35</w:t>
            </w:r>
          </w:p>
        </w:tc>
        <w:tc>
          <w:tcPr>
            <w:tcW w:w="1016" w:type="dxa"/>
          </w:tcPr>
          <w:p w:rsidR="00EE7DBD" w:rsidRPr="00F7263B" w:rsidRDefault="00EE7DBD" w:rsidP="001509A0">
            <w:pPr>
              <w:jc w:val="center"/>
              <w:rPr>
                <w:rFonts w:cs="Times New Roman"/>
                <w:sz w:val="20"/>
                <w:szCs w:val="20"/>
              </w:rPr>
            </w:pPr>
            <w:r w:rsidRPr="00F7263B">
              <w:rPr>
                <w:rFonts w:cs="Times New Roman"/>
                <w:sz w:val="20"/>
                <w:szCs w:val="20"/>
              </w:rPr>
              <w:t>40</w:t>
            </w:r>
          </w:p>
        </w:tc>
        <w:tc>
          <w:tcPr>
            <w:tcW w:w="1080" w:type="dxa"/>
            <w:gridSpan w:val="2"/>
          </w:tcPr>
          <w:p w:rsidR="00EE7DBD" w:rsidRPr="00F7263B" w:rsidRDefault="00EE7DBD" w:rsidP="001509A0">
            <w:pPr>
              <w:rPr>
                <w:rFonts w:cs="Times New Roman"/>
                <w:b/>
                <w:sz w:val="20"/>
                <w:szCs w:val="20"/>
              </w:rPr>
            </w:pPr>
            <w:r w:rsidRPr="00F7263B">
              <w:rPr>
                <w:rFonts w:cs="Times New Roman"/>
                <w:sz w:val="20"/>
                <w:szCs w:val="20"/>
              </w:rPr>
              <w:t>Annually</w:t>
            </w:r>
          </w:p>
        </w:tc>
        <w:tc>
          <w:tcPr>
            <w:tcW w:w="1261" w:type="dxa"/>
          </w:tcPr>
          <w:p w:rsidR="00EE7DBD" w:rsidRPr="00F7263B" w:rsidRDefault="00EE7DBD" w:rsidP="001509A0">
            <w:pPr>
              <w:rPr>
                <w:rFonts w:cs="Times New Roman"/>
                <w:sz w:val="20"/>
                <w:szCs w:val="20"/>
              </w:rPr>
            </w:pPr>
            <w:r w:rsidRPr="00F7263B">
              <w:rPr>
                <w:rFonts w:cs="Times New Roman"/>
                <w:sz w:val="20"/>
                <w:szCs w:val="20"/>
              </w:rPr>
              <w:t>APA</w:t>
            </w:r>
          </w:p>
        </w:tc>
        <w:tc>
          <w:tcPr>
            <w:tcW w:w="1529" w:type="dxa"/>
          </w:tcPr>
          <w:p w:rsidR="00EE7DBD" w:rsidRPr="00F7263B" w:rsidRDefault="00EE7DBD" w:rsidP="001509A0">
            <w:pPr>
              <w:rPr>
                <w:rFonts w:cs="Times New Roman"/>
                <w:sz w:val="20"/>
                <w:szCs w:val="20"/>
              </w:rPr>
            </w:pPr>
            <w:r w:rsidRPr="00F7263B">
              <w:rPr>
                <w:rFonts w:cs="Times New Roman"/>
                <w:sz w:val="20"/>
                <w:szCs w:val="20"/>
              </w:rPr>
              <w:t>Same as above.</w:t>
            </w:r>
          </w:p>
        </w:tc>
      </w:tr>
      <w:tr w:rsidR="00EE7DBD" w:rsidRPr="00F7263B" w:rsidTr="001509A0">
        <w:trPr>
          <w:trHeight w:val="368"/>
        </w:trPr>
        <w:tc>
          <w:tcPr>
            <w:tcW w:w="13860" w:type="dxa"/>
            <w:gridSpan w:val="16"/>
            <w:shd w:val="clear" w:color="auto" w:fill="F2F2F2" w:themeFill="background1" w:themeFillShade="F2"/>
            <w:vAlign w:val="center"/>
          </w:tcPr>
          <w:p w:rsidR="00EE7DBD" w:rsidRPr="00F7263B" w:rsidRDefault="00EE7DBD" w:rsidP="001509A0">
            <w:pPr>
              <w:jc w:val="both"/>
              <w:rPr>
                <w:rFonts w:cs="Times New Roman"/>
                <w:b/>
                <w:sz w:val="20"/>
                <w:szCs w:val="20"/>
              </w:rPr>
            </w:pPr>
            <w:r w:rsidRPr="00F7263B">
              <w:rPr>
                <w:rFonts w:cs="Times New Roman"/>
                <w:b/>
                <w:sz w:val="20"/>
                <w:szCs w:val="20"/>
              </w:rPr>
              <w:t>Intermediate Results Area 3: Capacity Building</w:t>
            </w:r>
          </w:p>
        </w:tc>
      </w:tr>
      <w:tr w:rsidR="00EE7DBD" w:rsidRPr="00F7263B" w:rsidTr="001509A0">
        <w:tc>
          <w:tcPr>
            <w:tcW w:w="2467" w:type="dxa"/>
          </w:tcPr>
          <w:p w:rsidR="00EE7DBD" w:rsidRPr="00F7263B" w:rsidRDefault="00EE7DBD" w:rsidP="001509A0">
            <w:pPr>
              <w:tabs>
                <w:tab w:val="left" w:pos="252"/>
              </w:tabs>
              <w:rPr>
                <w:rFonts w:cs="Times New Roman"/>
                <w:b/>
                <w:sz w:val="20"/>
                <w:szCs w:val="20"/>
              </w:rPr>
            </w:pPr>
            <w:r w:rsidRPr="00F7263B">
              <w:rPr>
                <w:rFonts w:cs="Times New Roman"/>
                <w:sz w:val="20"/>
                <w:szCs w:val="20"/>
              </w:rPr>
              <w:t xml:space="preserve">1. </w:t>
            </w:r>
            <w:r w:rsidRPr="00F7263B">
              <w:rPr>
                <w:rFonts w:cs="Times New Roman"/>
                <w:sz w:val="20"/>
                <w:szCs w:val="20"/>
              </w:rPr>
              <w:tab/>
              <w:t>ULGs that implement at least 80% of the budget presented in the annual capacity building plans.</w:t>
            </w:r>
          </w:p>
        </w:tc>
        <w:tc>
          <w:tcPr>
            <w:tcW w:w="399" w:type="dxa"/>
          </w:tcPr>
          <w:p w:rsidR="00EE7DBD" w:rsidRPr="00F7263B" w:rsidRDefault="00E505C8" w:rsidP="001509A0">
            <w:pPr>
              <w:rPr>
                <w:rFonts w:cs="Times New Roman"/>
                <w:b/>
                <w:noProof/>
                <w:sz w:val="20"/>
                <w:szCs w:val="20"/>
              </w:rPr>
            </w:pPr>
            <w:r>
              <w:rPr>
                <w:rFonts w:cs="Times New Roman"/>
                <w:noProof/>
                <w:sz w:val="20"/>
                <w:szCs w:val="20"/>
              </w:rPr>
              <mc:AlternateContent>
                <mc:Choice Requires="wps">
                  <w:drawing>
                    <wp:anchor distT="0" distB="0" distL="114300" distR="114300" simplePos="0" relativeHeight="251720704" behindDoc="0" locked="0" layoutInCell="1" allowOverlap="1">
                      <wp:simplePos x="0" y="0"/>
                      <wp:positionH relativeFrom="column">
                        <wp:posOffset>15240</wp:posOffset>
                      </wp:positionH>
                      <wp:positionV relativeFrom="paragraph">
                        <wp:posOffset>61595</wp:posOffset>
                      </wp:positionV>
                      <wp:extent cx="94615" cy="94615"/>
                      <wp:effectExtent l="0" t="0" r="19685" b="1968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 cy="946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pt;margin-top:4.85pt;width:7.45pt;height:7.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NWEGwIAADoEAAAOAAAAZHJzL2Uyb0RvYy54bWysU9tu2zAMfR+wfxD0vjgOkq414hRFugwD&#10;urVYtw9gZNkWptsoJU739aPkNEu3PQ3zg0Ca1NHhIbm8PhjN9hKDcrbm5WTKmbTCNcp2Nf/6ZfPm&#10;krMQwTagnZU1f5KBX69ev1oOvpIz1zvdSGQEYkM1+Jr3MfqqKILopYEwcV5aCrYODURysSsahIHQ&#10;jS5m0+lFMThsPDohQ6C/t2OQrzJ+20oR79s2yMh0zYlbzCfmc5vOYrWEqkPwvRJHGvAPLAwoS4+e&#10;oG4hAtuh+gPKKIEuuDZOhDOFa1slZK6Bqimnv1Xz2IOXuRYSJ/iTTOH/wYpP+wdkqqHekTwWDPXo&#10;M6kGttOSzZM+gw8VpT36B0wVBn/nxLfArFv3lCVvEN3QS2iIVZnyixcXkhPoKtsOH11D6LCLLkt1&#10;aNEkQBKBHXJHnk4dkYfIBP28ml+UC84ERUYz4UP1fNVjiO+lMywZNUcinqFhfxfimPqckqk7rZqN&#10;0jo72G3XGtkeaDQ2+cvsqcLzNG3ZQI8vZouM/CIWziGm+fsbhFGRZlwrU/PLUxJUSbN3tiGaUEVQ&#10;erSpOm2PIibdRv23rnkiDdGNA0wLR0bv8AdnAw1vzcP3HaDkTH+w1Iercj5P056d+eLtjBw8j2zP&#10;I2AFQdU8cjaa6zhuyM6j6np6qcy1W3dDvWtVVjb1dWR1JEsDmntzXKa0Aed+zvq18qufAAAA//8D&#10;AFBLAwQUAAYACAAAACEATZ8nbdoAAAAFAQAADwAAAGRycy9kb3ducmV2LnhtbEyOzU6DQBSF9ya+&#10;w+SauLODtGktMjRG0yYuW7pxd2GugDJ3CDO0tE/vsKrL85NzvnQzmlacqHeNZQXPswgEcWl1w5WC&#10;Y759egHhPLLG1jIpuJCDTXZ/l2Ki7Zn3dDr4SoQRdgkqqL3vEildWZNBN7Mdcci+bW/QB9lXUvd4&#10;DuOmlXEULaXBhsNDjR2911T+HgajoGjiI173+S4y6+3cf475z/D1odTjw/j2CsLT6G9lmPADOmSB&#10;qbADaydaBfEiFBWsVyCmdDUHUUzuEmSWyv/02R8AAAD//wMAUEsBAi0AFAAGAAgAAAAhALaDOJL+&#10;AAAA4QEAABMAAAAAAAAAAAAAAAAAAAAAAFtDb250ZW50X1R5cGVzXS54bWxQSwECLQAUAAYACAAA&#10;ACEAOP0h/9YAAACUAQAACwAAAAAAAAAAAAAAAAAvAQAAX3JlbHMvLnJlbHNQSwECLQAUAAYACAAA&#10;ACEA++jVhBsCAAA6BAAADgAAAAAAAAAAAAAAAAAuAgAAZHJzL2Uyb0RvYy54bWxQSwECLQAUAAYA&#10;CAAAACEATZ8nbdoAAAAFAQAADwAAAAAAAAAAAAAAAAB1BAAAZHJzL2Rvd25yZXYueG1sUEsFBgAA&#10;AAAEAAQA8wAAAHwFAAAAAA==&#10;"/>
                  </w:pict>
                </mc:Fallback>
              </mc:AlternateContent>
            </w:r>
          </w:p>
        </w:tc>
        <w:tc>
          <w:tcPr>
            <w:tcW w:w="403" w:type="dxa"/>
          </w:tcPr>
          <w:p w:rsidR="00EE7DBD" w:rsidRPr="00F7263B" w:rsidRDefault="00EE7DBD" w:rsidP="001509A0">
            <w:pPr>
              <w:rPr>
                <w:rFonts w:cs="Times New Roman"/>
                <w:noProof/>
                <w:sz w:val="20"/>
                <w:szCs w:val="20"/>
              </w:rPr>
            </w:pPr>
          </w:p>
        </w:tc>
        <w:tc>
          <w:tcPr>
            <w:tcW w:w="866" w:type="dxa"/>
          </w:tcPr>
          <w:p w:rsidR="00EE7DBD" w:rsidRPr="00F7263B" w:rsidRDefault="00EE7DBD" w:rsidP="001509A0">
            <w:pPr>
              <w:rPr>
                <w:rFonts w:cs="Times New Roman"/>
                <w:sz w:val="20"/>
                <w:szCs w:val="20"/>
              </w:rPr>
            </w:pPr>
            <w:r w:rsidRPr="00F7263B">
              <w:rPr>
                <w:rFonts w:cs="Times New Roman"/>
                <w:sz w:val="20"/>
                <w:szCs w:val="20"/>
              </w:rPr>
              <w:t>Number</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019" w:type="dxa"/>
            <w:gridSpan w:val="2"/>
          </w:tcPr>
          <w:p w:rsidR="00EE7DBD" w:rsidRPr="00F7263B" w:rsidRDefault="00EE7DBD" w:rsidP="001509A0">
            <w:pPr>
              <w:jc w:val="center"/>
              <w:rPr>
                <w:rFonts w:cs="Times New Roman"/>
                <w:sz w:val="20"/>
                <w:szCs w:val="20"/>
              </w:rPr>
            </w:pPr>
            <w:r w:rsidRPr="00F7263B">
              <w:rPr>
                <w:rFonts w:cs="Times New Roman"/>
                <w:sz w:val="20"/>
                <w:szCs w:val="20"/>
              </w:rPr>
              <w:t>9</w:t>
            </w:r>
          </w:p>
        </w:tc>
        <w:tc>
          <w:tcPr>
            <w:tcW w:w="1012" w:type="dxa"/>
            <w:gridSpan w:val="2"/>
          </w:tcPr>
          <w:p w:rsidR="00EE7DBD" w:rsidRPr="00F7263B" w:rsidRDefault="00EE7DBD" w:rsidP="001509A0">
            <w:pPr>
              <w:jc w:val="center"/>
              <w:rPr>
                <w:rFonts w:cs="Times New Roman"/>
                <w:sz w:val="20"/>
                <w:szCs w:val="20"/>
              </w:rPr>
            </w:pPr>
            <w:r w:rsidRPr="00F7263B">
              <w:rPr>
                <w:rFonts w:cs="Times New Roman"/>
                <w:sz w:val="20"/>
                <w:szCs w:val="20"/>
              </w:rPr>
              <w:t>22</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30</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35</w:t>
            </w:r>
          </w:p>
        </w:tc>
        <w:tc>
          <w:tcPr>
            <w:tcW w:w="1016" w:type="dxa"/>
          </w:tcPr>
          <w:p w:rsidR="00EE7DBD" w:rsidRPr="00F7263B" w:rsidRDefault="00EE7DBD" w:rsidP="001509A0">
            <w:pPr>
              <w:jc w:val="center"/>
              <w:rPr>
                <w:rFonts w:cs="Times New Roman"/>
                <w:sz w:val="20"/>
                <w:szCs w:val="20"/>
              </w:rPr>
            </w:pPr>
            <w:r w:rsidRPr="00F7263B">
              <w:rPr>
                <w:rFonts w:cs="Times New Roman"/>
                <w:sz w:val="20"/>
                <w:szCs w:val="20"/>
              </w:rPr>
              <w:t>40</w:t>
            </w:r>
          </w:p>
        </w:tc>
        <w:tc>
          <w:tcPr>
            <w:tcW w:w="990" w:type="dxa"/>
          </w:tcPr>
          <w:p w:rsidR="00EE7DBD" w:rsidRPr="00F7263B" w:rsidRDefault="00EE7DBD" w:rsidP="001509A0">
            <w:pPr>
              <w:rPr>
                <w:rFonts w:cs="Times New Roman"/>
                <w:sz w:val="20"/>
                <w:szCs w:val="20"/>
              </w:rPr>
            </w:pPr>
            <w:r w:rsidRPr="00F7263B">
              <w:rPr>
                <w:rFonts w:cs="Times New Roman"/>
                <w:sz w:val="20"/>
                <w:szCs w:val="20"/>
              </w:rPr>
              <w:t>Annually</w:t>
            </w:r>
          </w:p>
        </w:tc>
        <w:tc>
          <w:tcPr>
            <w:tcW w:w="1351" w:type="dxa"/>
            <w:gridSpan w:val="2"/>
          </w:tcPr>
          <w:p w:rsidR="00EE7DBD" w:rsidRPr="00F7263B" w:rsidRDefault="00EE7DBD" w:rsidP="001509A0">
            <w:pPr>
              <w:rPr>
                <w:rFonts w:cs="Times New Roman"/>
                <w:b/>
                <w:sz w:val="20"/>
                <w:szCs w:val="20"/>
              </w:rPr>
            </w:pPr>
            <w:r w:rsidRPr="00F7263B">
              <w:rPr>
                <w:rFonts w:cs="Times New Roman"/>
                <w:sz w:val="20"/>
                <w:szCs w:val="20"/>
              </w:rPr>
              <w:t>APA</w:t>
            </w:r>
          </w:p>
        </w:tc>
        <w:tc>
          <w:tcPr>
            <w:tcW w:w="1529" w:type="dxa"/>
          </w:tcPr>
          <w:p w:rsidR="00EE7DBD" w:rsidRPr="00F7263B" w:rsidRDefault="00EE7DBD" w:rsidP="001509A0">
            <w:pPr>
              <w:jc w:val="both"/>
              <w:rPr>
                <w:rFonts w:cs="Times New Roman"/>
                <w:b/>
                <w:sz w:val="20"/>
                <w:szCs w:val="20"/>
              </w:rPr>
            </w:pPr>
            <w:r w:rsidRPr="00F7263B">
              <w:rPr>
                <w:rFonts w:cs="Times New Roman"/>
                <w:sz w:val="20"/>
                <w:szCs w:val="20"/>
              </w:rPr>
              <w:t>Same as above.</w:t>
            </w:r>
          </w:p>
        </w:tc>
      </w:tr>
      <w:tr w:rsidR="00EE7DBD" w:rsidRPr="00F7263B" w:rsidTr="001509A0">
        <w:tc>
          <w:tcPr>
            <w:tcW w:w="2467" w:type="dxa"/>
          </w:tcPr>
          <w:p w:rsidR="00EE7DBD" w:rsidRPr="00F7263B" w:rsidRDefault="00EE7DBD" w:rsidP="001509A0">
            <w:pPr>
              <w:tabs>
                <w:tab w:val="left" w:pos="252"/>
              </w:tabs>
              <w:rPr>
                <w:rFonts w:cs="Times New Roman"/>
                <w:sz w:val="20"/>
                <w:szCs w:val="20"/>
              </w:rPr>
            </w:pPr>
            <w:r w:rsidRPr="00F7263B">
              <w:rPr>
                <w:rFonts w:cs="Times New Roman"/>
                <w:sz w:val="20"/>
                <w:szCs w:val="20"/>
              </w:rPr>
              <w:t xml:space="preserve">2. </w:t>
            </w:r>
            <w:r w:rsidRPr="00F7263B">
              <w:rPr>
                <w:rFonts w:cs="Times New Roman"/>
                <w:sz w:val="20"/>
                <w:szCs w:val="20"/>
              </w:rPr>
              <w:tab/>
              <w:t>Regions that implement at least 80% of the budget presented in the annual capacity building plans.</w:t>
            </w:r>
          </w:p>
        </w:tc>
        <w:tc>
          <w:tcPr>
            <w:tcW w:w="399" w:type="dxa"/>
          </w:tcPr>
          <w:p w:rsidR="00EE7DBD" w:rsidRPr="00F7263B" w:rsidRDefault="00EE7DBD" w:rsidP="001509A0">
            <w:pPr>
              <w:rPr>
                <w:rFonts w:cs="Times New Roman"/>
                <w:noProof/>
                <w:sz w:val="20"/>
                <w:szCs w:val="20"/>
              </w:rPr>
            </w:pPr>
          </w:p>
        </w:tc>
        <w:tc>
          <w:tcPr>
            <w:tcW w:w="403" w:type="dxa"/>
          </w:tcPr>
          <w:p w:rsidR="00EE7DBD" w:rsidRPr="00F7263B" w:rsidRDefault="00EE7DBD" w:rsidP="001509A0">
            <w:pPr>
              <w:rPr>
                <w:rFonts w:cs="Times New Roman"/>
                <w:noProof/>
                <w:sz w:val="20"/>
                <w:szCs w:val="20"/>
              </w:rPr>
            </w:pPr>
            <w:r w:rsidRPr="00F7263B">
              <w:rPr>
                <w:rFonts w:cs="Times New Roman"/>
                <w:noProof/>
                <w:sz w:val="20"/>
                <w:szCs w:val="20"/>
              </w:rPr>
              <w:t>4</w:t>
            </w:r>
          </w:p>
        </w:tc>
        <w:tc>
          <w:tcPr>
            <w:tcW w:w="866" w:type="dxa"/>
          </w:tcPr>
          <w:p w:rsidR="00EE7DBD" w:rsidRPr="00F7263B" w:rsidRDefault="00EE7DBD" w:rsidP="001509A0">
            <w:pPr>
              <w:rPr>
                <w:rFonts w:cs="Times New Roman"/>
                <w:sz w:val="20"/>
                <w:szCs w:val="20"/>
              </w:rPr>
            </w:pPr>
            <w:r w:rsidRPr="00F7263B">
              <w:rPr>
                <w:rFonts w:cs="Times New Roman"/>
                <w:sz w:val="20"/>
                <w:szCs w:val="20"/>
              </w:rPr>
              <w:t>Number</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019" w:type="dxa"/>
            <w:gridSpan w:val="2"/>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012" w:type="dxa"/>
            <w:gridSpan w:val="2"/>
          </w:tcPr>
          <w:p w:rsidR="00EE7DBD" w:rsidRPr="00F7263B" w:rsidRDefault="00EE7DBD" w:rsidP="001509A0">
            <w:pPr>
              <w:jc w:val="center"/>
              <w:rPr>
                <w:rFonts w:cs="Times New Roman"/>
                <w:sz w:val="20"/>
                <w:szCs w:val="20"/>
              </w:rPr>
            </w:pPr>
            <w:r w:rsidRPr="00F7263B">
              <w:rPr>
                <w:rFonts w:cs="Times New Roman"/>
                <w:sz w:val="20"/>
                <w:szCs w:val="20"/>
              </w:rPr>
              <w:t>3</w:t>
            </w:r>
          </w:p>
        </w:tc>
        <w:tc>
          <w:tcPr>
            <w:tcW w:w="1014" w:type="dxa"/>
          </w:tcPr>
          <w:p w:rsidR="00EE7DBD" w:rsidRPr="00F7263B" w:rsidRDefault="00EE7DBD" w:rsidP="001509A0">
            <w:pPr>
              <w:jc w:val="center"/>
              <w:rPr>
                <w:rFonts w:cs="Times New Roman"/>
                <w:sz w:val="20"/>
                <w:szCs w:val="20"/>
              </w:rPr>
            </w:pPr>
            <w:r w:rsidRPr="00F7263B">
              <w:rPr>
                <w:rFonts w:cs="Times New Roman"/>
                <w:sz w:val="20"/>
                <w:szCs w:val="20"/>
              </w:rPr>
              <w:t>4</w:t>
            </w:r>
          </w:p>
        </w:tc>
        <w:tc>
          <w:tcPr>
            <w:tcW w:w="1013" w:type="dxa"/>
          </w:tcPr>
          <w:p w:rsidR="00EE7DBD" w:rsidRPr="00F7263B" w:rsidRDefault="00EE7DBD" w:rsidP="001509A0">
            <w:pPr>
              <w:jc w:val="center"/>
              <w:rPr>
                <w:rFonts w:cs="Times New Roman"/>
                <w:sz w:val="20"/>
                <w:szCs w:val="20"/>
              </w:rPr>
            </w:pPr>
            <w:r w:rsidRPr="00F7263B">
              <w:rPr>
                <w:rFonts w:cs="Times New Roman"/>
                <w:sz w:val="20"/>
                <w:szCs w:val="20"/>
              </w:rPr>
              <w:t>4</w:t>
            </w:r>
          </w:p>
        </w:tc>
        <w:tc>
          <w:tcPr>
            <w:tcW w:w="1016" w:type="dxa"/>
          </w:tcPr>
          <w:p w:rsidR="00EE7DBD" w:rsidRPr="00F7263B" w:rsidRDefault="00EE7DBD" w:rsidP="001509A0">
            <w:pPr>
              <w:jc w:val="center"/>
              <w:rPr>
                <w:rFonts w:cs="Times New Roman"/>
                <w:sz w:val="20"/>
                <w:szCs w:val="20"/>
              </w:rPr>
            </w:pPr>
            <w:r w:rsidRPr="00F7263B">
              <w:rPr>
                <w:rFonts w:cs="Times New Roman"/>
                <w:sz w:val="20"/>
                <w:szCs w:val="20"/>
              </w:rPr>
              <w:t>4</w:t>
            </w:r>
          </w:p>
        </w:tc>
        <w:tc>
          <w:tcPr>
            <w:tcW w:w="990" w:type="dxa"/>
          </w:tcPr>
          <w:p w:rsidR="00EE7DBD" w:rsidRPr="00F7263B" w:rsidRDefault="00EE7DBD" w:rsidP="001509A0">
            <w:pPr>
              <w:rPr>
                <w:rFonts w:cs="Times New Roman"/>
                <w:sz w:val="20"/>
                <w:szCs w:val="20"/>
              </w:rPr>
            </w:pPr>
            <w:r w:rsidRPr="00F7263B">
              <w:rPr>
                <w:rFonts w:cs="Times New Roman"/>
                <w:sz w:val="20"/>
                <w:szCs w:val="20"/>
              </w:rPr>
              <w:t>Annually</w:t>
            </w:r>
          </w:p>
        </w:tc>
        <w:tc>
          <w:tcPr>
            <w:tcW w:w="1351" w:type="dxa"/>
            <w:gridSpan w:val="2"/>
          </w:tcPr>
          <w:p w:rsidR="00EE7DBD" w:rsidRPr="00F7263B" w:rsidRDefault="00EE7DBD" w:rsidP="001509A0">
            <w:pPr>
              <w:rPr>
                <w:rFonts w:cs="Times New Roman"/>
                <w:b/>
                <w:sz w:val="20"/>
                <w:szCs w:val="20"/>
              </w:rPr>
            </w:pPr>
            <w:r w:rsidRPr="00F7263B">
              <w:rPr>
                <w:rFonts w:cs="Times New Roman"/>
                <w:sz w:val="20"/>
                <w:szCs w:val="20"/>
              </w:rPr>
              <w:t>APA</w:t>
            </w:r>
          </w:p>
        </w:tc>
        <w:tc>
          <w:tcPr>
            <w:tcW w:w="1529" w:type="dxa"/>
          </w:tcPr>
          <w:p w:rsidR="00EE7DBD" w:rsidRPr="00F7263B" w:rsidRDefault="00EE7DBD" w:rsidP="00254260">
            <w:pPr>
              <w:rPr>
                <w:rFonts w:cs="Times New Roman"/>
                <w:sz w:val="20"/>
                <w:szCs w:val="20"/>
              </w:rPr>
            </w:pPr>
            <w:r w:rsidRPr="00F7263B">
              <w:rPr>
                <w:rFonts w:cs="Times New Roman"/>
                <w:sz w:val="20"/>
                <w:szCs w:val="20"/>
              </w:rPr>
              <w:t>Same as above.</w:t>
            </w:r>
          </w:p>
        </w:tc>
      </w:tr>
      <w:tr w:rsidR="00EE7DBD" w:rsidRPr="00F7263B" w:rsidTr="001509A0">
        <w:tc>
          <w:tcPr>
            <w:tcW w:w="2467" w:type="dxa"/>
          </w:tcPr>
          <w:p w:rsidR="00EE7DBD" w:rsidRPr="00F7263B" w:rsidRDefault="00EE7DBD" w:rsidP="001509A0">
            <w:pPr>
              <w:tabs>
                <w:tab w:val="left" w:pos="252"/>
              </w:tabs>
              <w:rPr>
                <w:rFonts w:cs="Times New Roman"/>
                <w:sz w:val="20"/>
                <w:szCs w:val="20"/>
              </w:rPr>
            </w:pPr>
            <w:r w:rsidRPr="00F7263B">
              <w:rPr>
                <w:rFonts w:cs="Times New Roman"/>
                <w:sz w:val="20"/>
                <w:szCs w:val="20"/>
              </w:rPr>
              <w:t xml:space="preserve">3. </w:t>
            </w:r>
            <w:r w:rsidRPr="00F7263B">
              <w:rPr>
                <w:rFonts w:cs="Times New Roman"/>
                <w:sz w:val="20"/>
                <w:szCs w:val="20"/>
              </w:rPr>
              <w:tab/>
              <w:t>MUDHCo utilizes the budget presented in the annual capacity building plans.</w:t>
            </w:r>
          </w:p>
        </w:tc>
        <w:tc>
          <w:tcPr>
            <w:tcW w:w="399" w:type="dxa"/>
          </w:tcPr>
          <w:p w:rsidR="00EE7DBD" w:rsidRPr="00F7263B" w:rsidRDefault="00EE7DBD" w:rsidP="001509A0">
            <w:pPr>
              <w:rPr>
                <w:rFonts w:cs="Times New Roman"/>
                <w:noProof/>
                <w:sz w:val="20"/>
                <w:szCs w:val="20"/>
              </w:rPr>
            </w:pPr>
          </w:p>
        </w:tc>
        <w:tc>
          <w:tcPr>
            <w:tcW w:w="403" w:type="dxa"/>
          </w:tcPr>
          <w:p w:rsidR="00EE7DBD" w:rsidRPr="00F7263B" w:rsidRDefault="00EE7DBD" w:rsidP="001509A0">
            <w:pPr>
              <w:rPr>
                <w:rFonts w:cs="Times New Roman"/>
                <w:noProof/>
                <w:sz w:val="20"/>
                <w:szCs w:val="20"/>
              </w:rPr>
            </w:pPr>
            <w:r w:rsidRPr="00F7263B">
              <w:rPr>
                <w:rFonts w:cs="Times New Roman"/>
                <w:noProof/>
                <w:sz w:val="20"/>
                <w:szCs w:val="20"/>
              </w:rPr>
              <w:t>8</w:t>
            </w:r>
          </w:p>
        </w:tc>
        <w:tc>
          <w:tcPr>
            <w:tcW w:w="866" w:type="dxa"/>
          </w:tcPr>
          <w:p w:rsidR="00EE7DBD" w:rsidRPr="00F7263B" w:rsidRDefault="00EE7DBD" w:rsidP="001509A0">
            <w:pPr>
              <w:rPr>
                <w:rFonts w:cs="Times New Roman"/>
                <w:sz w:val="20"/>
                <w:szCs w:val="20"/>
              </w:rPr>
            </w:pPr>
            <w:r w:rsidRPr="00F7263B">
              <w:rPr>
                <w:rFonts w:cs="Times New Roman"/>
                <w:sz w:val="20"/>
                <w:szCs w:val="20"/>
              </w:rPr>
              <w:t>Percent</w:t>
            </w:r>
          </w:p>
        </w:tc>
        <w:tc>
          <w:tcPr>
            <w:tcW w:w="781" w:type="dxa"/>
          </w:tcPr>
          <w:p w:rsidR="00EE7DBD" w:rsidRPr="00F7263B" w:rsidRDefault="00EE7DBD" w:rsidP="001509A0">
            <w:pPr>
              <w:jc w:val="center"/>
              <w:rPr>
                <w:rFonts w:cs="Times New Roman"/>
                <w:sz w:val="20"/>
                <w:szCs w:val="20"/>
              </w:rPr>
            </w:pPr>
            <w:r w:rsidRPr="00F7263B">
              <w:rPr>
                <w:rFonts w:cs="Times New Roman"/>
                <w:sz w:val="20"/>
                <w:szCs w:val="20"/>
              </w:rPr>
              <w:t>0</w:t>
            </w:r>
          </w:p>
        </w:tc>
        <w:tc>
          <w:tcPr>
            <w:tcW w:w="1019" w:type="dxa"/>
            <w:gridSpan w:val="2"/>
          </w:tcPr>
          <w:p w:rsidR="00EE7DBD" w:rsidRPr="00F7263B" w:rsidRDefault="00EE7DBD" w:rsidP="001509A0">
            <w:pPr>
              <w:jc w:val="center"/>
              <w:rPr>
                <w:rFonts w:cs="Times New Roman"/>
                <w:sz w:val="20"/>
                <w:szCs w:val="20"/>
              </w:rPr>
            </w:pPr>
            <w:r w:rsidRPr="00F7263B">
              <w:rPr>
                <w:rFonts w:cs="Times New Roman"/>
                <w:sz w:val="20"/>
                <w:szCs w:val="20"/>
              </w:rPr>
              <w:t>60%</w:t>
            </w:r>
          </w:p>
        </w:tc>
        <w:tc>
          <w:tcPr>
            <w:tcW w:w="1012" w:type="dxa"/>
            <w:gridSpan w:val="2"/>
          </w:tcPr>
          <w:p w:rsidR="00EE7DBD" w:rsidRPr="00F7263B" w:rsidRDefault="00EE7DBD" w:rsidP="001509A0">
            <w:pPr>
              <w:jc w:val="center"/>
              <w:rPr>
                <w:sz w:val="20"/>
                <w:szCs w:val="20"/>
              </w:rPr>
            </w:pPr>
            <w:r w:rsidRPr="00F7263B">
              <w:rPr>
                <w:rFonts w:cs="Times New Roman"/>
                <w:sz w:val="20"/>
                <w:szCs w:val="20"/>
              </w:rPr>
              <w:t>80%</w:t>
            </w:r>
          </w:p>
        </w:tc>
        <w:tc>
          <w:tcPr>
            <w:tcW w:w="1014" w:type="dxa"/>
          </w:tcPr>
          <w:p w:rsidR="00EE7DBD" w:rsidRPr="00F7263B" w:rsidRDefault="00EE7DBD" w:rsidP="001509A0">
            <w:pPr>
              <w:jc w:val="center"/>
              <w:rPr>
                <w:sz w:val="20"/>
                <w:szCs w:val="20"/>
              </w:rPr>
            </w:pPr>
            <w:r w:rsidRPr="00F7263B">
              <w:rPr>
                <w:rFonts w:cs="Times New Roman"/>
                <w:sz w:val="20"/>
                <w:szCs w:val="20"/>
              </w:rPr>
              <w:t>95%</w:t>
            </w:r>
          </w:p>
        </w:tc>
        <w:tc>
          <w:tcPr>
            <w:tcW w:w="1013" w:type="dxa"/>
          </w:tcPr>
          <w:p w:rsidR="00EE7DBD" w:rsidRPr="00F7263B" w:rsidRDefault="00EE7DBD" w:rsidP="001509A0">
            <w:pPr>
              <w:jc w:val="center"/>
              <w:rPr>
                <w:sz w:val="20"/>
                <w:szCs w:val="20"/>
              </w:rPr>
            </w:pPr>
            <w:r w:rsidRPr="00F7263B">
              <w:rPr>
                <w:rFonts w:cs="Times New Roman"/>
                <w:sz w:val="20"/>
                <w:szCs w:val="20"/>
              </w:rPr>
              <w:t>95%</w:t>
            </w:r>
          </w:p>
        </w:tc>
        <w:tc>
          <w:tcPr>
            <w:tcW w:w="1016" w:type="dxa"/>
          </w:tcPr>
          <w:p w:rsidR="00EE7DBD" w:rsidRPr="00F7263B" w:rsidRDefault="00EE7DBD" w:rsidP="001509A0">
            <w:pPr>
              <w:jc w:val="center"/>
              <w:rPr>
                <w:sz w:val="20"/>
                <w:szCs w:val="20"/>
              </w:rPr>
            </w:pPr>
            <w:r w:rsidRPr="00F7263B">
              <w:rPr>
                <w:rFonts w:cs="Times New Roman"/>
                <w:sz w:val="20"/>
                <w:szCs w:val="20"/>
              </w:rPr>
              <w:t>95%</w:t>
            </w:r>
          </w:p>
        </w:tc>
        <w:tc>
          <w:tcPr>
            <w:tcW w:w="990" w:type="dxa"/>
          </w:tcPr>
          <w:p w:rsidR="00EE7DBD" w:rsidRPr="00F7263B" w:rsidRDefault="00EE7DBD" w:rsidP="001509A0">
            <w:pPr>
              <w:rPr>
                <w:rFonts w:cs="Times New Roman"/>
                <w:sz w:val="20"/>
                <w:szCs w:val="20"/>
              </w:rPr>
            </w:pPr>
            <w:r w:rsidRPr="00F7263B">
              <w:rPr>
                <w:rFonts w:cs="Times New Roman"/>
                <w:sz w:val="20"/>
                <w:szCs w:val="20"/>
              </w:rPr>
              <w:t>Annually</w:t>
            </w:r>
          </w:p>
        </w:tc>
        <w:tc>
          <w:tcPr>
            <w:tcW w:w="1351" w:type="dxa"/>
            <w:gridSpan w:val="2"/>
          </w:tcPr>
          <w:p w:rsidR="00EE7DBD" w:rsidRPr="00F7263B" w:rsidRDefault="00EE7DBD" w:rsidP="001509A0">
            <w:pPr>
              <w:rPr>
                <w:rFonts w:cs="Times New Roman"/>
                <w:sz w:val="20"/>
                <w:szCs w:val="20"/>
              </w:rPr>
            </w:pPr>
            <w:r w:rsidRPr="00F7263B">
              <w:rPr>
                <w:rFonts w:cs="Times New Roman"/>
                <w:sz w:val="20"/>
                <w:szCs w:val="20"/>
              </w:rPr>
              <w:t>APA</w:t>
            </w:r>
          </w:p>
        </w:tc>
        <w:tc>
          <w:tcPr>
            <w:tcW w:w="1529" w:type="dxa"/>
          </w:tcPr>
          <w:p w:rsidR="00EE7DBD" w:rsidRPr="00F7263B" w:rsidRDefault="00EE7DBD" w:rsidP="001509A0">
            <w:pPr>
              <w:jc w:val="both"/>
              <w:rPr>
                <w:rFonts w:cs="Times New Roman"/>
                <w:sz w:val="20"/>
                <w:szCs w:val="20"/>
              </w:rPr>
            </w:pPr>
            <w:r w:rsidRPr="00F7263B">
              <w:rPr>
                <w:rFonts w:cs="Times New Roman"/>
                <w:sz w:val="20"/>
                <w:szCs w:val="20"/>
              </w:rPr>
              <w:t>Same as above.</w:t>
            </w:r>
          </w:p>
        </w:tc>
      </w:tr>
    </w:tbl>
    <w:p w:rsidR="00151505" w:rsidRPr="00F7263B" w:rsidRDefault="00151505" w:rsidP="00254260">
      <w:pPr>
        <w:rPr>
          <w:sz w:val="20"/>
          <w:szCs w:val="20"/>
        </w:rPr>
      </w:pPr>
    </w:p>
    <w:p w:rsidR="00AB4CD4" w:rsidRPr="00F7263B" w:rsidRDefault="002475C9" w:rsidP="006E6DDF">
      <w:pPr>
        <w:pStyle w:val="Caption"/>
        <w:jc w:val="center"/>
      </w:pPr>
      <w:r w:rsidRPr="00F7263B">
        <w:rPr>
          <w:b w:val="0"/>
        </w:rPr>
        <w:br w:type="page"/>
      </w:r>
      <w:bookmarkStart w:id="47" w:name="_Toc374060178"/>
      <w:bookmarkStart w:id="48" w:name="_Toc380087829"/>
      <w:r w:rsidR="006E6DDF" w:rsidRPr="00F7263B">
        <w:lastRenderedPageBreak/>
        <w:t xml:space="preserve">Annex </w:t>
      </w:r>
      <w:r w:rsidR="00B845BE" w:rsidRPr="00F7263B">
        <w:fldChar w:fldCharType="begin"/>
      </w:r>
      <w:r w:rsidR="006E6DDF" w:rsidRPr="00F7263B">
        <w:instrText xml:space="preserve"> SEQ Annex \* ARABIC </w:instrText>
      </w:r>
      <w:r w:rsidR="00B845BE" w:rsidRPr="00F7263B">
        <w:fldChar w:fldCharType="separate"/>
      </w:r>
      <w:r w:rsidR="00933073">
        <w:rPr>
          <w:noProof/>
        </w:rPr>
        <w:t>3</w:t>
      </w:r>
      <w:r w:rsidR="00B845BE" w:rsidRPr="00F7263B">
        <w:fldChar w:fldCharType="end"/>
      </w:r>
      <w:r w:rsidR="008D6081" w:rsidRPr="00F7263B">
        <w:t xml:space="preserve">: </w:t>
      </w:r>
      <w:r w:rsidR="009561CB" w:rsidRPr="00F7263B">
        <w:t>Disbursement Linked Indicators, Disbursement Arrangements</w:t>
      </w:r>
      <w:r w:rsidR="00431986" w:rsidRPr="00F7263B">
        <w:t>,</w:t>
      </w:r>
      <w:r w:rsidR="009561CB" w:rsidRPr="00F7263B">
        <w:t xml:space="preserve"> and Verification Protocols</w:t>
      </w:r>
      <w:bookmarkEnd w:id="47"/>
      <w:bookmarkEnd w:id="48"/>
    </w:p>
    <w:p w:rsidR="00721E0D" w:rsidRPr="00F7263B" w:rsidRDefault="00721E0D" w:rsidP="00556F1B">
      <w:pPr>
        <w:pStyle w:val="NoSpacing"/>
        <w:jc w:val="both"/>
        <w:rPr>
          <w:rFonts w:ascii="Times New Roman" w:hAnsi="Times New Roman" w:cs="Times New Roman"/>
          <w:b/>
          <w:sz w:val="20"/>
          <w:szCs w:val="20"/>
        </w:rPr>
      </w:pPr>
    </w:p>
    <w:p w:rsidR="009561CB" w:rsidRPr="00F7263B" w:rsidRDefault="009561CB" w:rsidP="00254260">
      <w:pPr>
        <w:pStyle w:val="Attachmenttitle"/>
        <w:spacing w:after="60"/>
        <w:rPr>
          <w:sz w:val="20"/>
          <w:szCs w:val="20"/>
        </w:rPr>
      </w:pPr>
      <w:r w:rsidRPr="00F7263B">
        <w:rPr>
          <w:sz w:val="20"/>
          <w:szCs w:val="20"/>
        </w:rPr>
        <w:t xml:space="preserve">Disbursement-Linked Indicator Matrix </w:t>
      </w:r>
    </w:p>
    <w:tbl>
      <w:tblPr>
        <w:tblStyle w:val="TableGrid"/>
        <w:tblW w:w="12773" w:type="dxa"/>
        <w:jc w:val="center"/>
        <w:tblLayout w:type="fixed"/>
        <w:tblLook w:val="04A0" w:firstRow="1" w:lastRow="0" w:firstColumn="1" w:lastColumn="0" w:noHBand="0" w:noVBand="1"/>
      </w:tblPr>
      <w:tblGrid>
        <w:gridCol w:w="2607"/>
        <w:gridCol w:w="1299"/>
        <w:gridCol w:w="1311"/>
        <w:gridCol w:w="1260"/>
        <w:gridCol w:w="1260"/>
        <w:gridCol w:w="1260"/>
        <w:gridCol w:w="1260"/>
        <w:gridCol w:w="1260"/>
        <w:gridCol w:w="1256"/>
      </w:tblGrid>
      <w:tr w:rsidR="00B977CD" w:rsidRPr="00F7263B" w:rsidTr="00254260">
        <w:trPr>
          <w:trHeight w:val="377"/>
          <w:jc w:val="center"/>
        </w:trPr>
        <w:tc>
          <w:tcPr>
            <w:tcW w:w="2607" w:type="dxa"/>
            <w:vMerge w:val="restart"/>
            <w:vAlign w:val="center"/>
          </w:tcPr>
          <w:p w:rsidR="00B977CD" w:rsidRPr="00F7263B" w:rsidRDefault="00B977CD" w:rsidP="0057412A">
            <w:pPr>
              <w:contextualSpacing/>
              <w:jc w:val="center"/>
              <w:rPr>
                <w:rFonts w:cs="Times New Roman"/>
                <w:sz w:val="20"/>
                <w:szCs w:val="20"/>
                <w:lang w:val="fr-FR"/>
              </w:rPr>
            </w:pPr>
          </w:p>
        </w:tc>
        <w:tc>
          <w:tcPr>
            <w:tcW w:w="1299" w:type="dxa"/>
            <w:vMerge w:val="restart"/>
          </w:tcPr>
          <w:p w:rsidR="00B977CD" w:rsidRPr="00F7263B" w:rsidRDefault="00B977CD" w:rsidP="00405DC2">
            <w:pPr>
              <w:contextualSpacing/>
              <w:jc w:val="center"/>
              <w:rPr>
                <w:rFonts w:cs="Times New Roman"/>
                <w:b/>
                <w:i/>
                <w:sz w:val="20"/>
                <w:szCs w:val="20"/>
              </w:rPr>
            </w:pPr>
            <w:r w:rsidRPr="00F7263B">
              <w:rPr>
                <w:rFonts w:cs="Times New Roman"/>
                <w:b/>
                <w:i/>
                <w:sz w:val="20"/>
                <w:szCs w:val="20"/>
              </w:rPr>
              <w:t xml:space="preserve">Total </w:t>
            </w:r>
            <w:r w:rsidR="00E4464E" w:rsidRPr="00F7263B">
              <w:rPr>
                <w:rFonts w:cs="Times New Roman"/>
                <w:b/>
                <w:i/>
                <w:sz w:val="20"/>
                <w:szCs w:val="20"/>
              </w:rPr>
              <w:t>f</w:t>
            </w:r>
            <w:r w:rsidRPr="00F7263B">
              <w:rPr>
                <w:rFonts w:cs="Times New Roman"/>
                <w:b/>
                <w:i/>
                <w:sz w:val="20"/>
                <w:szCs w:val="20"/>
              </w:rPr>
              <w:t xml:space="preserve">inancing </w:t>
            </w:r>
            <w:r w:rsidR="00E4464E" w:rsidRPr="00F7263B">
              <w:rPr>
                <w:rFonts w:cs="Times New Roman"/>
                <w:b/>
                <w:i/>
                <w:sz w:val="20"/>
                <w:szCs w:val="20"/>
              </w:rPr>
              <w:t>a</w:t>
            </w:r>
            <w:r w:rsidRPr="00F7263B">
              <w:rPr>
                <w:rFonts w:cs="Times New Roman"/>
                <w:b/>
                <w:i/>
                <w:sz w:val="20"/>
                <w:szCs w:val="20"/>
              </w:rPr>
              <w:t>llocated to DLI</w:t>
            </w:r>
          </w:p>
        </w:tc>
        <w:tc>
          <w:tcPr>
            <w:tcW w:w="1311" w:type="dxa"/>
            <w:vMerge w:val="restart"/>
          </w:tcPr>
          <w:p w:rsidR="00B977CD" w:rsidRPr="00F7263B" w:rsidRDefault="00B977CD" w:rsidP="00B233B7">
            <w:pPr>
              <w:contextualSpacing/>
              <w:jc w:val="center"/>
              <w:rPr>
                <w:rFonts w:cs="Times New Roman"/>
                <w:b/>
                <w:i/>
                <w:sz w:val="20"/>
                <w:szCs w:val="20"/>
              </w:rPr>
            </w:pPr>
            <w:r w:rsidRPr="00F7263B">
              <w:rPr>
                <w:rFonts w:cs="Times New Roman"/>
                <w:b/>
                <w:i/>
                <w:sz w:val="20"/>
                <w:szCs w:val="20"/>
              </w:rPr>
              <w:t xml:space="preserve">As </w:t>
            </w:r>
            <w:r w:rsidR="00E4464E" w:rsidRPr="00F7263B">
              <w:rPr>
                <w:rFonts w:cs="Times New Roman"/>
                <w:b/>
                <w:i/>
                <w:sz w:val="20"/>
                <w:szCs w:val="20"/>
              </w:rPr>
              <w:t>p</w:t>
            </w:r>
            <w:r w:rsidR="0057412A" w:rsidRPr="00F7263B">
              <w:rPr>
                <w:rFonts w:cs="Times New Roman"/>
                <w:b/>
                <w:i/>
                <w:sz w:val="20"/>
                <w:szCs w:val="20"/>
              </w:rPr>
              <w:t>ercent</w:t>
            </w:r>
            <w:r w:rsidRPr="00F7263B">
              <w:rPr>
                <w:rFonts w:cs="Times New Roman"/>
                <w:b/>
                <w:i/>
                <w:sz w:val="20"/>
                <w:szCs w:val="20"/>
              </w:rPr>
              <w:t xml:space="preserve"> of </w:t>
            </w:r>
            <w:r w:rsidR="00E4464E" w:rsidRPr="00F7263B">
              <w:rPr>
                <w:rFonts w:cs="Times New Roman"/>
                <w:b/>
                <w:i/>
                <w:sz w:val="20"/>
                <w:szCs w:val="20"/>
              </w:rPr>
              <w:t>t</w:t>
            </w:r>
            <w:r w:rsidRPr="00F7263B">
              <w:rPr>
                <w:rFonts w:cs="Times New Roman"/>
                <w:b/>
                <w:i/>
                <w:sz w:val="20"/>
                <w:szCs w:val="20"/>
              </w:rPr>
              <w:t xml:space="preserve">otal </w:t>
            </w:r>
            <w:r w:rsidR="00E4464E" w:rsidRPr="00F7263B">
              <w:rPr>
                <w:rFonts w:cs="Times New Roman"/>
                <w:b/>
                <w:i/>
                <w:sz w:val="20"/>
                <w:szCs w:val="20"/>
              </w:rPr>
              <w:t>f</w:t>
            </w:r>
            <w:r w:rsidRPr="00F7263B">
              <w:rPr>
                <w:rFonts w:cs="Times New Roman"/>
                <w:b/>
                <w:i/>
                <w:sz w:val="20"/>
                <w:szCs w:val="20"/>
              </w:rPr>
              <w:t xml:space="preserve">inancing </w:t>
            </w:r>
            <w:r w:rsidR="00E4464E" w:rsidRPr="00F7263B">
              <w:rPr>
                <w:rFonts w:cs="Times New Roman"/>
                <w:b/>
                <w:i/>
                <w:sz w:val="20"/>
                <w:szCs w:val="20"/>
              </w:rPr>
              <w:t>a</w:t>
            </w:r>
            <w:r w:rsidRPr="00F7263B">
              <w:rPr>
                <w:rFonts w:cs="Times New Roman"/>
                <w:b/>
                <w:i/>
                <w:sz w:val="20"/>
                <w:szCs w:val="20"/>
              </w:rPr>
              <w:t>mount</w:t>
            </w:r>
          </w:p>
        </w:tc>
        <w:tc>
          <w:tcPr>
            <w:tcW w:w="1260" w:type="dxa"/>
            <w:vMerge w:val="restart"/>
          </w:tcPr>
          <w:p w:rsidR="00B977CD" w:rsidRPr="00F7263B" w:rsidRDefault="00B977CD" w:rsidP="0057412A">
            <w:pPr>
              <w:contextualSpacing/>
              <w:jc w:val="center"/>
              <w:rPr>
                <w:rFonts w:cs="Times New Roman"/>
                <w:b/>
                <w:i/>
                <w:sz w:val="20"/>
                <w:szCs w:val="20"/>
              </w:rPr>
            </w:pPr>
            <w:r w:rsidRPr="00F7263B">
              <w:rPr>
                <w:rFonts w:cs="Times New Roman"/>
                <w:b/>
                <w:i/>
                <w:sz w:val="20"/>
                <w:szCs w:val="20"/>
              </w:rPr>
              <w:t>DLI Baseline</w:t>
            </w:r>
          </w:p>
        </w:tc>
        <w:tc>
          <w:tcPr>
            <w:tcW w:w="6296" w:type="dxa"/>
            <w:gridSpan w:val="5"/>
            <w:vAlign w:val="center"/>
          </w:tcPr>
          <w:p w:rsidR="00B977CD" w:rsidRPr="00F7263B" w:rsidRDefault="00B977CD" w:rsidP="0057412A">
            <w:pPr>
              <w:contextualSpacing/>
              <w:jc w:val="center"/>
              <w:rPr>
                <w:rFonts w:cs="Times New Roman"/>
                <w:b/>
                <w:i/>
                <w:sz w:val="20"/>
                <w:szCs w:val="20"/>
              </w:rPr>
            </w:pPr>
            <w:r w:rsidRPr="00F7263B">
              <w:rPr>
                <w:rFonts w:cs="Times New Roman"/>
                <w:b/>
                <w:i/>
                <w:sz w:val="20"/>
                <w:szCs w:val="20"/>
              </w:rPr>
              <w:t>Indicative timeline for DLI achievement</w:t>
            </w:r>
          </w:p>
        </w:tc>
      </w:tr>
      <w:tr w:rsidR="00B977CD" w:rsidRPr="00F7263B" w:rsidTr="00254260">
        <w:trPr>
          <w:jc w:val="center"/>
        </w:trPr>
        <w:tc>
          <w:tcPr>
            <w:tcW w:w="2607" w:type="dxa"/>
            <w:vMerge/>
            <w:vAlign w:val="center"/>
          </w:tcPr>
          <w:p w:rsidR="00B977CD" w:rsidRPr="00F7263B" w:rsidRDefault="00B977CD" w:rsidP="00C47E57">
            <w:pPr>
              <w:contextualSpacing/>
              <w:jc w:val="center"/>
              <w:rPr>
                <w:rFonts w:cs="Times New Roman"/>
                <w:b/>
                <w:sz w:val="20"/>
                <w:szCs w:val="20"/>
              </w:rPr>
            </w:pPr>
          </w:p>
        </w:tc>
        <w:tc>
          <w:tcPr>
            <w:tcW w:w="1299" w:type="dxa"/>
            <w:vMerge/>
          </w:tcPr>
          <w:p w:rsidR="00B977CD" w:rsidRPr="00F7263B" w:rsidRDefault="00B977CD" w:rsidP="00C47E57">
            <w:pPr>
              <w:contextualSpacing/>
              <w:jc w:val="center"/>
              <w:rPr>
                <w:rFonts w:cs="Times New Roman"/>
                <w:b/>
                <w:i/>
                <w:sz w:val="20"/>
                <w:szCs w:val="20"/>
              </w:rPr>
            </w:pPr>
          </w:p>
        </w:tc>
        <w:tc>
          <w:tcPr>
            <w:tcW w:w="1311" w:type="dxa"/>
            <w:vMerge/>
          </w:tcPr>
          <w:p w:rsidR="00B977CD" w:rsidRPr="00F7263B" w:rsidRDefault="00B977CD" w:rsidP="00C47E57">
            <w:pPr>
              <w:contextualSpacing/>
              <w:jc w:val="center"/>
              <w:rPr>
                <w:rFonts w:cs="Times New Roman"/>
                <w:b/>
                <w:i/>
                <w:sz w:val="20"/>
                <w:szCs w:val="20"/>
              </w:rPr>
            </w:pPr>
          </w:p>
        </w:tc>
        <w:tc>
          <w:tcPr>
            <w:tcW w:w="1260" w:type="dxa"/>
            <w:vMerge/>
          </w:tcPr>
          <w:p w:rsidR="00B977CD" w:rsidRPr="00F7263B" w:rsidRDefault="00B977CD" w:rsidP="00C47E57">
            <w:pPr>
              <w:contextualSpacing/>
              <w:jc w:val="center"/>
              <w:rPr>
                <w:rFonts w:cs="Times New Roman"/>
                <w:b/>
                <w:i/>
                <w:sz w:val="20"/>
                <w:szCs w:val="20"/>
              </w:rPr>
            </w:pPr>
          </w:p>
        </w:tc>
        <w:tc>
          <w:tcPr>
            <w:tcW w:w="1260" w:type="dxa"/>
          </w:tcPr>
          <w:p w:rsidR="00B977CD" w:rsidRPr="00F7263B" w:rsidRDefault="00B977CD" w:rsidP="00C47E57">
            <w:pPr>
              <w:contextualSpacing/>
              <w:jc w:val="center"/>
              <w:rPr>
                <w:rFonts w:cs="Times New Roman"/>
                <w:b/>
                <w:i/>
                <w:sz w:val="20"/>
                <w:szCs w:val="20"/>
              </w:rPr>
            </w:pPr>
            <w:r w:rsidRPr="00F7263B">
              <w:rPr>
                <w:rFonts w:cs="Times New Roman"/>
                <w:b/>
                <w:i/>
                <w:sz w:val="20"/>
                <w:szCs w:val="20"/>
              </w:rPr>
              <w:t>Year 1</w:t>
            </w:r>
          </w:p>
          <w:p w:rsidR="00B977CD" w:rsidRPr="00F7263B" w:rsidRDefault="00B977CD" w:rsidP="00C47E57">
            <w:pPr>
              <w:contextualSpacing/>
              <w:jc w:val="center"/>
              <w:rPr>
                <w:rFonts w:cs="Times New Roman"/>
                <w:b/>
                <w:i/>
                <w:sz w:val="20"/>
                <w:szCs w:val="20"/>
              </w:rPr>
            </w:pPr>
            <w:r w:rsidRPr="00F7263B">
              <w:rPr>
                <w:rFonts w:cs="Times New Roman"/>
                <w:b/>
                <w:i/>
                <w:sz w:val="20"/>
                <w:szCs w:val="20"/>
              </w:rPr>
              <w:t>FY15</w:t>
            </w:r>
          </w:p>
        </w:tc>
        <w:tc>
          <w:tcPr>
            <w:tcW w:w="1260" w:type="dxa"/>
          </w:tcPr>
          <w:p w:rsidR="00B977CD" w:rsidRPr="00F7263B" w:rsidRDefault="00B977CD" w:rsidP="00C47E57">
            <w:pPr>
              <w:contextualSpacing/>
              <w:jc w:val="center"/>
              <w:rPr>
                <w:rFonts w:cs="Times New Roman"/>
                <w:b/>
                <w:i/>
                <w:sz w:val="20"/>
                <w:szCs w:val="20"/>
              </w:rPr>
            </w:pPr>
            <w:r w:rsidRPr="00F7263B">
              <w:rPr>
                <w:rFonts w:cs="Times New Roman"/>
                <w:b/>
                <w:i/>
                <w:sz w:val="20"/>
                <w:szCs w:val="20"/>
              </w:rPr>
              <w:t>Year 2</w:t>
            </w:r>
          </w:p>
          <w:p w:rsidR="00591CB8" w:rsidRPr="00F7263B" w:rsidRDefault="00B977CD" w:rsidP="00B233B7">
            <w:pPr>
              <w:contextualSpacing/>
              <w:jc w:val="center"/>
              <w:rPr>
                <w:rFonts w:cs="Times New Roman"/>
                <w:b/>
                <w:i/>
                <w:sz w:val="20"/>
                <w:szCs w:val="20"/>
              </w:rPr>
            </w:pPr>
            <w:r w:rsidRPr="00F7263B">
              <w:rPr>
                <w:rFonts w:cs="Times New Roman"/>
                <w:b/>
                <w:i/>
                <w:sz w:val="20"/>
                <w:szCs w:val="20"/>
              </w:rPr>
              <w:t>FY16</w:t>
            </w:r>
          </w:p>
        </w:tc>
        <w:tc>
          <w:tcPr>
            <w:tcW w:w="1260" w:type="dxa"/>
          </w:tcPr>
          <w:p w:rsidR="00B977CD" w:rsidRPr="00F7263B" w:rsidRDefault="00B977CD" w:rsidP="00C47E57">
            <w:pPr>
              <w:contextualSpacing/>
              <w:jc w:val="center"/>
              <w:rPr>
                <w:rFonts w:cs="Times New Roman"/>
                <w:b/>
                <w:i/>
                <w:sz w:val="20"/>
                <w:szCs w:val="20"/>
              </w:rPr>
            </w:pPr>
            <w:r w:rsidRPr="00F7263B">
              <w:rPr>
                <w:rFonts w:cs="Times New Roman"/>
                <w:b/>
                <w:i/>
                <w:sz w:val="20"/>
                <w:szCs w:val="20"/>
              </w:rPr>
              <w:t>Year 3</w:t>
            </w:r>
          </w:p>
          <w:p w:rsidR="00B977CD" w:rsidRPr="00F7263B" w:rsidRDefault="00B977CD" w:rsidP="00C47E57">
            <w:pPr>
              <w:contextualSpacing/>
              <w:jc w:val="center"/>
              <w:rPr>
                <w:rFonts w:cs="Times New Roman"/>
                <w:b/>
                <w:i/>
                <w:sz w:val="20"/>
                <w:szCs w:val="20"/>
              </w:rPr>
            </w:pPr>
            <w:r w:rsidRPr="00F7263B">
              <w:rPr>
                <w:rFonts w:cs="Times New Roman"/>
                <w:b/>
                <w:i/>
                <w:sz w:val="20"/>
                <w:szCs w:val="20"/>
              </w:rPr>
              <w:t>FY17</w:t>
            </w:r>
          </w:p>
        </w:tc>
        <w:tc>
          <w:tcPr>
            <w:tcW w:w="1260" w:type="dxa"/>
          </w:tcPr>
          <w:p w:rsidR="00B977CD" w:rsidRPr="00F7263B" w:rsidRDefault="00B977CD" w:rsidP="00C47E57">
            <w:pPr>
              <w:contextualSpacing/>
              <w:jc w:val="center"/>
              <w:rPr>
                <w:rFonts w:cs="Times New Roman"/>
                <w:b/>
                <w:i/>
                <w:sz w:val="20"/>
                <w:szCs w:val="20"/>
              </w:rPr>
            </w:pPr>
            <w:r w:rsidRPr="00F7263B">
              <w:rPr>
                <w:rFonts w:cs="Times New Roman"/>
                <w:b/>
                <w:i/>
                <w:sz w:val="20"/>
                <w:szCs w:val="20"/>
              </w:rPr>
              <w:t>Year 4</w:t>
            </w:r>
          </w:p>
          <w:p w:rsidR="00B977CD" w:rsidRPr="00F7263B" w:rsidRDefault="00B977CD" w:rsidP="00C47E57">
            <w:pPr>
              <w:contextualSpacing/>
              <w:jc w:val="center"/>
              <w:rPr>
                <w:rFonts w:cs="Times New Roman"/>
                <w:b/>
                <w:i/>
                <w:sz w:val="20"/>
                <w:szCs w:val="20"/>
              </w:rPr>
            </w:pPr>
            <w:r w:rsidRPr="00F7263B">
              <w:rPr>
                <w:rFonts w:cs="Times New Roman"/>
                <w:b/>
                <w:i/>
                <w:sz w:val="20"/>
                <w:szCs w:val="20"/>
              </w:rPr>
              <w:t>FY18</w:t>
            </w:r>
          </w:p>
        </w:tc>
        <w:tc>
          <w:tcPr>
            <w:tcW w:w="1256" w:type="dxa"/>
          </w:tcPr>
          <w:p w:rsidR="00B977CD" w:rsidRPr="00F7263B" w:rsidRDefault="00B977CD" w:rsidP="00C47E57">
            <w:pPr>
              <w:contextualSpacing/>
              <w:jc w:val="center"/>
              <w:rPr>
                <w:rFonts w:cs="Times New Roman"/>
                <w:b/>
                <w:i/>
                <w:sz w:val="20"/>
                <w:szCs w:val="20"/>
              </w:rPr>
            </w:pPr>
            <w:r w:rsidRPr="00F7263B">
              <w:rPr>
                <w:rFonts w:cs="Times New Roman"/>
                <w:b/>
                <w:i/>
                <w:sz w:val="20"/>
                <w:szCs w:val="20"/>
              </w:rPr>
              <w:t>Year 5</w:t>
            </w:r>
          </w:p>
          <w:p w:rsidR="00B977CD" w:rsidRPr="00F7263B" w:rsidRDefault="0057412A" w:rsidP="00C47E57">
            <w:pPr>
              <w:contextualSpacing/>
              <w:jc w:val="center"/>
              <w:rPr>
                <w:rFonts w:cs="Times New Roman"/>
                <w:b/>
                <w:i/>
                <w:sz w:val="20"/>
                <w:szCs w:val="20"/>
              </w:rPr>
            </w:pPr>
            <w:r w:rsidRPr="00F7263B">
              <w:rPr>
                <w:rFonts w:cs="Times New Roman"/>
                <w:b/>
                <w:i/>
                <w:sz w:val="20"/>
                <w:szCs w:val="20"/>
              </w:rPr>
              <w:t>FY</w:t>
            </w:r>
            <w:r w:rsidR="00B977CD" w:rsidRPr="00F7263B">
              <w:rPr>
                <w:rFonts w:cs="Times New Roman"/>
                <w:b/>
                <w:i/>
                <w:sz w:val="20"/>
                <w:szCs w:val="20"/>
              </w:rPr>
              <w:t>19</w:t>
            </w:r>
          </w:p>
        </w:tc>
      </w:tr>
      <w:tr w:rsidR="00B977CD" w:rsidRPr="00F7263B" w:rsidTr="00254260">
        <w:trPr>
          <w:trHeight w:val="620"/>
          <w:jc w:val="center"/>
        </w:trPr>
        <w:tc>
          <w:tcPr>
            <w:tcW w:w="2607" w:type="dxa"/>
          </w:tcPr>
          <w:p w:rsidR="00B977CD" w:rsidRPr="00F7263B" w:rsidRDefault="00B977CD" w:rsidP="00C47E57">
            <w:pPr>
              <w:pStyle w:val="ListParagraph"/>
              <w:ind w:left="0"/>
              <w:rPr>
                <w:rFonts w:cs="Times New Roman"/>
                <w:b/>
                <w:sz w:val="20"/>
                <w:szCs w:val="20"/>
              </w:rPr>
            </w:pPr>
            <w:r w:rsidRPr="00F7263B">
              <w:rPr>
                <w:rFonts w:cs="Times New Roman"/>
                <w:b/>
                <w:sz w:val="20"/>
                <w:szCs w:val="20"/>
              </w:rPr>
              <w:t>DLI 1</w:t>
            </w:r>
          </w:p>
          <w:p w:rsidR="00B977CD" w:rsidRPr="00F7263B" w:rsidRDefault="00B977CD" w:rsidP="00C47E57">
            <w:pPr>
              <w:pStyle w:val="ListParagraph"/>
              <w:ind w:left="0"/>
              <w:rPr>
                <w:rFonts w:cs="Times New Roman"/>
                <w:sz w:val="20"/>
                <w:szCs w:val="20"/>
              </w:rPr>
            </w:pPr>
            <w:r w:rsidRPr="00F7263B">
              <w:rPr>
                <w:rFonts w:cs="Times New Roman"/>
                <w:sz w:val="20"/>
                <w:szCs w:val="20"/>
              </w:rPr>
              <w:t>ULGs have achieved Program minimum conditions in the annual assessment</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10803" w:rsidP="00C47E57">
            <w:pPr>
              <w:contextualSpacing/>
              <w:jc w:val="center"/>
              <w:rPr>
                <w:rFonts w:cs="Times New Roman"/>
                <w:sz w:val="20"/>
                <w:szCs w:val="20"/>
              </w:rPr>
            </w:pPr>
            <w:r w:rsidRPr="00F7263B">
              <w:rPr>
                <w:rFonts w:cs="Times New Roman"/>
                <w:sz w:val="20"/>
                <w:szCs w:val="20"/>
              </w:rPr>
              <w:t>0</w:t>
            </w:r>
          </w:p>
        </w:tc>
        <w:tc>
          <w:tcPr>
            <w:tcW w:w="1260" w:type="dxa"/>
            <w:vAlign w:val="center"/>
          </w:tcPr>
          <w:p w:rsidR="00B977CD" w:rsidRPr="00F7263B" w:rsidRDefault="00B977CD" w:rsidP="00B233B7">
            <w:pPr>
              <w:contextualSpacing/>
              <w:jc w:val="center"/>
              <w:rPr>
                <w:rFonts w:cs="Times New Roman"/>
                <w:sz w:val="20"/>
                <w:szCs w:val="20"/>
              </w:rPr>
            </w:pPr>
            <w:r w:rsidRPr="00F7263B">
              <w:rPr>
                <w:rFonts w:cs="Times New Roman"/>
                <w:sz w:val="20"/>
                <w:szCs w:val="20"/>
              </w:rPr>
              <w:t>44</w:t>
            </w:r>
            <w:r w:rsidR="00E4464E" w:rsidRPr="00F7263B">
              <w:rPr>
                <w:rFonts w:cs="Times New Roman"/>
                <w:sz w:val="20"/>
                <w:szCs w:val="20"/>
              </w:rPr>
              <w:t xml:space="preserve"> ULGs</w:t>
            </w:r>
          </w:p>
        </w:tc>
        <w:tc>
          <w:tcPr>
            <w:tcW w:w="1260" w:type="dxa"/>
            <w:vAlign w:val="center"/>
          </w:tcPr>
          <w:p w:rsidR="00B977CD" w:rsidRPr="00F7263B" w:rsidRDefault="00B977CD" w:rsidP="00B233B7">
            <w:pPr>
              <w:contextualSpacing/>
              <w:jc w:val="center"/>
              <w:rPr>
                <w:rFonts w:cs="Times New Roman"/>
                <w:sz w:val="20"/>
                <w:szCs w:val="20"/>
              </w:rPr>
            </w:pPr>
            <w:r w:rsidRPr="00F7263B">
              <w:rPr>
                <w:rFonts w:cs="Times New Roman"/>
                <w:sz w:val="20"/>
                <w:szCs w:val="20"/>
              </w:rPr>
              <w:t>44ULGs</w:t>
            </w:r>
          </w:p>
        </w:tc>
        <w:tc>
          <w:tcPr>
            <w:tcW w:w="1260" w:type="dxa"/>
            <w:vAlign w:val="center"/>
          </w:tcPr>
          <w:p w:rsidR="00B977CD" w:rsidRPr="00F7263B" w:rsidRDefault="00B977CD" w:rsidP="00B233B7">
            <w:pPr>
              <w:contextualSpacing/>
              <w:jc w:val="center"/>
              <w:rPr>
                <w:rFonts w:cs="Times New Roman"/>
                <w:sz w:val="20"/>
                <w:szCs w:val="20"/>
              </w:rPr>
            </w:pPr>
            <w:r w:rsidRPr="00F7263B">
              <w:rPr>
                <w:rFonts w:cs="Times New Roman"/>
                <w:sz w:val="20"/>
                <w:szCs w:val="20"/>
              </w:rPr>
              <w:t>44ULGs</w:t>
            </w:r>
          </w:p>
        </w:tc>
        <w:tc>
          <w:tcPr>
            <w:tcW w:w="1260" w:type="dxa"/>
            <w:vAlign w:val="center"/>
          </w:tcPr>
          <w:p w:rsidR="00B977CD" w:rsidRPr="00F7263B" w:rsidRDefault="00B977CD" w:rsidP="00B233B7">
            <w:pPr>
              <w:contextualSpacing/>
              <w:jc w:val="center"/>
              <w:rPr>
                <w:rFonts w:cs="Times New Roman"/>
                <w:sz w:val="20"/>
                <w:szCs w:val="20"/>
              </w:rPr>
            </w:pPr>
            <w:r w:rsidRPr="00F7263B">
              <w:rPr>
                <w:rFonts w:cs="Times New Roman"/>
                <w:sz w:val="20"/>
                <w:szCs w:val="20"/>
              </w:rPr>
              <w:t>44ULGs</w:t>
            </w:r>
          </w:p>
        </w:tc>
        <w:tc>
          <w:tcPr>
            <w:tcW w:w="1256" w:type="dxa"/>
            <w:vAlign w:val="center"/>
          </w:tcPr>
          <w:p w:rsidR="00B977CD" w:rsidRPr="00F7263B" w:rsidRDefault="00B977CD" w:rsidP="00B233B7">
            <w:pPr>
              <w:contextualSpacing/>
              <w:jc w:val="center"/>
              <w:rPr>
                <w:rFonts w:cs="Times New Roman"/>
                <w:sz w:val="20"/>
                <w:szCs w:val="20"/>
              </w:rPr>
            </w:pPr>
            <w:r w:rsidRPr="00F7263B">
              <w:rPr>
                <w:rFonts w:cs="Times New Roman"/>
                <w:sz w:val="20"/>
                <w:szCs w:val="20"/>
              </w:rPr>
              <w:t>44ULGs</w:t>
            </w:r>
          </w:p>
        </w:tc>
      </w:tr>
      <w:tr w:rsidR="00B977CD" w:rsidRPr="00F7263B" w:rsidTr="00254260">
        <w:trPr>
          <w:trHeight w:val="611"/>
          <w:jc w:val="center"/>
        </w:trPr>
        <w:tc>
          <w:tcPr>
            <w:tcW w:w="2607" w:type="dxa"/>
            <w:vAlign w:val="center"/>
          </w:tcPr>
          <w:p w:rsidR="00B977CD" w:rsidRPr="00F7263B" w:rsidRDefault="00B977CD" w:rsidP="00254260">
            <w:pPr>
              <w:contextualSpacing/>
              <w:jc w:val="right"/>
              <w:rPr>
                <w:rFonts w:cs="Times New Roman"/>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$90 million</w:t>
            </w:r>
          </w:p>
        </w:tc>
        <w:tc>
          <w:tcPr>
            <w:tcW w:w="1311"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2</w:t>
            </w:r>
            <w:r w:rsidR="00FE7CB2" w:rsidRPr="00F7263B">
              <w:rPr>
                <w:rFonts w:cs="Times New Roman"/>
                <w:sz w:val="20"/>
                <w:szCs w:val="20"/>
              </w:rPr>
              <w:t>3</w:t>
            </w:r>
            <w:r w:rsidRPr="00F7263B">
              <w:rPr>
                <w:rFonts w:cs="Times New Roman"/>
                <w:sz w:val="20"/>
                <w:szCs w:val="20"/>
              </w:rPr>
              <w:t>.</w:t>
            </w:r>
            <w:r w:rsidR="00FE7CB2" w:rsidRPr="00F7263B">
              <w:rPr>
                <w:rFonts w:cs="Times New Roman"/>
                <w:sz w:val="20"/>
                <w:szCs w:val="20"/>
              </w:rPr>
              <w:t>68</w:t>
            </w:r>
            <w:r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$18 million</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$18 million</w:t>
            </w:r>
          </w:p>
        </w:tc>
        <w:tc>
          <w:tcPr>
            <w:tcW w:w="1260" w:type="dxa"/>
            <w:vAlign w:val="center"/>
          </w:tcPr>
          <w:p w:rsidR="00B977CD" w:rsidRPr="00F7263B" w:rsidRDefault="00B977CD" w:rsidP="00C47E57">
            <w:pPr>
              <w:contextualSpacing/>
              <w:jc w:val="center"/>
              <w:rPr>
                <w:rFonts w:cs="Times New Roman"/>
                <w:b/>
                <w:sz w:val="20"/>
                <w:szCs w:val="20"/>
              </w:rPr>
            </w:pPr>
            <w:r w:rsidRPr="00F7263B">
              <w:rPr>
                <w:rFonts w:cs="Times New Roman"/>
                <w:sz w:val="20"/>
                <w:szCs w:val="20"/>
              </w:rPr>
              <w:t>$18 million</w:t>
            </w:r>
          </w:p>
        </w:tc>
        <w:tc>
          <w:tcPr>
            <w:tcW w:w="1260" w:type="dxa"/>
            <w:vAlign w:val="center"/>
          </w:tcPr>
          <w:p w:rsidR="00B977CD" w:rsidRPr="00F7263B" w:rsidRDefault="00B977CD" w:rsidP="00C47E57">
            <w:pPr>
              <w:contextualSpacing/>
              <w:jc w:val="center"/>
              <w:rPr>
                <w:rFonts w:cs="Times New Roman"/>
                <w:b/>
                <w:sz w:val="20"/>
                <w:szCs w:val="20"/>
              </w:rPr>
            </w:pPr>
            <w:r w:rsidRPr="00F7263B">
              <w:rPr>
                <w:rFonts w:cs="Times New Roman"/>
                <w:sz w:val="20"/>
                <w:szCs w:val="20"/>
              </w:rPr>
              <w:t>$18 million</w:t>
            </w:r>
          </w:p>
        </w:tc>
        <w:tc>
          <w:tcPr>
            <w:tcW w:w="1256"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$18 million</w:t>
            </w:r>
          </w:p>
        </w:tc>
      </w:tr>
      <w:tr w:rsidR="00B977CD" w:rsidRPr="00F7263B" w:rsidTr="00254260">
        <w:trPr>
          <w:trHeight w:val="530"/>
          <w:jc w:val="center"/>
        </w:trPr>
        <w:tc>
          <w:tcPr>
            <w:tcW w:w="2607" w:type="dxa"/>
          </w:tcPr>
          <w:p w:rsidR="00B977CD" w:rsidRPr="00F7263B" w:rsidRDefault="00B977CD" w:rsidP="00C47E57">
            <w:pPr>
              <w:pStyle w:val="ListParagraph"/>
              <w:ind w:left="0"/>
              <w:rPr>
                <w:rFonts w:cs="Times New Roman"/>
                <w:b/>
                <w:sz w:val="20"/>
                <w:szCs w:val="20"/>
              </w:rPr>
            </w:pPr>
            <w:r w:rsidRPr="00F7263B">
              <w:rPr>
                <w:rFonts w:cs="Times New Roman"/>
                <w:b/>
                <w:sz w:val="20"/>
                <w:szCs w:val="20"/>
              </w:rPr>
              <w:t>DLI 2</w:t>
            </w:r>
          </w:p>
          <w:p w:rsidR="00B977CD" w:rsidRPr="00F7263B" w:rsidRDefault="00B977CD" w:rsidP="00C47E57">
            <w:pPr>
              <w:pStyle w:val="ListParagraph"/>
              <w:ind w:left="0"/>
              <w:rPr>
                <w:rFonts w:cs="Times New Roman"/>
                <w:sz w:val="20"/>
                <w:szCs w:val="20"/>
              </w:rPr>
            </w:pPr>
            <w:r w:rsidRPr="00F7263B">
              <w:rPr>
                <w:rFonts w:cs="Times New Roman"/>
                <w:sz w:val="20"/>
                <w:szCs w:val="20"/>
              </w:rPr>
              <w:t>ULGs have strengthened institutional performance  as scored in the annual performance assessment</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10803" w:rsidP="00C47E57">
            <w:pPr>
              <w:contextualSpacing/>
              <w:jc w:val="center"/>
              <w:rPr>
                <w:rFonts w:cs="Times New Roman"/>
                <w:sz w:val="20"/>
                <w:szCs w:val="20"/>
              </w:rPr>
            </w:pPr>
            <w:r w:rsidRPr="00F7263B">
              <w:rPr>
                <w:rFonts w:cs="Times New Roman"/>
                <w:sz w:val="20"/>
                <w:szCs w:val="20"/>
              </w:rPr>
              <w:t>0</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60</w:t>
            </w:r>
            <w:r w:rsidR="00591CB8" w:rsidRPr="00F7263B">
              <w:rPr>
                <w:rFonts w:cs="Times New Roman"/>
                <w:sz w:val="20"/>
                <w:szCs w:val="20"/>
              </w:rPr>
              <w:t xml:space="preserve"> (average score)</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65</w:t>
            </w:r>
            <w:r w:rsidR="00591CB8" w:rsidRPr="00F7263B">
              <w:rPr>
                <w:rFonts w:cs="Times New Roman"/>
                <w:sz w:val="20"/>
                <w:szCs w:val="20"/>
              </w:rPr>
              <w:t xml:space="preserve"> (average score)</w:t>
            </w:r>
          </w:p>
        </w:tc>
        <w:tc>
          <w:tcPr>
            <w:tcW w:w="1260" w:type="dxa"/>
            <w:vAlign w:val="center"/>
          </w:tcPr>
          <w:p w:rsidR="00B977CD" w:rsidRPr="00F7263B" w:rsidRDefault="00B977CD" w:rsidP="00B233B7">
            <w:pPr>
              <w:contextualSpacing/>
              <w:jc w:val="center"/>
              <w:rPr>
                <w:rFonts w:cs="Times New Roman"/>
                <w:sz w:val="20"/>
                <w:szCs w:val="20"/>
              </w:rPr>
            </w:pPr>
            <w:r w:rsidRPr="00F7263B">
              <w:rPr>
                <w:rFonts w:cs="Times New Roman"/>
                <w:sz w:val="20"/>
                <w:szCs w:val="20"/>
              </w:rPr>
              <w:t>70</w:t>
            </w:r>
            <w:r w:rsidR="00591CB8" w:rsidRPr="00F7263B">
              <w:rPr>
                <w:rFonts w:cs="Times New Roman"/>
                <w:sz w:val="20"/>
                <w:szCs w:val="20"/>
              </w:rPr>
              <w:t xml:space="preserve"> (average score)</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75</w:t>
            </w:r>
            <w:r w:rsidR="00591CB8" w:rsidRPr="00F7263B">
              <w:rPr>
                <w:rFonts w:cs="Times New Roman"/>
                <w:sz w:val="20"/>
                <w:szCs w:val="20"/>
              </w:rPr>
              <w:t xml:space="preserve"> (average score)</w:t>
            </w:r>
          </w:p>
        </w:tc>
        <w:tc>
          <w:tcPr>
            <w:tcW w:w="1256"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80</w:t>
            </w:r>
            <w:r w:rsidR="00591CB8" w:rsidRPr="00F7263B">
              <w:rPr>
                <w:rFonts w:cs="Times New Roman"/>
                <w:sz w:val="20"/>
                <w:szCs w:val="20"/>
              </w:rPr>
              <w:t xml:space="preserve"> (average score)</w:t>
            </w:r>
          </w:p>
        </w:tc>
      </w:tr>
      <w:tr w:rsidR="00B977CD" w:rsidRPr="00F7263B" w:rsidTr="00254260">
        <w:trPr>
          <w:trHeight w:val="719"/>
          <w:jc w:val="center"/>
        </w:trPr>
        <w:tc>
          <w:tcPr>
            <w:tcW w:w="2607" w:type="dxa"/>
            <w:vAlign w:val="center"/>
          </w:tcPr>
          <w:p w:rsidR="00B977CD" w:rsidRPr="00F7263B" w:rsidRDefault="00B977CD" w:rsidP="00254260">
            <w:pPr>
              <w:contextualSpacing/>
              <w:jc w:val="right"/>
              <w:rPr>
                <w:rFonts w:cs="Times New Roman"/>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$15</w:t>
            </w:r>
            <w:r w:rsidR="00FE7CB2" w:rsidRPr="00F7263B">
              <w:rPr>
                <w:rFonts w:cs="Times New Roman"/>
                <w:sz w:val="20"/>
                <w:szCs w:val="20"/>
              </w:rPr>
              <w:t>8</w:t>
            </w:r>
            <w:r w:rsidRPr="00F7263B">
              <w:rPr>
                <w:rFonts w:cs="Times New Roman"/>
                <w:sz w:val="20"/>
                <w:szCs w:val="20"/>
              </w:rPr>
              <w:t xml:space="preserve"> million</w:t>
            </w:r>
          </w:p>
        </w:tc>
        <w:tc>
          <w:tcPr>
            <w:tcW w:w="1311"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4</w:t>
            </w:r>
            <w:r w:rsidR="00FE7CB2" w:rsidRPr="00F7263B">
              <w:rPr>
                <w:rFonts w:cs="Times New Roman"/>
                <w:sz w:val="20"/>
                <w:szCs w:val="20"/>
              </w:rPr>
              <w:t>1</w:t>
            </w:r>
            <w:r w:rsidRPr="00F7263B">
              <w:rPr>
                <w:rFonts w:cs="Times New Roman"/>
                <w:sz w:val="20"/>
                <w:szCs w:val="20"/>
              </w:rPr>
              <w:t>.</w:t>
            </w:r>
            <w:r w:rsidR="00FE7CB2" w:rsidRPr="00F7263B">
              <w:rPr>
                <w:rFonts w:cs="Times New Roman"/>
                <w:sz w:val="20"/>
                <w:szCs w:val="20"/>
              </w:rPr>
              <w:t>58</w:t>
            </w:r>
            <w:r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$2</w:t>
            </w:r>
            <w:r w:rsidR="00FE7CB2" w:rsidRPr="00F7263B">
              <w:rPr>
                <w:rFonts w:cs="Times New Roman"/>
                <w:sz w:val="20"/>
                <w:szCs w:val="20"/>
              </w:rPr>
              <w:t>1.8</w:t>
            </w:r>
            <w:r w:rsidRPr="00F7263B">
              <w:rPr>
                <w:rFonts w:cs="Times New Roman"/>
                <w:sz w:val="20"/>
                <w:szCs w:val="20"/>
              </w:rPr>
              <w:t xml:space="preserve"> million</w:t>
            </w:r>
            <w:r w:rsidRPr="00F7263B">
              <w:rPr>
                <w:rStyle w:val="FootnoteReference"/>
                <w:sz w:val="20"/>
                <w:szCs w:val="20"/>
              </w:rPr>
              <w:footnoteReference w:id="35"/>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$3</w:t>
            </w:r>
            <w:r w:rsidR="00FE7CB2" w:rsidRPr="00F7263B">
              <w:rPr>
                <w:rFonts w:cs="Times New Roman"/>
                <w:sz w:val="20"/>
                <w:szCs w:val="20"/>
              </w:rPr>
              <w:t>4.1</w:t>
            </w:r>
            <w:r w:rsidRPr="00F7263B">
              <w:rPr>
                <w:rFonts w:cs="Times New Roman"/>
                <w:sz w:val="20"/>
                <w:szCs w:val="20"/>
              </w:rPr>
              <w:t xml:space="preserve"> million</w:t>
            </w:r>
          </w:p>
        </w:tc>
        <w:tc>
          <w:tcPr>
            <w:tcW w:w="1260" w:type="dxa"/>
            <w:vAlign w:val="center"/>
          </w:tcPr>
          <w:p w:rsidR="00B977CD" w:rsidRPr="00F7263B" w:rsidRDefault="00B977CD" w:rsidP="00C47E57">
            <w:pPr>
              <w:contextualSpacing/>
              <w:jc w:val="center"/>
              <w:rPr>
                <w:rFonts w:cs="Times New Roman"/>
                <w:b/>
                <w:sz w:val="20"/>
                <w:szCs w:val="20"/>
              </w:rPr>
            </w:pPr>
            <w:r w:rsidRPr="00F7263B">
              <w:rPr>
                <w:rFonts w:cs="Times New Roman"/>
                <w:sz w:val="20"/>
                <w:szCs w:val="20"/>
              </w:rPr>
              <w:t>$3</w:t>
            </w:r>
            <w:r w:rsidR="00FE7CB2" w:rsidRPr="00F7263B">
              <w:rPr>
                <w:rFonts w:cs="Times New Roman"/>
                <w:sz w:val="20"/>
                <w:szCs w:val="20"/>
              </w:rPr>
              <w:t>4.1</w:t>
            </w:r>
            <w:r w:rsidRPr="00F7263B">
              <w:rPr>
                <w:rFonts w:cs="Times New Roman"/>
                <w:sz w:val="20"/>
                <w:szCs w:val="20"/>
              </w:rPr>
              <w:t xml:space="preserve"> million</w:t>
            </w:r>
          </w:p>
        </w:tc>
        <w:tc>
          <w:tcPr>
            <w:tcW w:w="1260" w:type="dxa"/>
            <w:vAlign w:val="center"/>
          </w:tcPr>
          <w:p w:rsidR="00B977CD" w:rsidRPr="00F7263B" w:rsidRDefault="00B977CD" w:rsidP="00C47E57">
            <w:pPr>
              <w:contextualSpacing/>
              <w:jc w:val="center"/>
              <w:rPr>
                <w:rFonts w:cs="Times New Roman"/>
                <w:b/>
                <w:sz w:val="20"/>
                <w:szCs w:val="20"/>
              </w:rPr>
            </w:pPr>
            <w:r w:rsidRPr="00F7263B">
              <w:rPr>
                <w:rFonts w:cs="Times New Roman"/>
                <w:sz w:val="20"/>
                <w:szCs w:val="20"/>
              </w:rPr>
              <w:t>$3</w:t>
            </w:r>
            <w:r w:rsidR="00FE7CB2" w:rsidRPr="00F7263B">
              <w:rPr>
                <w:rFonts w:cs="Times New Roman"/>
                <w:sz w:val="20"/>
                <w:szCs w:val="20"/>
              </w:rPr>
              <w:t>4.1</w:t>
            </w:r>
            <w:r w:rsidRPr="00F7263B">
              <w:rPr>
                <w:rFonts w:cs="Times New Roman"/>
                <w:sz w:val="20"/>
                <w:szCs w:val="20"/>
              </w:rPr>
              <w:t xml:space="preserve"> million</w:t>
            </w:r>
          </w:p>
        </w:tc>
        <w:tc>
          <w:tcPr>
            <w:tcW w:w="1256"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$3</w:t>
            </w:r>
            <w:r w:rsidR="00FE7CB2" w:rsidRPr="00F7263B">
              <w:rPr>
                <w:rFonts w:cs="Times New Roman"/>
                <w:sz w:val="20"/>
                <w:szCs w:val="20"/>
              </w:rPr>
              <w:t>4.1</w:t>
            </w:r>
            <w:r w:rsidRPr="00F7263B">
              <w:rPr>
                <w:rFonts w:cs="Times New Roman"/>
                <w:sz w:val="20"/>
                <w:szCs w:val="20"/>
              </w:rPr>
              <w:t>million</w:t>
            </w:r>
          </w:p>
        </w:tc>
      </w:tr>
      <w:tr w:rsidR="00B977CD" w:rsidRPr="00F7263B" w:rsidTr="00254260">
        <w:trPr>
          <w:trHeight w:val="701"/>
          <w:jc w:val="center"/>
        </w:trPr>
        <w:tc>
          <w:tcPr>
            <w:tcW w:w="2607" w:type="dxa"/>
          </w:tcPr>
          <w:p w:rsidR="00B977CD" w:rsidRPr="00F7263B" w:rsidRDefault="00B977CD" w:rsidP="00C47E57">
            <w:pPr>
              <w:pStyle w:val="ListParagraph"/>
              <w:ind w:left="0"/>
              <w:rPr>
                <w:rFonts w:cs="Times New Roman"/>
                <w:b/>
                <w:sz w:val="20"/>
                <w:szCs w:val="20"/>
              </w:rPr>
            </w:pPr>
            <w:r w:rsidRPr="00F7263B">
              <w:rPr>
                <w:rFonts w:cs="Times New Roman"/>
                <w:b/>
                <w:sz w:val="20"/>
                <w:szCs w:val="20"/>
              </w:rPr>
              <w:t>DLI 3</w:t>
            </w:r>
          </w:p>
          <w:p w:rsidR="00B977CD" w:rsidRPr="00F7263B" w:rsidRDefault="00B977CD" w:rsidP="00C47E57">
            <w:pPr>
              <w:pStyle w:val="ListParagraph"/>
              <w:ind w:left="0"/>
              <w:rPr>
                <w:rFonts w:cs="Times New Roman"/>
                <w:sz w:val="20"/>
                <w:szCs w:val="20"/>
              </w:rPr>
            </w:pPr>
            <w:r w:rsidRPr="00F7263B">
              <w:rPr>
                <w:rFonts w:cs="Times New Roman"/>
                <w:sz w:val="20"/>
                <w:szCs w:val="20"/>
              </w:rPr>
              <w:t>ULGs have delivered infrastructure, maintenance and supported job creation as per their annual action plans and the capital investment plans, as scored in the annual performance assessment, and ensured value for the money</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10803" w:rsidP="00C47E57">
            <w:pPr>
              <w:contextualSpacing/>
              <w:jc w:val="center"/>
              <w:rPr>
                <w:rFonts w:cs="Times New Roman"/>
                <w:sz w:val="20"/>
                <w:szCs w:val="20"/>
              </w:rPr>
            </w:pPr>
            <w:r w:rsidRPr="00F7263B">
              <w:rPr>
                <w:rFonts w:cs="Times New Roman"/>
                <w:sz w:val="20"/>
                <w:szCs w:val="20"/>
              </w:rPr>
              <w:t>0</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60</w:t>
            </w:r>
            <w:r w:rsidR="00591CB8" w:rsidRPr="00F7263B">
              <w:rPr>
                <w:rFonts w:cs="Times New Roman"/>
                <w:sz w:val="20"/>
                <w:szCs w:val="20"/>
              </w:rPr>
              <w:t xml:space="preserve"> (average score)</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65</w:t>
            </w:r>
            <w:r w:rsidR="00591CB8" w:rsidRPr="00F7263B">
              <w:rPr>
                <w:rFonts w:cs="Times New Roman"/>
                <w:sz w:val="20"/>
                <w:szCs w:val="20"/>
              </w:rPr>
              <w:t xml:space="preserve"> (average score)</w:t>
            </w:r>
          </w:p>
        </w:tc>
        <w:tc>
          <w:tcPr>
            <w:tcW w:w="1260" w:type="dxa"/>
            <w:vAlign w:val="center"/>
          </w:tcPr>
          <w:p w:rsidR="00B977CD" w:rsidRPr="00F7263B" w:rsidRDefault="00B977CD" w:rsidP="00C47E57">
            <w:pPr>
              <w:contextualSpacing/>
              <w:jc w:val="center"/>
              <w:rPr>
                <w:rFonts w:cs="Times New Roman"/>
                <w:sz w:val="20"/>
                <w:szCs w:val="20"/>
              </w:rPr>
            </w:pPr>
          </w:p>
          <w:p w:rsidR="00B977CD" w:rsidRPr="00F7263B" w:rsidRDefault="00B977CD" w:rsidP="00C47E57">
            <w:pPr>
              <w:contextualSpacing/>
              <w:jc w:val="center"/>
              <w:rPr>
                <w:rFonts w:cs="Times New Roman"/>
                <w:sz w:val="20"/>
                <w:szCs w:val="20"/>
              </w:rPr>
            </w:pPr>
            <w:r w:rsidRPr="00F7263B">
              <w:rPr>
                <w:rFonts w:cs="Times New Roman"/>
                <w:sz w:val="20"/>
                <w:szCs w:val="20"/>
              </w:rPr>
              <w:t>70</w:t>
            </w:r>
            <w:r w:rsidR="00591CB8" w:rsidRPr="00F7263B">
              <w:rPr>
                <w:rFonts w:cs="Times New Roman"/>
                <w:sz w:val="20"/>
                <w:szCs w:val="20"/>
              </w:rPr>
              <w:t xml:space="preserve"> (average score)</w:t>
            </w:r>
          </w:p>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75</w:t>
            </w:r>
            <w:r w:rsidR="00591CB8" w:rsidRPr="00F7263B">
              <w:rPr>
                <w:rFonts w:cs="Times New Roman"/>
                <w:sz w:val="20"/>
                <w:szCs w:val="20"/>
              </w:rPr>
              <w:t xml:space="preserve"> (average score)</w:t>
            </w:r>
          </w:p>
        </w:tc>
        <w:tc>
          <w:tcPr>
            <w:tcW w:w="1256"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80</w:t>
            </w:r>
            <w:r w:rsidR="00591CB8" w:rsidRPr="00F7263B">
              <w:rPr>
                <w:rFonts w:cs="Times New Roman"/>
                <w:sz w:val="20"/>
                <w:szCs w:val="20"/>
              </w:rPr>
              <w:t xml:space="preserve"> (average score)</w:t>
            </w:r>
          </w:p>
        </w:tc>
      </w:tr>
      <w:tr w:rsidR="00B977CD" w:rsidRPr="00F7263B" w:rsidTr="00254260">
        <w:trPr>
          <w:trHeight w:val="719"/>
          <w:jc w:val="center"/>
        </w:trPr>
        <w:tc>
          <w:tcPr>
            <w:tcW w:w="2607" w:type="dxa"/>
            <w:vAlign w:val="center"/>
          </w:tcPr>
          <w:p w:rsidR="00B977CD" w:rsidRPr="00F7263B" w:rsidRDefault="00B977CD" w:rsidP="00254260">
            <w:pPr>
              <w:contextualSpacing/>
              <w:jc w:val="right"/>
              <w:rPr>
                <w:rFonts w:cs="Times New Roman"/>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FE7CB2" w:rsidRPr="00F7263B">
              <w:rPr>
                <w:rFonts w:cs="Times New Roman"/>
                <w:sz w:val="20"/>
                <w:szCs w:val="20"/>
              </w:rPr>
              <w:t>75</w:t>
            </w:r>
            <w:r w:rsidRPr="00F7263B">
              <w:rPr>
                <w:rFonts w:cs="Times New Roman"/>
                <w:sz w:val="20"/>
                <w:szCs w:val="20"/>
              </w:rPr>
              <w:t xml:space="preserve"> million</w:t>
            </w:r>
          </w:p>
        </w:tc>
        <w:tc>
          <w:tcPr>
            <w:tcW w:w="1311"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FE7CB2" w:rsidRPr="00F7263B">
              <w:rPr>
                <w:rFonts w:cs="Times New Roman"/>
                <w:sz w:val="20"/>
                <w:szCs w:val="20"/>
              </w:rPr>
              <w:t>9.74</w:t>
            </w:r>
            <w:r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FE7CB2" w:rsidRPr="00F7263B">
              <w:rPr>
                <w:rFonts w:cs="Times New Roman"/>
                <w:sz w:val="20"/>
                <w:szCs w:val="20"/>
              </w:rPr>
              <w:t>10.3</w:t>
            </w:r>
            <w:r w:rsidRPr="00F7263B">
              <w:rPr>
                <w:rFonts w:cs="Times New Roman"/>
                <w:sz w:val="20"/>
                <w:szCs w:val="20"/>
              </w:rPr>
              <w:t xml:space="preserve"> million</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FE7CB2" w:rsidRPr="00F7263B">
              <w:rPr>
                <w:rFonts w:cs="Times New Roman"/>
                <w:sz w:val="20"/>
                <w:szCs w:val="20"/>
              </w:rPr>
              <w:t>6</w:t>
            </w:r>
            <w:r w:rsidRPr="00F7263B">
              <w:rPr>
                <w:rFonts w:cs="Times New Roman"/>
                <w:sz w:val="20"/>
                <w:szCs w:val="20"/>
              </w:rPr>
              <w:t>.</w:t>
            </w:r>
            <w:r w:rsidR="00FE7CB2" w:rsidRPr="00F7263B">
              <w:rPr>
                <w:rFonts w:cs="Times New Roman"/>
                <w:sz w:val="20"/>
                <w:szCs w:val="20"/>
              </w:rPr>
              <w:t>2</w:t>
            </w:r>
            <w:r w:rsidRPr="00F7263B">
              <w:rPr>
                <w:rFonts w:cs="Times New Roman"/>
                <w:sz w:val="20"/>
                <w:szCs w:val="20"/>
              </w:rPr>
              <w:t xml:space="preserve"> million</w:t>
            </w:r>
          </w:p>
        </w:tc>
        <w:tc>
          <w:tcPr>
            <w:tcW w:w="1260" w:type="dxa"/>
            <w:vAlign w:val="center"/>
          </w:tcPr>
          <w:p w:rsidR="00B977CD" w:rsidRPr="00F7263B" w:rsidRDefault="00B977CD" w:rsidP="00C47E57">
            <w:pPr>
              <w:contextualSpacing/>
              <w:jc w:val="center"/>
              <w:rPr>
                <w:rFonts w:cs="Times New Roman"/>
                <w:b/>
                <w:sz w:val="20"/>
                <w:szCs w:val="20"/>
              </w:rPr>
            </w:pPr>
            <w:r w:rsidRPr="00F7263B">
              <w:rPr>
                <w:rFonts w:cs="Times New Roman"/>
                <w:sz w:val="20"/>
                <w:szCs w:val="20"/>
              </w:rPr>
              <w:t>$</w:t>
            </w:r>
            <w:r w:rsidR="00FE7CB2" w:rsidRPr="00F7263B">
              <w:rPr>
                <w:rFonts w:cs="Times New Roman"/>
                <w:sz w:val="20"/>
                <w:szCs w:val="20"/>
              </w:rPr>
              <w:t xml:space="preserve">16.2 </w:t>
            </w:r>
            <w:r w:rsidRPr="00F7263B">
              <w:rPr>
                <w:rFonts w:cs="Times New Roman"/>
                <w:sz w:val="20"/>
                <w:szCs w:val="20"/>
              </w:rPr>
              <w:t>million</w:t>
            </w:r>
          </w:p>
        </w:tc>
        <w:tc>
          <w:tcPr>
            <w:tcW w:w="1260" w:type="dxa"/>
            <w:vAlign w:val="center"/>
          </w:tcPr>
          <w:p w:rsidR="00B977CD" w:rsidRPr="00F7263B" w:rsidRDefault="00B977CD" w:rsidP="00C47E57">
            <w:pPr>
              <w:contextualSpacing/>
              <w:jc w:val="center"/>
              <w:rPr>
                <w:rFonts w:cs="Times New Roman"/>
                <w:b/>
                <w:sz w:val="20"/>
                <w:szCs w:val="20"/>
              </w:rPr>
            </w:pPr>
            <w:r w:rsidRPr="00F7263B">
              <w:rPr>
                <w:rFonts w:cs="Times New Roman"/>
                <w:sz w:val="20"/>
                <w:szCs w:val="20"/>
              </w:rPr>
              <w:t>$1</w:t>
            </w:r>
            <w:r w:rsidR="00FE7CB2" w:rsidRPr="00F7263B">
              <w:rPr>
                <w:rFonts w:cs="Times New Roman"/>
                <w:sz w:val="20"/>
                <w:szCs w:val="20"/>
              </w:rPr>
              <w:t>6.2</w:t>
            </w:r>
            <w:r w:rsidRPr="00F7263B">
              <w:rPr>
                <w:rFonts w:cs="Times New Roman"/>
                <w:sz w:val="20"/>
                <w:szCs w:val="20"/>
              </w:rPr>
              <w:t xml:space="preserve"> million</w:t>
            </w:r>
          </w:p>
        </w:tc>
        <w:tc>
          <w:tcPr>
            <w:tcW w:w="1256"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FE7CB2" w:rsidRPr="00F7263B">
              <w:rPr>
                <w:rFonts w:cs="Times New Roman"/>
                <w:sz w:val="20"/>
                <w:szCs w:val="20"/>
              </w:rPr>
              <w:t>6.2</w:t>
            </w:r>
            <w:r w:rsidRPr="00F7263B">
              <w:rPr>
                <w:rFonts w:cs="Times New Roman"/>
                <w:sz w:val="20"/>
                <w:szCs w:val="20"/>
              </w:rPr>
              <w:t xml:space="preserve"> million</w:t>
            </w:r>
          </w:p>
        </w:tc>
      </w:tr>
      <w:tr w:rsidR="00B977CD" w:rsidRPr="00F7263B" w:rsidTr="00254260">
        <w:trPr>
          <w:trHeight w:val="611"/>
          <w:jc w:val="center"/>
        </w:trPr>
        <w:tc>
          <w:tcPr>
            <w:tcW w:w="2607" w:type="dxa"/>
          </w:tcPr>
          <w:p w:rsidR="00B977CD" w:rsidRPr="00F7263B" w:rsidRDefault="00B977CD" w:rsidP="00C47E57">
            <w:pPr>
              <w:contextualSpacing/>
              <w:rPr>
                <w:rFonts w:cs="Times New Roman"/>
                <w:b/>
                <w:sz w:val="20"/>
                <w:szCs w:val="20"/>
              </w:rPr>
            </w:pPr>
            <w:r w:rsidRPr="00F7263B">
              <w:rPr>
                <w:rFonts w:cs="Times New Roman"/>
                <w:b/>
                <w:sz w:val="20"/>
                <w:szCs w:val="20"/>
              </w:rPr>
              <w:lastRenderedPageBreak/>
              <w:t>DLI 4</w:t>
            </w:r>
          </w:p>
          <w:p w:rsidR="00B977CD" w:rsidRPr="00F7263B" w:rsidRDefault="00B977CD" w:rsidP="00C47E57">
            <w:pPr>
              <w:contextualSpacing/>
              <w:rPr>
                <w:rFonts w:cs="Times New Roman"/>
                <w:sz w:val="20"/>
                <w:szCs w:val="20"/>
              </w:rPr>
            </w:pPr>
            <w:r w:rsidRPr="00F7263B">
              <w:rPr>
                <w:rFonts w:cs="Times New Roman"/>
                <w:sz w:val="20"/>
                <w:szCs w:val="20"/>
              </w:rPr>
              <w:t>Regional government capacity building and support teams in place and support urban service delivery</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10803" w:rsidP="00C47E57">
            <w:pPr>
              <w:contextualSpacing/>
              <w:jc w:val="center"/>
              <w:rPr>
                <w:rFonts w:cs="Times New Roman"/>
                <w:sz w:val="20"/>
                <w:szCs w:val="20"/>
              </w:rPr>
            </w:pPr>
            <w:r w:rsidRPr="00F7263B">
              <w:rPr>
                <w:rFonts w:cs="Times New Roman"/>
                <w:sz w:val="20"/>
                <w:szCs w:val="20"/>
              </w:rPr>
              <w:t>0</w:t>
            </w: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 xml:space="preserve">Capacity building plan of and </w:t>
            </w:r>
            <w:r w:rsidR="00F77227" w:rsidRPr="00F7263B">
              <w:rPr>
                <w:rFonts w:cs="Times New Roman"/>
                <w:sz w:val="20"/>
                <w:szCs w:val="20"/>
              </w:rPr>
              <w:t>terms of reference</w:t>
            </w:r>
            <w:r w:rsidRPr="00F7263B">
              <w:rPr>
                <w:rFonts w:cs="Times New Roman"/>
                <w:sz w:val="20"/>
                <w:szCs w:val="20"/>
              </w:rPr>
              <w:t>for regional government teams are place.</w:t>
            </w:r>
          </w:p>
        </w:tc>
        <w:tc>
          <w:tcPr>
            <w:tcW w:w="1260" w:type="dxa"/>
            <w:vAlign w:val="center"/>
          </w:tcPr>
          <w:p w:rsidR="00B977CD" w:rsidRPr="00F7263B" w:rsidRDefault="00F33FF0" w:rsidP="00254260">
            <w:pPr>
              <w:contextualSpacing/>
              <w:rPr>
                <w:rFonts w:cs="Times New Roman"/>
                <w:sz w:val="20"/>
                <w:szCs w:val="20"/>
              </w:rPr>
            </w:pPr>
            <w:r w:rsidRPr="00F7263B">
              <w:rPr>
                <w:rFonts w:cs="Times New Roman"/>
                <w:sz w:val="20"/>
                <w:szCs w:val="20"/>
              </w:rPr>
              <w:t>80 in place</w:t>
            </w:r>
            <w:r w:rsidR="00B977CD" w:rsidRPr="00F7263B">
              <w:rPr>
                <w:rFonts w:cs="Times New Roman"/>
                <w:sz w:val="20"/>
                <w:szCs w:val="20"/>
              </w:rPr>
              <w:t>%</w:t>
            </w:r>
            <w:r w:rsidRPr="00F7263B">
              <w:rPr>
                <w:rStyle w:val="FootnoteReference"/>
                <w:rFonts w:cs="Times New Roman"/>
                <w:sz w:val="20"/>
                <w:szCs w:val="20"/>
              </w:rPr>
              <w:footnoteReference w:id="36"/>
            </w:r>
          </w:p>
        </w:tc>
        <w:tc>
          <w:tcPr>
            <w:tcW w:w="1260" w:type="dxa"/>
            <w:vAlign w:val="center"/>
          </w:tcPr>
          <w:p w:rsidR="00B977CD" w:rsidRPr="00F7263B" w:rsidRDefault="00F33FF0" w:rsidP="00254260">
            <w:pPr>
              <w:contextualSpacing/>
              <w:rPr>
                <w:rFonts w:cs="Times New Roman"/>
                <w:sz w:val="20"/>
                <w:szCs w:val="20"/>
              </w:rPr>
            </w:pPr>
            <w:r w:rsidRPr="00F7263B">
              <w:rPr>
                <w:rFonts w:cs="Times New Roman"/>
                <w:sz w:val="20"/>
                <w:szCs w:val="20"/>
              </w:rPr>
              <w:t>80</w:t>
            </w:r>
            <w:r w:rsidR="00B977CD" w:rsidRPr="00F7263B">
              <w:rPr>
                <w:rFonts w:cs="Times New Roman"/>
                <w:sz w:val="20"/>
                <w:szCs w:val="20"/>
              </w:rPr>
              <w:t>%</w:t>
            </w:r>
            <w:r w:rsidRPr="00F7263B">
              <w:rPr>
                <w:rFonts w:cs="Times New Roman"/>
                <w:sz w:val="20"/>
                <w:szCs w:val="20"/>
              </w:rPr>
              <w:t xml:space="preserve"> in place and 80 % execution rate</w:t>
            </w:r>
          </w:p>
        </w:tc>
        <w:tc>
          <w:tcPr>
            <w:tcW w:w="1260" w:type="dxa"/>
            <w:vAlign w:val="center"/>
          </w:tcPr>
          <w:p w:rsidR="00B977CD" w:rsidRPr="00F7263B" w:rsidRDefault="00F33FF0" w:rsidP="00254260">
            <w:pPr>
              <w:contextualSpacing/>
              <w:rPr>
                <w:rFonts w:cs="Times New Roman"/>
                <w:sz w:val="20"/>
                <w:szCs w:val="20"/>
              </w:rPr>
            </w:pPr>
            <w:r w:rsidRPr="00F7263B">
              <w:rPr>
                <w:rFonts w:cs="Times New Roman"/>
                <w:sz w:val="20"/>
                <w:szCs w:val="20"/>
              </w:rPr>
              <w:t>80</w:t>
            </w:r>
            <w:r w:rsidR="00B977CD" w:rsidRPr="00F7263B">
              <w:rPr>
                <w:rFonts w:cs="Times New Roman"/>
                <w:sz w:val="20"/>
                <w:szCs w:val="20"/>
              </w:rPr>
              <w:t>%</w:t>
            </w:r>
            <w:r w:rsidRPr="00F7263B">
              <w:rPr>
                <w:rFonts w:cs="Times New Roman"/>
                <w:sz w:val="20"/>
                <w:szCs w:val="20"/>
              </w:rPr>
              <w:t xml:space="preserve"> in place and 80 % execution rate</w:t>
            </w:r>
          </w:p>
        </w:tc>
        <w:tc>
          <w:tcPr>
            <w:tcW w:w="1256"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80%</w:t>
            </w:r>
            <w:r w:rsidR="00F33FF0" w:rsidRPr="00F7263B">
              <w:rPr>
                <w:rFonts w:cs="Times New Roman"/>
                <w:sz w:val="20"/>
                <w:szCs w:val="20"/>
              </w:rPr>
              <w:t xml:space="preserve"> in place and 80 % execution rate</w:t>
            </w:r>
          </w:p>
        </w:tc>
      </w:tr>
      <w:tr w:rsidR="00B977CD" w:rsidRPr="00F7263B" w:rsidTr="00254260">
        <w:trPr>
          <w:trHeight w:val="611"/>
          <w:jc w:val="center"/>
        </w:trPr>
        <w:tc>
          <w:tcPr>
            <w:tcW w:w="2607" w:type="dxa"/>
            <w:vAlign w:val="center"/>
          </w:tcPr>
          <w:p w:rsidR="00B977CD" w:rsidRPr="00F7263B" w:rsidRDefault="00B977CD" w:rsidP="00254260">
            <w:pPr>
              <w:contextualSpacing/>
              <w:jc w:val="right"/>
              <w:rPr>
                <w:rFonts w:cs="Times New Roman"/>
                <w:b/>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AA31D9" w:rsidRPr="00F7263B">
              <w:rPr>
                <w:rFonts w:cs="Times New Roman"/>
                <w:sz w:val="20"/>
                <w:szCs w:val="20"/>
              </w:rPr>
              <w:t>13</w:t>
            </w:r>
            <w:r w:rsidRPr="00F7263B">
              <w:rPr>
                <w:rFonts w:cs="Times New Roman"/>
                <w:sz w:val="20"/>
                <w:szCs w:val="20"/>
              </w:rPr>
              <w:t>million</w:t>
            </w:r>
          </w:p>
        </w:tc>
        <w:tc>
          <w:tcPr>
            <w:tcW w:w="1311" w:type="dxa"/>
            <w:vAlign w:val="center"/>
          </w:tcPr>
          <w:p w:rsidR="00B977CD" w:rsidRPr="00F7263B" w:rsidRDefault="00AA31D9" w:rsidP="00C47E57">
            <w:pPr>
              <w:contextualSpacing/>
              <w:jc w:val="center"/>
              <w:rPr>
                <w:rFonts w:cs="Times New Roman"/>
                <w:sz w:val="20"/>
                <w:szCs w:val="20"/>
              </w:rPr>
            </w:pPr>
            <w:r w:rsidRPr="00F7263B">
              <w:rPr>
                <w:rFonts w:cs="Times New Roman"/>
                <w:sz w:val="20"/>
                <w:szCs w:val="20"/>
              </w:rPr>
              <w:t>3.42</w:t>
            </w:r>
            <w:r w:rsidR="00B977CD"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AA31D9" w:rsidRPr="00F7263B">
              <w:rPr>
                <w:rFonts w:cs="Times New Roman"/>
                <w:sz w:val="20"/>
                <w:szCs w:val="20"/>
              </w:rPr>
              <w:t>2.6</w:t>
            </w:r>
            <w:r w:rsidRPr="00F7263B">
              <w:rPr>
                <w:rFonts w:cs="Times New Roman"/>
                <w:sz w:val="20"/>
                <w:szCs w:val="20"/>
              </w:rPr>
              <w:t>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w:t>
            </w:r>
            <w:r w:rsidR="00AA31D9" w:rsidRPr="00F7263B">
              <w:rPr>
                <w:rFonts w:cs="Times New Roman"/>
                <w:sz w:val="20"/>
                <w:szCs w:val="20"/>
              </w:rPr>
              <w:t>2.6</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w:t>
            </w:r>
            <w:r w:rsidR="00AA31D9" w:rsidRPr="00F7263B">
              <w:rPr>
                <w:rFonts w:cs="Times New Roman"/>
                <w:sz w:val="20"/>
                <w:szCs w:val="20"/>
              </w:rPr>
              <w:t>2.6</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w:t>
            </w:r>
            <w:r w:rsidR="00AA31D9" w:rsidRPr="00F7263B">
              <w:rPr>
                <w:rFonts w:cs="Times New Roman"/>
                <w:sz w:val="20"/>
                <w:szCs w:val="20"/>
              </w:rPr>
              <w:t>2.6</w:t>
            </w:r>
            <w:r w:rsidRPr="00F7263B">
              <w:rPr>
                <w:rFonts w:cs="Times New Roman"/>
                <w:sz w:val="20"/>
                <w:szCs w:val="20"/>
              </w:rPr>
              <w:t xml:space="preserve"> million</w:t>
            </w:r>
          </w:p>
        </w:tc>
        <w:tc>
          <w:tcPr>
            <w:tcW w:w="1256" w:type="dxa"/>
            <w:vAlign w:val="center"/>
          </w:tcPr>
          <w:p w:rsidR="00B977CD" w:rsidRPr="00F7263B" w:rsidRDefault="00B977CD" w:rsidP="00C47E57">
            <w:pPr>
              <w:jc w:val="center"/>
              <w:rPr>
                <w:sz w:val="20"/>
                <w:szCs w:val="20"/>
              </w:rPr>
            </w:pPr>
            <w:r w:rsidRPr="00F7263B">
              <w:rPr>
                <w:rFonts w:cs="Times New Roman"/>
                <w:sz w:val="20"/>
                <w:szCs w:val="20"/>
              </w:rPr>
              <w:t>$</w:t>
            </w:r>
            <w:r w:rsidR="005D0DD3" w:rsidRPr="00F7263B">
              <w:rPr>
                <w:rFonts w:cs="Times New Roman"/>
                <w:sz w:val="20"/>
                <w:szCs w:val="20"/>
              </w:rPr>
              <w:t>2.</w:t>
            </w:r>
            <w:r w:rsidR="00AA31D9" w:rsidRPr="00F7263B">
              <w:rPr>
                <w:rFonts w:cs="Times New Roman"/>
                <w:sz w:val="20"/>
                <w:szCs w:val="20"/>
              </w:rPr>
              <w:t xml:space="preserve">6 </w:t>
            </w:r>
            <w:r w:rsidRPr="00F7263B">
              <w:rPr>
                <w:rFonts w:cs="Times New Roman"/>
                <w:sz w:val="20"/>
                <w:szCs w:val="20"/>
              </w:rPr>
              <w:t>million</w:t>
            </w:r>
          </w:p>
        </w:tc>
      </w:tr>
      <w:tr w:rsidR="00B977CD" w:rsidRPr="00F7263B" w:rsidTr="00254260">
        <w:trPr>
          <w:trHeight w:val="611"/>
          <w:jc w:val="center"/>
        </w:trPr>
        <w:tc>
          <w:tcPr>
            <w:tcW w:w="2607" w:type="dxa"/>
          </w:tcPr>
          <w:p w:rsidR="00B977CD" w:rsidRPr="00F7263B" w:rsidRDefault="00B977CD" w:rsidP="00C47E57">
            <w:pPr>
              <w:contextualSpacing/>
              <w:rPr>
                <w:rFonts w:cs="Times New Roman"/>
                <w:b/>
                <w:sz w:val="20"/>
                <w:szCs w:val="20"/>
              </w:rPr>
            </w:pPr>
            <w:r w:rsidRPr="00F7263B">
              <w:rPr>
                <w:rFonts w:cs="Times New Roman"/>
                <w:b/>
                <w:sz w:val="20"/>
                <w:szCs w:val="20"/>
              </w:rPr>
              <w:t>DLI 5</w:t>
            </w:r>
          </w:p>
          <w:p w:rsidR="00B977CD" w:rsidRPr="00F7263B" w:rsidRDefault="00B977CD" w:rsidP="00405DC2">
            <w:pPr>
              <w:contextualSpacing/>
              <w:rPr>
                <w:rFonts w:cs="Times New Roman"/>
                <w:sz w:val="20"/>
                <w:szCs w:val="20"/>
              </w:rPr>
            </w:pPr>
            <w:r w:rsidRPr="00F7263B">
              <w:rPr>
                <w:rFonts w:cs="Times New Roman"/>
                <w:sz w:val="20"/>
                <w:szCs w:val="20"/>
              </w:rPr>
              <w:t>ORAG</w:t>
            </w:r>
            <w:r w:rsidR="00AB35D0" w:rsidRPr="00F7263B">
              <w:rPr>
                <w:rFonts w:cs="Times New Roman"/>
                <w:sz w:val="20"/>
                <w:szCs w:val="20"/>
              </w:rPr>
              <w:t>s</w:t>
            </w:r>
            <w:r w:rsidRPr="00F7263B">
              <w:rPr>
                <w:rFonts w:cs="Times New Roman"/>
                <w:sz w:val="20"/>
                <w:szCs w:val="20"/>
              </w:rPr>
              <w:t xml:space="preserve"> carry out ULG audits on time</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F606E" w:rsidP="00C47E57">
            <w:pPr>
              <w:contextualSpacing/>
              <w:jc w:val="center"/>
              <w:rPr>
                <w:rFonts w:cs="Times New Roman"/>
                <w:sz w:val="20"/>
                <w:szCs w:val="20"/>
              </w:rPr>
            </w:pPr>
            <w:r w:rsidRPr="00F7263B">
              <w:rPr>
                <w:rFonts w:cs="Times New Roman"/>
                <w:sz w:val="20"/>
                <w:szCs w:val="20"/>
              </w:rPr>
              <w:t>5</w:t>
            </w:r>
            <w:r w:rsidRPr="00F7263B">
              <w:rPr>
                <w:rStyle w:val="FootnoteReference"/>
                <w:rFonts w:cs="Times New Roman"/>
                <w:sz w:val="20"/>
                <w:szCs w:val="20"/>
              </w:rPr>
              <w:footnoteReference w:id="37"/>
            </w: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audits completed</w:t>
            </w: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audits completed</w:t>
            </w: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audits completed</w:t>
            </w: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audits completed</w:t>
            </w:r>
          </w:p>
        </w:tc>
        <w:tc>
          <w:tcPr>
            <w:tcW w:w="1256"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audits completed</w:t>
            </w:r>
          </w:p>
        </w:tc>
      </w:tr>
      <w:tr w:rsidR="00B977CD" w:rsidRPr="00F7263B" w:rsidTr="00254260">
        <w:trPr>
          <w:trHeight w:val="584"/>
          <w:jc w:val="center"/>
        </w:trPr>
        <w:tc>
          <w:tcPr>
            <w:tcW w:w="2607" w:type="dxa"/>
            <w:vAlign w:val="center"/>
          </w:tcPr>
          <w:p w:rsidR="00B977CD" w:rsidRPr="00F7263B" w:rsidRDefault="00B977CD" w:rsidP="00254260">
            <w:pPr>
              <w:contextualSpacing/>
              <w:jc w:val="right"/>
              <w:rPr>
                <w:rFonts w:cs="Times New Roman"/>
                <w:b/>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AA31D9" w:rsidRPr="00F7263B">
              <w:rPr>
                <w:rFonts w:cs="Times New Roman"/>
                <w:sz w:val="20"/>
                <w:szCs w:val="20"/>
              </w:rPr>
              <w:t>7</w:t>
            </w:r>
            <w:r w:rsidRPr="00F7263B">
              <w:rPr>
                <w:rFonts w:cs="Times New Roman"/>
                <w:sz w:val="20"/>
                <w:szCs w:val="20"/>
              </w:rPr>
              <w:t xml:space="preserve"> million</w:t>
            </w:r>
          </w:p>
        </w:tc>
        <w:tc>
          <w:tcPr>
            <w:tcW w:w="1311"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AA31D9" w:rsidRPr="00F7263B">
              <w:rPr>
                <w:rFonts w:cs="Times New Roman"/>
                <w:sz w:val="20"/>
                <w:szCs w:val="20"/>
              </w:rPr>
              <w:t>84</w:t>
            </w:r>
            <w:r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highlight w:val="yellow"/>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A6284A" w:rsidRPr="00F7263B">
              <w:rPr>
                <w:rFonts w:cs="Times New Roman"/>
                <w:sz w:val="20"/>
                <w:szCs w:val="20"/>
              </w:rPr>
              <w:t>.</w:t>
            </w:r>
            <w:r w:rsidR="00AA31D9" w:rsidRPr="00F7263B">
              <w:rPr>
                <w:rFonts w:cs="Times New Roman"/>
                <w:sz w:val="20"/>
                <w:szCs w:val="20"/>
              </w:rPr>
              <w:t>4</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w:t>
            </w:r>
            <w:r w:rsidR="00AA31D9" w:rsidRPr="00F7263B">
              <w:rPr>
                <w:rFonts w:cs="Times New Roman"/>
                <w:sz w:val="20"/>
                <w:szCs w:val="20"/>
              </w:rPr>
              <w:t>4</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w:t>
            </w:r>
            <w:r w:rsidR="00AA31D9" w:rsidRPr="00F7263B">
              <w:rPr>
                <w:rFonts w:cs="Times New Roman"/>
                <w:sz w:val="20"/>
                <w:szCs w:val="20"/>
              </w:rPr>
              <w:t>4</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w:t>
            </w:r>
            <w:r w:rsidR="00AA31D9" w:rsidRPr="00F7263B">
              <w:rPr>
                <w:rFonts w:cs="Times New Roman"/>
                <w:sz w:val="20"/>
                <w:szCs w:val="20"/>
              </w:rPr>
              <w:t>4</w:t>
            </w:r>
            <w:r w:rsidRPr="00F7263B">
              <w:rPr>
                <w:rFonts w:cs="Times New Roman"/>
                <w:sz w:val="20"/>
                <w:szCs w:val="20"/>
              </w:rPr>
              <w:t xml:space="preserve"> million</w:t>
            </w:r>
          </w:p>
        </w:tc>
        <w:tc>
          <w:tcPr>
            <w:tcW w:w="1256"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w:t>
            </w:r>
            <w:r w:rsidR="00AA31D9" w:rsidRPr="00F7263B">
              <w:rPr>
                <w:rFonts w:cs="Times New Roman"/>
                <w:sz w:val="20"/>
                <w:szCs w:val="20"/>
              </w:rPr>
              <w:t>4</w:t>
            </w:r>
            <w:r w:rsidRPr="00F7263B">
              <w:rPr>
                <w:rFonts w:cs="Times New Roman"/>
                <w:sz w:val="20"/>
                <w:szCs w:val="20"/>
              </w:rPr>
              <w:t xml:space="preserve"> million</w:t>
            </w:r>
          </w:p>
        </w:tc>
      </w:tr>
      <w:tr w:rsidR="00B977CD" w:rsidRPr="00F7263B" w:rsidTr="00254260">
        <w:trPr>
          <w:trHeight w:val="611"/>
          <w:jc w:val="center"/>
        </w:trPr>
        <w:tc>
          <w:tcPr>
            <w:tcW w:w="2607" w:type="dxa"/>
          </w:tcPr>
          <w:p w:rsidR="00B977CD" w:rsidRPr="00F7263B" w:rsidRDefault="00B977CD" w:rsidP="00C47E57">
            <w:pPr>
              <w:contextualSpacing/>
              <w:rPr>
                <w:rFonts w:cs="Times New Roman"/>
                <w:b/>
                <w:sz w:val="20"/>
                <w:szCs w:val="20"/>
              </w:rPr>
            </w:pPr>
            <w:r w:rsidRPr="00F7263B">
              <w:rPr>
                <w:rFonts w:cs="Times New Roman"/>
                <w:b/>
                <w:sz w:val="20"/>
                <w:szCs w:val="20"/>
              </w:rPr>
              <w:t>DLI 6</w:t>
            </w:r>
          </w:p>
          <w:p w:rsidR="00B977CD" w:rsidRPr="00F7263B" w:rsidRDefault="00B977CD" w:rsidP="00C47E57">
            <w:pPr>
              <w:contextualSpacing/>
              <w:rPr>
                <w:rFonts w:cs="Times New Roman"/>
                <w:sz w:val="20"/>
                <w:szCs w:val="20"/>
              </w:rPr>
            </w:pPr>
            <w:r w:rsidRPr="00F7263B">
              <w:rPr>
                <w:rFonts w:cs="Times New Roman"/>
                <w:sz w:val="20"/>
                <w:szCs w:val="20"/>
              </w:rPr>
              <w:t>Regional environmental protection agencies (REPA) review of ULG safeguards compliance in a timely fashion.</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10803" w:rsidP="00754BB0">
            <w:pPr>
              <w:contextualSpacing/>
              <w:jc w:val="center"/>
              <w:rPr>
                <w:rFonts w:cs="Times New Roman"/>
                <w:sz w:val="20"/>
                <w:szCs w:val="20"/>
                <w:highlight w:val="yellow"/>
              </w:rPr>
            </w:pPr>
            <w:r w:rsidRPr="00F7263B">
              <w:rPr>
                <w:rFonts w:cs="Times New Roman"/>
                <w:sz w:val="20"/>
                <w:szCs w:val="20"/>
              </w:rPr>
              <w:t>0</w:t>
            </w: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safeguards reviews/audits completed</w:t>
            </w: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safeguards reviews/audits completed</w:t>
            </w:r>
          </w:p>
        </w:tc>
        <w:tc>
          <w:tcPr>
            <w:tcW w:w="1260"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safeguards reviews/audits completed</w:t>
            </w:r>
          </w:p>
        </w:tc>
        <w:tc>
          <w:tcPr>
            <w:tcW w:w="1256" w:type="dxa"/>
            <w:vAlign w:val="center"/>
          </w:tcPr>
          <w:p w:rsidR="00B977CD" w:rsidRPr="00F7263B" w:rsidRDefault="00B977CD" w:rsidP="00254260">
            <w:pPr>
              <w:contextualSpacing/>
              <w:rPr>
                <w:rFonts w:cs="Times New Roman"/>
                <w:sz w:val="20"/>
                <w:szCs w:val="20"/>
              </w:rPr>
            </w:pPr>
            <w:r w:rsidRPr="00F7263B">
              <w:rPr>
                <w:rFonts w:cs="Times New Roman"/>
                <w:sz w:val="20"/>
                <w:szCs w:val="20"/>
              </w:rPr>
              <w:t>44 ULG safeguards reviews/audits completed</w:t>
            </w:r>
          </w:p>
        </w:tc>
      </w:tr>
      <w:tr w:rsidR="00B977CD" w:rsidRPr="00F7263B" w:rsidTr="00254260">
        <w:trPr>
          <w:trHeight w:val="611"/>
          <w:jc w:val="center"/>
        </w:trPr>
        <w:tc>
          <w:tcPr>
            <w:tcW w:w="2607" w:type="dxa"/>
            <w:vAlign w:val="center"/>
          </w:tcPr>
          <w:p w:rsidR="00B977CD" w:rsidRPr="00F7263B" w:rsidRDefault="00B977CD" w:rsidP="00254260">
            <w:pPr>
              <w:contextualSpacing/>
              <w:jc w:val="right"/>
              <w:rPr>
                <w:rFonts w:cs="Times New Roman"/>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A6284A" w:rsidRPr="00F7263B">
              <w:rPr>
                <w:rFonts w:cs="Times New Roman"/>
                <w:sz w:val="20"/>
                <w:szCs w:val="20"/>
              </w:rPr>
              <w:t>6</w:t>
            </w:r>
            <w:r w:rsidRPr="00F7263B">
              <w:rPr>
                <w:rFonts w:cs="Times New Roman"/>
                <w:sz w:val="20"/>
                <w:szCs w:val="20"/>
              </w:rPr>
              <w:t xml:space="preserve"> million</w:t>
            </w:r>
          </w:p>
        </w:tc>
        <w:tc>
          <w:tcPr>
            <w:tcW w:w="1311"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A6284A" w:rsidRPr="00F7263B">
              <w:rPr>
                <w:rFonts w:cs="Times New Roman"/>
                <w:sz w:val="20"/>
                <w:szCs w:val="20"/>
              </w:rPr>
              <w:t>58</w:t>
            </w:r>
            <w:r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A6284A" w:rsidRPr="00F7263B">
              <w:rPr>
                <w:rFonts w:cs="Times New Roman"/>
                <w:sz w:val="20"/>
                <w:szCs w:val="20"/>
              </w:rPr>
              <w:t>.2</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.2</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.2</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.2</w:t>
            </w:r>
            <w:r w:rsidRPr="00F7263B">
              <w:rPr>
                <w:rFonts w:cs="Times New Roman"/>
                <w:sz w:val="20"/>
                <w:szCs w:val="20"/>
              </w:rPr>
              <w:t xml:space="preserve"> million</w:t>
            </w:r>
          </w:p>
        </w:tc>
        <w:tc>
          <w:tcPr>
            <w:tcW w:w="1256" w:type="dxa"/>
            <w:vAlign w:val="center"/>
          </w:tcPr>
          <w:p w:rsidR="00B977CD" w:rsidRPr="00F7263B" w:rsidRDefault="00B977CD" w:rsidP="00C47E57">
            <w:pPr>
              <w:jc w:val="center"/>
              <w:rPr>
                <w:sz w:val="20"/>
                <w:szCs w:val="20"/>
              </w:rPr>
            </w:pPr>
            <w:r w:rsidRPr="00F7263B">
              <w:rPr>
                <w:rFonts w:cs="Times New Roman"/>
                <w:sz w:val="20"/>
                <w:szCs w:val="20"/>
              </w:rPr>
              <w:t>$1</w:t>
            </w:r>
            <w:r w:rsidR="00A6284A" w:rsidRPr="00F7263B">
              <w:rPr>
                <w:rFonts w:cs="Times New Roman"/>
                <w:sz w:val="20"/>
                <w:szCs w:val="20"/>
              </w:rPr>
              <w:t>.2</w:t>
            </w:r>
            <w:r w:rsidRPr="00F7263B">
              <w:rPr>
                <w:rFonts w:cs="Times New Roman"/>
                <w:sz w:val="20"/>
                <w:szCs w:val="20"/>
              </w:rPr>
              <w:t xml:space="preserve"> million</w:t>
            </w:r>
          </w:p>
        </w:tc>
      </w:tr>
      <w:tr w:rsidR="00B977CD" w:rsidRPr="00F7263B" w:rsidTr="00254260">
        <w:trPr>
          <w:trHeight w:val="611"/>
          <w:jc w:val="center"/>
        </w:trPr>
        <w:tc>
          <w:tcPr>
            <w:tcW w:w="2607" w:type="dxa"/>
          </w:tcPr>
          <w:p w:rsidR="00B977CD" w:rsidRPr="00F7263B" w:rsidRDefault="00B977CD" w:rsidP="00C47E57">
            <w:pPr>
              <w:contextualSpacing/>
              <w:rPr>
                <w:rFonts w:cs="Times New Roman"/>
                <w:b/>
                <w:sz w:val="20"/>
                <w:szCs w:val="20"/>
              </w:rPr>
            </w:pPr>
            <w:r w:rsidRPr="00F7263B">
              <w:rPr>
                <w:rFonts w:cs="Times New Roman"/>
                <w:b/>
                <w:sz w:val="20"/>
                <w:szCs w:val="20"/>
              </w:rPr>
              <w:t>DLI 7</w:t>
            </w:r>
          </w:p>
          <w:p w:rsidR="00B977CD" w:rsidRPr="00F7263B" w:rsidRDefault="00B977CD" w:rsidP="007305E9">
            <w:pPr>
              <w:contextualSpacing/>
              <w:rPr>
                <w:rFonts w:cs="Times New Roman"/>
                <w:sz w:val="20"/>
                <w:szCs w:val="20"/>
              </w:rPr>
            </w:pPr>
            <w:r w:rsidRPr="00F7263B">
              <w:rPr>
                <w:rFonts w:cs="Times New Roman"/>
                <w:sz w:val="20"/>
                <w:szCs w:val="20"/>
              </w:rPr>
              <w:t xml:space="preserve">Regional </w:t>
            </w:r>
            <w:r w:rsidR="00D10803" w:rsidRPr="00F7263B">
              <w:rPr>
                <w:rFonts w:cs="Times New Roman"/>
                <w:sz w:val="20"/>
                <w:szCs w:val="20"/>
              </w:rPr>
              <w:t>revenue a</w:t>
            </w:r>
            <w:r w:rsidR="00012655" w:rsidRPr="00F7263B">
              <w:rPr>
                <w:rFonts w:cs="Times New Roman"/>
                <w:sz w:val="20"/>
                <w:szCs w:val="20"/>
              </w:rPr>
              <w:t>uthority</w:t>
            </w:r>
            <w:r w:rsidRPr="00F7263B">
              <w:rPr>
                <w:rFonts w:cs="Times New Roman"/>
                <w:sz w:val="20"/>
                <w:szCs w:val="20"/>
              </w:rPr>
              <w:t xml:space="preserve"> support ULG revenue mobilization</w:t>
            </w:r>
            <w:r w:rsidR="00260010" w:rsidRPr="00F7263B">
              <w:rPr>
                <w:rStyle w:val="FootnoteReference"/>
                <w:rFonts w:cs="Times New Roman"/>
                <w:sz w:val="20"/>
                <w:szCs w:val="20"/>
              </w:rPr>
              <w:footnoteReference w:id="38"/>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10803" w:rsidP="007305E9">
            <w:pPr>
              <w:contextualSpacing/>
              <w:jc w:val="center"/>
              <w:rPr>
                <w:rFonts w:cs="Times New Roman"/>
                <w:sz w:val="20"/>
                <w:szCs w:val="20"/>
              </w:rPr>
            </w:pPr>
            <w:r w:rsidRPr="00F7263B">
              <w:rPr>
                <w:rFonts w:cs="Times New Roman"/>
                <w:sz w:val="20"/>
                <w:szCs w:val="20"/>
              </w:rPr>
              <w:t>0</w:t>
            </w:r>
          </w:p>
        </w:tc>
        <w:tc>
          <w:tcPr>
            <w:tcW w:w="1260" w:type="dxa"/>
          </w:tcPr>
          <w:p w:rsidR="00B977CD" w:rsidRPr="00F7263B" w:rsidRDefault="00B977CD" w:rsidP="00254260">
            <w:pPr>
              <w:contextualSpacing/>
              <w:rPr>
                <w:rFonts w:cs="Times New Roman"/>
                <w:sz w:val="20"/>
                <w:szCs w:val="20"/>
              </w:rPr>
            </w:pPr>
          </w:p>
        </w:tc>
        <w:tc>
          <w:tcPr>
            <w:tcW w:w="1260" w:type="dxa"/>
          </w:tcPr>
          <w:p w:rsidR="00B977CD" w:rsidRPr="00F7263B" w:rsidRDefault="00B977CD" w:rsidP="00254260">
            <w:pPr>
              <w:contextualSpacing/>
              <w:rPr>
                <w:rFonts w:cs="Times New Roman"/>
                <w:sz w:val="20"/>
                <w:szCs w:val="20"/>
              </w:rPr>
            </w:pPr>
          </w:p>
        </w:tc>
        <w:tc>
          <w:tcPr>
            <w:tcW w:w="1260" w:type="dxa"/>
          </w:tcPr>
          <w:p w:rsidR="00B977CD" w:rsidRPr="00F7263B" w:rsidRDefault="00B977CD" w:rsidP="00254260">
            <w:pPr>
              <w:contextualSpacing/>
              <w:rPr>
                <w:rFonts w:cs="Times New Roman"/>
                <w:sz w:val="20"/>
                <w:szCs w:val="20"/>
              </w:rPr>
            </w:pPr>
            <w:r w:rsidRPr="00F7263B">
              <w:rPr>
                <w:rFonts w:cs="Times New Roman"/>
                <w:sz w:val="20"/>
                <w:szCs w:val="20"/>
              </w:rPr>
              <w:t>44 ULG revenue mobilization supported</w:t>
            </w:r>
          </w:p>
        </w:tc>
        <w:tc>
          <w:tcPr>
            <w:tcW w:w="1260" w:type="dxa"/>
          </w:tcPr>
          <w:p w:rsidR="00B977CD" w:rsidRPr="00F7263B" w:rsidRDefault="00B977CD" w:rsidP="00254260">
            <w:pPr>
              <w:contextualSpacing/>
              <w:rPr>
                <w:rFonts w:cs="Times New Roman"/>
                <w:sz w:val="20"/>
                <w:szCs w:val="20"/>
              </w:rPr>
            </w:pPr>
          </w:p>
        </w:tc>
        <w:tc>
          <w:tcPr>
            <w:tcW w:w="1256" w:type="dxa"/>
          </w:tcPr>
          <w:p w:rsidR="00B977CD" w:rsidRPr="00F7263B" w:rsidRDefault="00B977CD" w:rsidP="00254260">
            <w:pPr>
              <w:contextualSpacing/>
              <w:rPr>
                <w:rFonts w:cs="Times New Roman"/>
                <w:sz w:val="20"/>
                <w:szCs w:val="20"/>
              </w:rPr>
            </w:pPr>
            <w:r w:rsidRPr="00F7263B">
              <w:rPr>
                <w:rFonts w:cs="Times New Roman"/>
                <w:sz w:val="20"/>
                <w:szCs w:val="20"/>
              </w:rPr>
              <w:t>44 ULG revenue mobilization supported</w:t>
            </w:r>
          </w:p>
        </w:tc>
      </w:tr>
      <w:tr w:rsidR="00B977CD" w:rsidRPr="00F7263B" w:rsidTr="00254260">
        <w:trPr>
          <w:trHeight w:val="611"/>
          <w:jc w:val="center"/>
        </w:trPr>
        <w:tc>
          <w:tcPr>
            <w:tcW w:w="2607" w:type="dxa"/>
            <w:vAlign w:val="center"/>
          </w:tcPr>
          <w:p w:rsidR="00B977CD" w:rsidRPr="00F7263B" w:rsidRDefault="00B977CD" w:rsidP="00254260">
            <w:pPr>
              <w:contextualSpacing/>
              <w:jc w:val="right"/>
              <w:rPr>
                <w:rFonts w:cs="Times New Roman"/>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A6284A" w:rsidRPr="00F7263B">
              <w:rPr>
                <w:rFonts w:cs="Times New Roman"/>
                <w:sz w:val="20"/>
                <w:szCs w:val="20"/>
              </w:rPr>
              <w:t>4</w:t>
            </w:r>
            <w:r w:rsidRPr="00F7263B">
              <w:rPr>
                <w:rFonts w:cs="Times New Roman"/>
                <w:sz w:val="20"/>
                <w:szCs w:val="20"/>
              </w:rPr>
              <w:t xml:space="preserve"> million</w:t>
            </w:r>
          </w:p>
        </w:tc>
        <w:tc>
          <w:tcPr>
            <w:tcW w:w="1311" w:type="dxa"/>
            <w:vAlign w:val="center"/>
          </w:tcPr>
          <w:p w:rsidR="00B977CD" w:rsidRPr="00F7263B" w:rsidRDefault="00A6284A" w:rsidP="00C47E57">
            <w:pPr>
              <w:contextualSpacing/>
              <w:jc w:val="center"/>
              <w:rPr>
                <w:rFonts w:cs="Times New Roman"/>
                <w:sz w:val="20"/>
                <w:szCs w:val="20"/>
              </w:rPr>
            </w:pPr>
            <w:r w:rsidRPr="00F7263B">
              <w:rPr>
                <w:rFonts w:cs="Times New Roman"/>
                <w:sz w:val="20"/>
                <w:szCs w:val="20"/>
              </w:rPr>
              <w:t>1.05</w:t>
            </w:r>
            <w:r w:rsidR="00B977CD"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jc w:val="center"/>
              <w:rPr>
                <w:sz w:val="20"/>
                <w:szCs w:val="20"/>
              </w:rPr>
            </w:pPr>
          </w:p>
        </w:tc>
        <w:tc>
          <w:tcPr>
            <w:tcW w:w="1260" w:type="dxa"/>
            <w:vAlign w:val="center"/>
          </w:tcPr>
          <w:p w:rsidR="00B977CD" w:rsidRPr="00F7263B" w:rsidRDefault="00B977CD" w:rsidP="00C47E57">
            <w:pPr>
              <w:jc w:val="center"/>
              <w:rPr>
                <w:sz w:val="20"/>
                <w:szCs w:val="20"/>
              </w:rPr>
            </w:pPr>
            <w:r w:rsidRPr="00F7263B">
              <w:rPr>
                <w:rFonts w:cs="Times New Roman"/>
                <w:sz w:val="20"/>
                <w:szCs w:val="20"/>
              </w:rPr>
              <w:t>$</w:t>
            </w:r>
            <w:r w:rsidR="00A6284A" w:rsidRPr="00F7263B">
              <w:rPr>
                <w:rFonts w:cs="Times New Roman"/>
                <w:sz w:val="20"/>
                <w:szCs w:val="20"/>
              </w:rPr>
              <w:t>2.0</w:t>
            </w:r>
            <w:r w:rsidRPr="00F7263B">
              <w:rPr>
                <w:rFonts w:cs="Times New Roman"/>
                <w:sz w:val="20"/>
                <w:szCs w:val="20"/>
              </w:rPr>
              <w:t xml:space="preserve"> million</w:t>
            </w:r>
          </w:p>
        </w:tc>
        <w:tc>
          <w:tcPr>
            <w:tcW w:w="1260" w:type="dxa"/>
            <w:vAlign w:val="center"/>
          </w:tcPr>
          <w:p w:rsidR="00B977CD" w:rsidRPr="00F7263B" w:rsidRDefault="00B977CD" w:rsidP="00C47E57">
            <w:pPr>
              <w:jc w:val="center"/>
              <w:rPr>
                <w:sz w:val="20"/>
                <w:szCs w:val="20"/>
              </w:rPr>
            </w:pPr>
          </w:p>
        </w:tc>
        <w:tc>
          <w:tcPr>
            <w:tcW w:w="1256" w:type="dxa"/>
            <w:vAlign w:val="center"/>
          </w:tcPr>
          <w:p w:rsidR="00B977CD" w:rsidRPr="00F7263B" w:rsidRDefault="00B977CD" w:rsidP="00C47E57">
            <w:pPr>
              <w:jc w:val="center"/>
              <w:rPr>
                <w:sz w:val="20"/>
                <w:szCs w:val="20"/>
              </w:rPr>
            </w:pPr>
            <w:r w:rsidRPr="00F7263B">
              <w:rPr>
                <w:rFonts w:cs="Times New Roman"/>
                <w:sz w:val="20"/>
                <w:szCs w:val="20"/>
              </w:rPr>
              <w:t>$</w:t>
            </w:r>
            <w:r w:rsidR="00A6284A" w:rsidRPr="00F7263B">
              <w:rPr>
                <w:rFonts w:cs="Times New Roman"/>
                <w:sz w:val="20"/>
                <w:szCs w:val="20"/>
              </w:rPr>
              <w:t>2.0</w:t>
            </w:r>
            <w:r w:rsidRPr="00F7263B">
              <w:rPr>
                <w:rFonts w:cs="Times New Roman"/>
                <w:sz w:val="20"/>
                <w:szCs w:val="20"/>
              </w:rPr>
              <w:t xml:space="preserve"> million</w:t>
            </w:r>
          </w:p>
        </w:tc>
      </w:tr>
      <w:tr w:rsidR="00B977CD" w:rsidRPr="00F7263B" w:rsidTr="00254260">
        <w:trPr>
          <w:trHeight w:val="611"/>
          <w:jc w:val="center"/>
        </w:trPr>
        <w:tc>
          <w:tcPr>
            <w:tcW w:w="2607" w:type="dxa"/>
          </w:tcPr>
          <w:p w:rsidR="00B977CD" w:rsidRPr="00F7263B" w:rsidRDefault="00B977CD" w:rsidP="00C47E57">
            <w:pPr>
              <w:contextualSpacing/>
              <w:rPr>
                <w:rFonts w:cs="Times New Roman"/>
                <w:b/>
                <w:sz w:val="20"/>
                <w:szCs w:val="20"/>
              </w:rPr>
            </w:pPr>
            <w:r w:rsidRPr="00F7263B">
              <w:rPr>
                <w:rFonts w:cs="Times New Roman"/>
                <w:b/>
                <w:sz w:val="20"/>
                <w:szCs w:val="20"/>
              </w:rPr>
              <w:lastRenderedPageBreak/>
              <w:t>DLI 8</w:t>
            </w:r>
          </w:p>
          <w:p w:rsidR="00B977CD" w:rsidRPr="00F7263B" w:rsidRDefault="00B977CD" w:rsidP="00C47E57">
            <w:pPr>
              <w:contextualSpacing/>
              <w:rPr>
                <w:rFonts w:cs="Times New Roman"/>
                <w:sz w:val="20"/>
                <w:szCs w:val="20"/>
              </w:rPr>
            </w:pPr>
            <w:r w:rsidRPr="00F7263B">
              <w:rPr>
                <w:rFonts w:cs="Times New Roman"/>
                <w:sz w:val="20"/>
                <w:szCs w:val="20"/>
              </w:rPr>
              <w:t xml:space="preserve">Completion of annual </w:t>
            </w:r>
            <w:r w:rsidR="00830508" w:rsidRPr="00F7263B">
              <w:rPr>
                <w:rFonts w:cs="Times New Roman"/>
                <w:sz w:val="20"/>
                <w:szCs w:val="20"/>
              </w:rPr>
              <w:t>MUDHCo</w:t>
            </w:r>
            <w:r w:rsidRPr="00F7263B">
              <w:rPr>
                <w:rFonts w:cs="Times New Roman"/>
                <w:sz w:val="20"/>
                <w:szCs w:val="20"/>
              </w:rPr>
              <w:t xml:space="preserve"> capacity building activities for Program ULGs, </w:t>
            </w:r>
            <w:r w:rsidR="00BD1B5F" w:rsidRPr="00F7263B">
              <w:rPr>
                <w:rFonts w:cs="Times New Roman"/>
                <w:sz w:val="20"/>
                <w:szCs w:val="20"/>
              </w:rPr>
              <w:t>regional government</w:t>
            </w:r>
            <w:r w:rsidRPr="00F7263B">
              <w:rPr>
                <w:rFonts w:cs="Times New Roman"/>
                <w:sz w:val="20"/>
                <w:szCs w:val="20"/>
              </w:rPr>
              <w:t xml:space="preserve">s and the ministry  </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F606E" w:rsidP="00C47E57">
            <w:pPr>
              <w:contextualSpacing/>
              <w:jc w:val="center"/>
              <w:rPr>
                <w:rFonts w:cs="Times New Roman"/>
                <w:sz w:val="20"/>
                <w:szCs w:val="20"/>
              </w:rPr>
            </w:pPr>
            <w:r w:rsidRPr="00F7263B">
              <w:rPr>
                <w:rFonts w:cs="Times New Roman"/>
                <w:sz w:val="20"/>
                <w:szCs w:val="20"/>
              </w:rPr>
              <w:t>0</w:t>
            </w:r>
          </w:p>
        </w:tc>
        <w:tc>
          <w:tcPr>
            <w:tcW w:w="1260" w:type="dxa"/>
          </w:tcPr>
          <w:p w:rsidR="00B977CD" w:rsidRPr="00F7263B" w:rsidRDefault="00B977CD" w:rsidP="00405DC2">
            <w:pPr>
              <w:contextualSpacing/>
              <w:rPr>
                <w:rFonts w:cs="Times New Roman"/>
                <w:sz w:val="20"/>
                <w:szCs w:val="20"/>
              </w:rPr>
            </w:pPr>
            <w:r w:rsidRPr="00F7263B">
              <w:rPr>
                <w:rFonts w:cs="Times New Roman"/>
                <w:sz w:val="20"/>
                <w:szCs w:val="20"/>
              </w:rPr>
              <w:t>Compre</w:t>
            </w:r>
            <w:r w:rsidR="00AB35D0" w:rsidRPr="00F7263B">
              <w:rPr>
                <w:rFonts w:cs="Times New Roman"/>
                <w:sz w:val="20"/>
                <w:szCs w:val="20"/>
              </w:rPr>
              <w:t>-</w:t>
            </w:r>
            <w:r w:rsidRPr="00F7263B">
              <w:rPr>
                <w:rFonts w:cs="Times New Roman"/>
                <w:sz w:val="20"/>
                <w:szCs w:val="20"/>
              </w:rPr>
              <w:t>hensive annual Program capacity building plan  in place</w:t>
            </w:r>
            <w:r w:rsidR="007C514A" w:rsidRPr="00F7263B">
              <w:rPr>
                <w:rFonts w:cs="Times New Roman"/>
                <w:sz w:val="20"/>
                <w:szCs w:val="20"/>
              </w:rPr>
              <w:t xml:space="preserve"> and </w:t>
            </w:r>
            <w:r w:rsidR="00AB35D0" w:rsidRPr="00F7263B">
              <w:rPr>
                <w:rFonts w:cs="Times New Roman"/>
                <w:sz w:val="20"/>
                <w:szCs w:val="20"/>
              </w:rPr>
              <w:t xml:space="preserve">terms of reference </w:t>
            </w:r>
            <w:r w:rsidR="007C514A" w:rsidRPr="00F7263B">
              <w:rPr>
                <w:rFonts w:cs="Times New Roman"/>
                <w:sz w:val="20"/>
                <w:szCs w:val="20"/>
              </w:rPr>
              <w:t>developed</w:t>
            </w:r>
          </w:p>
        </w:tc>
        <w:tc>
          <w:tcPr>
            <w:tcW w:w="1260" w:type="dxa"/>
          </w:tcPr>
          <w:p w:rsidR="00B977CD" w:rsidRPr="00F7263B" w:rsidRDefault="0065739F" w:rsidP="00B233B7">
            <w:pPr>
              <w:contextualSpacing/>
              <w:rPr>
                <w:rFonts w:cs="Times New Roman"/>
                <w:sz w:val="20"/>
                <w:szCs w:val="20"/>
              </w:rPr>
            </w:pPr>
            <w:r w:rsidRPr="00F7263B">
              <w:rPr>
                <w:rFonts w:cs="Times New Roman"/>
                <w:sz w:val="20"/>
                <w:szCs w:val="20"/>
              </w:rPr>
              <w:t>Capacity building</w:t>
            </w:r>
            <w:r w:rsidR="007C514A" w:rsidRPr="00F7263B">
              <w:rPr>
                <w:rFonts w:cs="Times New Roman"/>
                <w:sz w:val="20"/>
                <w:szCs w:val="20"/>
              </w:rPr>
              <w:t xml:space="preserve"> plan in place, 80</w:t>
            </w:r>
            <w:r w:rsidR="00B977CD" w:rsidRPr="00F7263B">
              <w:rPr>
                <w:rFonts w:cs="Times New Roman"/>
                <w:sz w:val="20"/>
                <w:szCs w:val="20"/>
              </w:rPr>
              <w:t>%</w:t>
            </w:r>
            <w:r w:rsidR="007C514A" w:rsidRPr="00F7263B">
              <w:rPr>
                <w:rFonts w:cs="Times New Roman"/>
                <w:sz w:val="20"/>
                <w:szCs w:val="20"/>
              </w:rPr>
              <w:t xml:space="preserve"> of people in place and minimum 60% of the plan implemented</w:t>
            </w:r>
          </w:p>
        </w:tc>
        <w:tc>
          <w:tcPr>
            <w:tcW w:w="1260" w:type="dxa"/>
          </w:tcPr>
          <w:p w:rsidR="00B977CD" w:rsidRPr="00F7263B" w:rsidRDefault="0065739F" w:rsidP="005365CA">
            <w:pPr>
              <w:contextualSpacing/>
              <w:rPr>
                <w:rFonts w:cs="Times New Roman"/>
                <w:sz w:val="20"/>
                <w:szCs w:val="20"/>
              </w:rPr>
            </w:pPr>
            <w:r w:rsidRPr="00F7263B">
              <w:rPr>
                <w:rFonts w:cs="Times New Roman"/>
                <w:sz w:val="20"/>
                <w:szCs w:val="20"/>
              </w:rPr>
              <w:t>Capacity building</w:t>
            </w:r>
            <w:r w:rsidR="00891189" w:rsidRPr="00F7263B">
              <w:rPr>
                <w:rFonts w:cs="Times New Roman"/>
                <w:sz w:val="20"/>
                <w:szCs w:val="20"/>
              </w:rPr>
              <w:t xml:space="preserve"> plan in place, 80% of people in place and minimum 60% of the plan implemented</w:t>
            </w:r>
          </w:p>
        </w:tc>
        <w:tc>
          <w:tcPr>
            <w:tcW w:w="1260" w:type="dxa"/>
          </w:tcPr>
          <w:p w:rsidR="00B977CD" w:rsidRPr="00F7263B" w:rsidRDefault="0065739F" w:rsidP="00B255F3">
            <w:pPr>
              <w:contextualSpacing/>
              <w:rPr>
                <w:rFonts w:cs="Times New Roman"/>
                <w:sz w:val="20"/>
                <w:szCs w:val="20"/>
              </w:rPr>
            </w:pPr>
            <w:r w:rsidRPr="00F7263B">
              <w:rPr>
                <w:rFonts w:cs="Times New Roman"/>
                <w:sz w:val="20"/>
                <w:szCs w:val="20"/>
              </w:rPr>
              <w:t>Capacity building</w:t>
            </w:r>
            <w:r w:rsidR="00891189" w:rsidRPr="00F7263B">
              <w:rPr>
                <w:rFonts w:cs="Times New Roman"/>
                <w:sz w:val="20"/>
                <w:szCs w:val="20"/>
              </w:rPr>
              <w:t xml:space="preserve"> plan in place, 80% of people in place and minimum 60% of the plan implemented</w:t>
            </w:r>
          </w:p>
        </w:tc>
        <w:tc>
          <w:tcPr>
            <w:tcW w:w="1256" w:type="dxa"/>
          </w:tcPr>
          <w:p w:rsidR="006E7278" w:rsidRPr="00F7263B" w:rsidRDefault="0065739F" w:rsidP="007305E9">
            <w:pPr>
              <w:contextualSpacing/>
              <w:rPr>
                <w:rFonts w:eastAsia="Times New Roman" w:cs="Times New Roman"/>
                <w:sz w:val="20"/>
                <w:szCs w:val="20"/>
              </w:rPr>
            </w:pPr>
            <w:r w:rsidRPr="00F7263B">
              <w:rPr>
                <w:rFonts w:cs="Times New Roman"/>
                <w:sz w:val="20"/>
                <w:szCs w:val="20"/>
              </w:rPr>
              <w:t>Capacity building</w:t>
            </w:r>
            <w:r w:rsidR="00891189" w:rsidRPr="00F7263B">
              <w:rPr>
                <w:rFonts w:cs="Times New Roman"/>
                <w:sz w:val="20"/>
                <w:szCs w:val="20"/>
              </w:rPr>
              <w:t xml:space="preserve"> plan in place, 80% of people in place and minimum 60% of the plan implemented</w:t>
            </w:r>
          </w:p>
        </w:tc>
      </w:tr>
      <w:tr w:rsidR="00B977CD" w:rsidRPr="00F7263B" w:rsidTr="00254260">
        <w:trPr>
          <w:trHeight w:val="611"/>
          <w:jc w:val="center"/>
        </w:trPr>
        <w:tc>
          <w:tcPr>
            <w:tcW w:w="2607" w:type="dxa"/>
            <w:vAlign w:val="center"/>
          </w:tcPr>
          <w:p w:rsidR="00B977CD" w:rsidRPr="00F7263B" w:rsidRDefault="00B977CD" w:rsidP="00254260">
            <w:pPr>
              <w:contextualSpacing/>
              <w:jc w:val="right"/>
              <w:rPr>
                <w:rFonts w:cs="Times New Roman"/>
                <w:b/>
                <w:sz w:val="20"/>
                <w:szCs w:val="20"/>
              </w:rPr>
            </w:pPr>
            <w:r w:rsidRPr="00F7263B">
              <w:rPr>
                <w:rFonts w:cs="Times New Roman"/>
                <w:sz w:val="20"/>
                <w:szCs w:val="20"/>
              </w:rPr>
              <w:t>Allocated amount</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76793C" w:rsidRPr="00F7263B">
              <w:rPr>
                <w:rFonts w:cs="Times New Roman"/>
                <w:sz w:val="20"/>
                <w:szCs w:val="20"/>
              </w:rPr>
              <w:t>22</w:t>
            </w:r>
            <w:r w:rsidRPr="00F7263B">
              <w:rPr>
                <w:rFonts w:cs="Times New Roman"/>
                <w:sz w:val="20"/>
                <w:szCs w:val="20"/>
              </w:rPr>
              <w:t xml:space="preserve"> million</w:t>
            </w:r>
          </w:p>
        </w:tc>
        <w:tc>
          <w:tcPr>
            <w:tcW w:w="1311" w:type="dxa"/>
            <w:vAlign w:val="center"/>
          </w:tcPr>
          <w:p w:rsidR="00B977CD" w:rsidRPr="00F7263B" w:rsidRDefault="0076793C" w:rsidP="00C47E57">
            <w:pPr>
              <w:contextualSpacing/>
              <w:jc w:val="center"/>
              <w:rPr>
                <w:rFonts w:cs="Times New Roman"/>
                <w:sz w:val="20"/>
                <w:szCs w:val="20"/>
              </w:rPr>
            </w:pPr>
            <w:r w:rsidRPr="00F7263B">
              <w:rPr>
                <w:rFonts w:cs="Times New Roman"/>
                <w:sz w:val="20"/>
                <w:szCs w:val="20"/>
              </w:rPr>
              <w:t>5.79</w:t>
            </w:r>
            <w:r w:rsidR="00B977CD" w:rsidRPr="00F7263B">
              <w:rPr>
                <w:rFonts w:cs="Times New Roman"/>
                <w:sz w:val="20"/>
                <w:szCs w:val="20"/>
              </w:rPr>
              <w:t>%</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0</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76793C" w:rsidRPr="00F7263B">
              <w:rPr>
                <w:rFonts w:cs="Times New Roman"/>
                <w:sz w:val="20"/>
                <w:szCs w:val="20"/>
              </w:rPr>
              <w:t>4</w:t>
            </w:r>
            <w:r w:rsidRPr="00F7263B">
              <w:rPr>
                <w:rFonts w:cs="Times New Roman"/>
                <w:sz w:val="20"/>
                <w:szCs w:val="20"/>
              </w:rPr>
              <w:t>.4 million</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76793C" w:rsidRPr="00F7263B">
              <w:rPr>
                <w:rFonts w:cs="Times New Roman"/>
                <w:sz w:val="20"/>
                <w:szCs w:val="20"/>
              </w:rPr>
              <w:t>4</w:t>
            </w:r>
            <w:r w:rsidRPr="00F7263B">
              <w:rPr>
                <w:rFonts w:cs="Times New Roman"/>
                <w:sz w:val="20"/>
                <w:szCs w:val="20"/>
              </w:rPr>
              <w:t>.4 million</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76793C" w:rsidRPr="00F7263B">
              <w:rPr>
                <w:rFonts w:cs="Times New Roman"/>
                <w:sz w:val="20"/>
                <w:szCs w:val="20"/>
              </w:rPr>
              <w:t>4</w:t>
            </w:r>
            <w:r w:rsidRPr="00F7263B">
              <w:rPr>
                <w:rFonts w:cs="Times New Roman"/>
                <w:sz w:val="20"/>
                <w:szCs w:val="20"/>
              </w:rPr>
              <w:t>.4 million</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76793C" w:rsidRPr="00F7263B">
              <w:rPr>
                <w:rFonts w:cs="Times New Roman"/>
                <w:sz w:val="20"/>
                <w:szCs w:val="20"/>
              </w:rPr>
              <w:t>4</w:t>
            </w:r>
            <w:r w:rsidRPr="00F7263B">
              <w:rPr>
                <w:rFonts w:cs="Times New Roman"/>
                <w:sz w:val="20"/>
                <w:szCs w:val="20"/>
              </w:rPr>
              <w:t>.4 million</w:t>
            </w:r>
          </w:p>
        </w:tc>
        <w:tc>
          <w:tcPr>
            <w:tcW w:w="1256"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76793C" w:rsidRPr="00F7263B">
              <w:rPr>
                <w:rFonts w:cs="Times New Roman"/>
                <w:sz w:val="20"/>
                <w:szCs w:val="20"/>
              </w:rPr>
              <w:t>4</w:t>
            </w:r>
            <w:r w:rsidRPr="00F7263B">
              <w:rPr>
                <w:rFonts w:cs="Times New Roman"/>
                <w:sz w:val="20"/>
                <w:szCs w:val="20"/>
              </w:rPr>
              <w:t>.4 million</w:t>
            </w:r>
          </w:p>
        </w:tc>
      </w:tr>
      <w:tr w:rsidR="00B977CD" w:rsidRPr="00F7263B" w:rsidTr="00254260">
        <w:trPr>
          <w:trHeight w:val="611"/>
          <w:jc w:val="center"/>
        </w:trPr>
        <w:tc>
          <w:tcPr>
            <w:tcW w:w="2607" w:type="dxa"/>
          </w:tcPr>
          <w:p w:rsidR="00B977CD" w:rsidRPr="00F7263B" w:rsidRDefault="00B977CD" w:rsidP="00C47E57">
            <w:pPr>
              <w:contextualSpacing/>
              <w:rPr>
                <w:rFonts w:cs="Times New Roman"/>
                <w:b/>
                <w:sz w:val="20"/>
                <w:szCs w:val="20"/>
              </w:rPr>
            </w:pPr>
            <w:r w:rsidRPr="00F7263B">
              <w:rPr>
                <w:rFonts w:cs="Times New Roman"/>
                <w:b/>
                <w:sz w:val="20"/>
                <w:szCs w:val="20"/>
              </w:rPr>
              <w:t>DLI 9</w:t>
            </w:r>
          </w:p>
          <w:p w:rsidR="00B977CD" w:rsidRPr="00F7263B" w:rsidRDefault="00B977CD" w:rsidP="00405DC2">
            <w:pPr>
              <w:contextualSpacing/>
              <w:rPr>
                <w:rFonts w:cs="Times New Roman"/>
                <w:sz w:val="20"/>
                <w:szCs w:val="20"/>
              </w:rPr>
            </w:pPr>
            <w:r w:rsidRPr="00F7263B">
              <w:rPr>
                <w:rFonts w:cs="Times New Roman"/>
                <w:sz w:val="20"/>
                <w:szCs w:val="20"/>
              </w:rPr>
              <w:t xml:space="preserve">Timely completion of Program annual performance assessments (APA) and </w:t>
            </w:r>
            <w:r w:rsidR="00BE07C0" w:rsidRPr="00F7263B">
              <w:rPr>
                <w:rFonts w:cs="Times New Roman"/>
                <w:sz w:val="20"/>
                <w:szCs w:val="20"/>
              </w:rPr>
              <w:t xml:space="preserve">value </w:t>
            </w:r>
            <w:r w:rsidRPr="00F7263B">
              <w:rPr>
                <w:rFonts w:cs="Times New Roman"/>
                <w:sz w:val="20"/>
                <w:szCs w:val="20"/>
              </w:rPr>
              <w:t xml:space="preserve">for </w:t>
            </w:r>
            <w:r w:rsidR="00BE07C0" w:rsidRPr="00F7263B">
              <w:rPr>
                <w:rFonts w:cs="Times New Roman"/>
                <w:sz w:val="20"/>
                <w:szCs w:val="20"/>
              </w:rPr>
              <w:t>money a</w:t>
            </w:r>
            <w:r w:rsidRPr="00F7263B">
              <w:rPr>
                <w:rFonts w:cs="Times New Roman"/>
                <w:sz w:val="20"/>
                <w:szCs w:val="20"/>
              </w:rPr>
              <w:t>udits</w:t>
            </w:r>
          </w:p>
        </w:tc>
        <w:tc>
          <w:tcPr>
            <w:tcW w:w="1299" w:type="dxa"/>
            <w:vAlign w:val="center"/>
          </w:tcPr>
          <w:p w:rsidR="00B977CD" w:rsidRPr="00F7263B" w:rsidRDefault="00B977CD" w:rsidP="00C47E57">
            <w:pPr>
              <w:contextualSpacing/>
              <w:jc w:val="center"/>
              <w:rPr>
                <w:rFonts w:cs="Times New Roman"/>
                <w:sz w:val="20"/>
                <w:szCs w:val="20"/>
              </w:rPr>
            </w:pPr>
          </w:p>
        </w:tc>
        <w:tc>
          <w:tcPr>
            <w:tcW w:w="1311" w:type="dxa"/>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DF606E" w:rsidP="00C47E57">
            <w:pPr>
              <w:contextualSpacing/>
              <w:jc w:val="center"/>
              <w:rPr>
                <w:rFonts w:cs="Times New Roman"/>
                <w:sz w:val="20"/>
                <w:szCs w:val="20"/>
              </w:rPr>
            </w:pPr>
            <w:r w:rsidRPr="00F7263B">
              <w:rPr>
                <w:rFonts w:cs="Times New Roman"/>
                <w:sz w:val="20"/>
                <w:szCs w:val="20"/>
              </w:rPr>
              <w:t>0</w:t>
            </w:r>
          </w:p>
        </w:tc>
        <w:tc>
          <w:tcPr>
            <w:tcW w:w="1260" w:type="dxa"/>
          </w:tcPr>
          <w:p w:rsidR="00B977CD" w:rsidRPr="00F7263B" w:rsidRDefault="00B977CD" w:rsidP="00254260">
            <w:pPr>
              <w:contextualSpacing/>
              <w:rPr>
                <w:rFonts w:cs="Times New Roman"/>
                <w:sz w:val="20"/>
                <w:szCs w:val="20"/>
              </w:rPr>
            </w:pPr>
            <w:r w:rsidRPr="00F7263B">
              <w:rPr>
                <w:rFonts w:cs="Times New Roman"/>
                <w:sz w:val="20"/>
                <w:szCs w:val="20"/>
              </w:rPr>
              <w:t>APA  completed on time</w:t>
            </w:r>
          </w:p>
        </w:tc>
        <w:tc>
          <w:tcPr>
            <w:tcW w:w="1260" w:type="dxa"/>
          </w:tcPr>
          <w:p w:rsidR="00B977CD" w:rsidRPr="00F7263B" w:rsidRDefault="00B977CD" w:rsidP="00254260">
            <w:pPr>
              <w:contextualSpacing/>
              <w:rPr>
                <w:rFonts w:cs="Times New Roman"/>
                <w:sz w:val="20"/>
                <w:szCs w:val="20"/>
              </w:rPr>
            </w:pPr>
            <w:r w:rsidRPr="00F7263B">
              <w:rPr>
                <w:rFonts w:cs="Times New Roman"/>
                <w:sz w:val="20"/>
                <w:szCs w:val="20"/>
              </w:rPr>
              <w:t>APA completed on time</w:t>
            </w:r>
          </w:p>
        </w:tc>
        <w:tc>
          <w:tcPr>
            <w:tcW w:w="1260" w:type="dxa"/>
          </w:tcPr>
          <w:p w:rsidR="00B977CD" w:rsidRPr="00F7263B" w:rsidRDefault="00B977CD" w:rsidP="00254260">
            <w:pPr>
              <w:contextualSpacing/>
              <w:rPr>
                <w:rFonts w:cs="Times New Roman"/>
                <w:sz w:val="20"/>
                <w:szCs w:val="20"/>
              </w:rPr>
            </w:pPr>
            <w:r w:rsidRPr="00F7263B">
              <w:rPr>
                <w:rFonts w:cs="Times New Roman"/>
                <w:sz w:val="20"/>
                <w:szCs w:val="20"/>
              </w:rPr>
              <w:t xml:space="preserve">APA and </w:t>
            </w:r>
            <w:r w:rsidR="00892250" w:rsidRPr="00F7263B">
              <w:rPr>
                <w:rFonts w:cs="Times New Roman"/>
                <w:sz w:val="20"/>
                <w:szCs w:val="20"/>
              </w:rPr>
              <w:t>value for money</w:t>
            </w:r>
            <w:r w:rsidRPr="00F7263B">
              <w:rPr>
                <w:rFonts w:cs="Times New Roman"/>
                <w:sz w:val="20"/>
                <w:szCs w:val="20"/>
              </w:rPr>
              <w:t xml:space="preserve"> completed on time</w:t>
            </w:r>
          </w:p>
        </w:tc>
        <w:tc>
          <w:tcPr>
            <w:tcW w:w="1260" w:type="dxa"/>
          </w:tcPr>
          <w:p w:rsidR="00B977CD" w:rsidRPr="00F7263B" w:rsidRDefault="00B977CD" w:rsidP="00254260">
            <w:pPr>
              <w:contextualSpacing/>
              <w:rPr>
                <w:rFonts w:cs="Times New Roman"/>
                <w:sz w:val="20"/>
                <w:szCs w:val="20"/>
              </w:rPr>
            </w:pPr>
            <w:r w:rsidRPr="00F7263B">
              <w:rPr>
                <w:rFonts w:cs="Times New Roman"/>
                <w:sz w:val="20"/>
                <w:szCs w:val="20"/>
              </w:rPr>
              <w:t xml:space="preserve">APA and </w:t>
            </w:r>
            <w:r w:rsidR="00892250" w:rsidRPr="00F7263B">
              <w:rPr>
                <w:rFonts w:cs="Times New Roman"/>
                <w:sz w:val="20"/>
                <w:szCs w:val="20"/>
              </w:rPr>
              <w:t>value for money</w:t>
            </w:r>
            <w:r w:rsidRPr="00F7263B">
              <w:rPr>
                <w:rFonts w:cs="Times New Roman"/>
                <w:sz w:val="20"/>
                <w:szCs w:val="20"/>
              </w:rPr>
              <w:t xml:space="preserve">  completed on time</w:t>
            </w:r>
          </w:p>
        </w:tc>
        <w:tc>
          <w:tcPr>
            <w:tcW w:w="1256" w:type="dxa"/>
          </w:tcPr>
          <w:p w:rsidR="00B977CD" w:rsidRPr="00F7263B" w:rsidRDefault="00B977CD" w:rsidP="00254260">
            <w:pPr>
              <w:contextualSpacing/>
              <w:rPr>
                <w:rFonts w:cs="Times New Roman"/>
                <w:sz w:val="20"/>
                <w:szCs w:val="20"/>
              </w:rPr>
            </w:pPr>
            <w:r w:rsidRPr="00F7263B">
              <w:rPr>
                <w:rFonts w:cs="Times New Roman"/>
                <w:sz w:val="20"/>
                <w:szCs w:val="20"/>
              </w:rPr>
              <w:t xml:space="preserve">APA and </w:t>
            </w:r>
            <w:r w:rsidR="00892250" w:rsidRPr="00F7263B">
              <w:rPr>
                <w:rFonts w:cs="Times New Roman"/>
                <w:sz w:val="20"/>
                <w:szCs w:val="20"/>
              </w:rPr>
              <w:t>value for money</w:t>
            </w:r>
            <w:r w:rsidRPr="00F7263B">
              <w:rPr>
                <w:rFonts w:cs="Times New Roman"/>
                <w:sz w:val="20"/>
                <w:szCs w:val="20"/>
              </w:rPr>
              <w:t xml:space="preserve"> completed on time</w:t>
            </w:r>
          </w:p>
        </w:tc>
      </w:tr>
      <w:tr w:rsidR="00B977CD" w:rsidRPr="00F7263B" w:rsidTr="00254260">
        <w:trPr>
          <w:trHeight w:val="611"/>
          <w:jc w:val="center"/>
        </w:trPr>
        <w:tc>
          <w:tcPr>
            <w:tcW w:w="2607" w:type="dxa"/>
            <w:vAlign w:val="center"/>
          </w:tcPr>
          <w:p w:rsidR="00B977CD" w:rsidRPr="00F7263B" w:rsidRDefault="00B977CD" w:rsidP="00254260">
            <w:pPr>
              <w:contextualSpacing/>
              <w:jc w:val="right"/>
              <w:rPr>
                <w:rFonts w:cs="Times New Roman"/>
                <w:sz w:val="20"/>
                <w:szCs w:val="20"/>
              </w:rPr>
            </w:pPr>
            <w:r w:rsidRPr="00F7263B">
              <w:rPr>
                <w:rFonts w:cs="Times New Roman"/>
                <w:sz w:val="20"/>
                <w:szCs w:val="20"/>
              </w:rPr>
              <w:t>Allocated amount</w:t>
            </w:r>
          </w:p>
        </w:tc>
        <w:tc>
          <w:tcPr>
            <w:tcW w:w="1299" w:type="dxa"/>
            <w:vAlign w:val="center"/>
          </w:tcPr>
          <w:p w:rsidR="00B977CD" w:rsidRPr="00F7263B" w:rsidRDefault="00AB35D0" w:rsidP="00C47E57">
            <w:pPr>
              <w:contextualSpacing/>
              <w:jc w:val="center"/>
              <w:rPr>
                <w:rFonts w:cs="Times New Roman"/>
                <w:sz w:val="20"/>
                <w:szCs w:val="20"/>
              </w:rPr>
            </w:pPr>
            <w:r w:rsidRPr="00F7263B">
              <w:rPr>
                <w:rFonts w:cs="Times New Roman"/>
                <w:sz w:val="20"/>
                <w:szCs w:val="20"/>
              </w:rPr>
              <w:t>US</w:t>
            </w:r>
            <w:r w:rsidR="00B977CD" w:rsidRPr="00F7263B">
              <w:rPr>
                <w:rFonts w:cs="Times New Roman"/>
                <w:sz w:val="20"/>
                <w:szCs w:val="20"/>
              </w:rPr>
              <w:t>$5 million</w:t>
            </w:r>
          </w:p>
        </w:tc>
        <w:tc>
          <w:tcPr>
            <w:tcW w:w="1311"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w:t>
            </w:r>
            <w:r w:rsidR="00836ED8" w:rsidRPr="00F7263B">
              <w:rPr>
                <w:rFonts w:cs="Times New Roman"/>
                <w:sz w:val="20"/>
                <w:szCs w:val="20"/>
              </w:rPr>
              <w:t>32</w:t>
            </w:r>
            <w:r w:rsidRPr="00F7263B">
              <w:rPr>
                <w:rFonts w:cs="Times New Roman"/>
                <w:sz w:val="20"/>
                <w:szCs w:val="20"/>
              </w:rPr>
              <w:t>%</w:t>
            </w:r>
          </w:p>
        </w:tc>
        <w:tc>
          <w:tcPr>
            <w:tcW w:w="1260" w:type="dxa"/>
            <w:shd w:val="clear" w:color="auto" w:fill="auto"/>
            <w:vAlign w:val="center"/>
          </w:tcPr>
          <w:p w:rsidR="00B977CD" w:rsidRPr="00F7263B" w:rsidRDefault="00B977CD" w:rsidP="00C47E57">
            <w:pPr>
              <w:contextualSpacing/>
              <w:jc w:val="center"/>
              <w:rPr>
                <w:rFonts w:cs="Times New Roman"/>
                <w:sz w:val="20"/>
                <w:szCs w:val="20"/>
              </w:rPr>
            </w:pP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 million</w:t>
            </w:r>
          </w:p>
        </w:tc>
        <w:tc>
          <w:tcPr>
            <w:tcW w:w="1260" w:type="dxa"/>
            <w:vAlign w:val="center"/>
          </w:tcPr>
          <w:p w:rsidR="00B977CD" w:rsidRPr="00F7263B" w:rsidRDefault="00B977CD" w:rsidP="00C47E57">
            <w:pPr>
              <w:jc w:val="center"/>
              <w:rPr>
                <w:sz w:val="20"/>
                <w:szCs w:val="20"/>
              </w:rPr>
            </w:pPr>
            <w:r w:rsidRPr="00F7263B">
              <w:rPr>
                <w:rFonts w:cs="Times New Roman"/>
                <w:sz w:val="20"/>
                <w:szCs w:val="20"/>
              </w:rPr>
              <w:t>$1 million</w:t>
            </w:r>
          </w:p>
        </w:tc>
        <w:tc>
          <w:tcPr>
            <w:tcW w:w="1256" w:type="dxa"/>
            <w:vAlign w:val="center"/>
          </w:tcPr>
          <w:p w:rsidR="00B977CD" w:rsidRPr="00F7263B" w:rsidRDefault="00B977CD" w:rsidP="00C47E57">
            <w:pPr>
              <w:jc w:val="center"/>
              <w:rPr>
                <w:sz w:val="20"/>
                <w:szCs w:val="20"/>
              </w:rPr>
            </w:pPr>
            <w:r w:rsidRPr="00F7263B">
              <w:rPr>
                <w:rFonts w:cs="Times New Roman"/>
                <w:sz w:val="20"/>
                <w:szCs w:val="20"/>
              </w:rPr>
              <w:t>$1 million</w:t>
            </w:r>
          </w:p>
        </w:tc>
      </w:tr>
      <w:tr w:rsidR="00B977CD" w:rsidRPr="00F7263B" w:rsidTr="00254260">
        <w:trPr>
          <w:trHeight w:val="620"/>
          <w:jc w:val="center"/>
        </w:trPr>
        <w:tc>
          <w:tcPr>
            <w:tcW w:w="2607" w:type="dxa"/>
            <w:vAlign w:val="center"/>
          </w:tcPr>
          <w:p w:rsidR="00B977CD" w:rsidRPr="00F7263B" w:rsidRDefault="00B977CD" w:rsidP="00C47E57">
            <w:pPr>
              <w:pStyle w:val="ListParagraph"/>
              <w:ind w:left="0"/>
              <w:rPr>
                <w:rFonts w:cs="Times New Roman"/>
                <w:b/>
                <w:sz w:val="20"/>
                <w:szCs w:val="20"/>
              </w:rPr>
            </w:pPr>
            <w:r w:rsidRPr="00F7263B">
              <w:rPr>
                <w:rFonts w:cs="Times New Roman"/>
                <w:b/>
                <w:sz w:val="20"/>
                <w:szCs w:val="20"/>
              </w:rPr>
              <w:t>Total Financing Allocated:</w:t>
            </w:r>
          </w:p>
        </w:tc>
        <w:tc>
          <w:tcPr>
            <w:tcW w:w="1299"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US$3</w:t>
            </w:r>
            <w:r w:rsidR="00836ED8" w:rsidRPr="00F7263B">
              <w:rPr>
                <w:rFonts w:cs="Times New Roman"/>
                <w:sz w:val="20"/>
                <w:szCs w:val="20"/>
              </w:rPr>
              <w:t>80</w:t>
            </w:r>
            <w:r w:rsidRPr="00F7263B">
              <w:rPr>
                <w:rFonts w:cs="Times New Roman"/>
                <w:sz w:val="20"/>
                <w:szCs w:val="20"/>
              </w:rPr>
              <w:t xml:space="preserve"> million</w:t>
            </w:r>
          </w:p>
        </w:tc>
        <w:tc>
          <w:tcPr>
            <w:tcW w:w="1311"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100%</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0</w:t>
            </w:r>
          </w:p>
        </w:tc>
        <w:tc>
          <w:tcPr>
            <w:tcW w:w="1260" w:type="dxa"/>
            <w:vAlign w:val="center"/>
          </w:tcPr>
          <w:p w:rsidR="00B977CD" w:rsidRPr="00F7263B" w:rsidRDefault="00B977CD" w:rsidP="00405DC2">
            <w:pPr>
              <w:contextualSpacing/>
              <w:jc w:val="center"/>
              <w:rPr>
                <w:rFonts w:cs="Times New Roman"/>
                <w:sz w:val="20"/>
                <w:szCs w:val="20"/>
              </w:rPr>
            </w:pPr>
            <w:r w:rsidRPr="00F7263B">
              <w:rPr>
                <w:rFonts w:cs="Times New Roman"/>
                <w:sz w:val="20"/>
                <w:szCs w:val="20"/>
              </w:rPr>
              <w:t>$</w:t>
            </w:r>
            <w:r w:rsidR="00836ED8" w:rsidRPr="00F7263B">
              <w:rPr>
                <w:rFonts w:cs="Times New Roman"/>
                <w:sz w:val="20"/>
                <w:szCs w:val="20"/>
              </w:rPr>
              <w:t>60.7</w:t>
            </w:r>
            <w:r w:rsidRPr="00F7263B">
              <w:rPr>
                <w:rFonts w:cs="Times New Roman"/>
                <w:sz w:val="20"/>
                <w:szCs w:val="20"/>
              </w:rPr>
              <w:t xml:space="preserve"> million</w:t>
            </w:r>
          </w:p>
        </w:tc>
        <w:tc>
          <w:tcPr>
            <w:tcW w:w="1260"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836ED8" w:rsidRPr="00F7263B">
              <w:rPr>
                <w:rFonts w:cs="Times New Roman"/>
                <w:sz w:val="20"/>
                <w:szCs w:val="20"/>
              </w:rPr>
              <w:t>78.8</w:t>
            </w:r>
            <w:r w:rsidRPr="00F7263B">
              <w:rPr>
                <w:rFonts w:cs="Times New Roman"/>
                <w:sz w:val="20"/>
                <w:szCs w:val="20"/>
              </w:rPr>
              <w:t>million</w:t>
            </w:r>
          </w:p>
        </w:tc>
        <w:tc>
          <w:tcPr>
            <w:tcW w:w="1260" w:type="dxa"/>
            <w:vAlign w:val="center"/>
          </w:tcPr>
          <w:p w:rsidR="00B977CD" w:rsidRPr="00F7263B" w:rsidRDefault="00B977CD" w:rsidP="00405DC2">
            <w:pPr>
              <w:contextualSpacing/>
              <w:jc w:val="center"/>
              <w:rPr>
                <w:rFonts w:cs="Times New Roman"/>
                <w:sz w:val="20"/>
                <w:szCs w:val="20"/>
              </w:rPr>
            </w:pPr>
            <w:r w:rsidRPr="00F7263B">
              <w:rPr>
                <w:rFonts w:cs="Times New Roman"/>
                <w:sz w:val="20"/>
                <w:szCs w:val="20"/>
              </w:rPr>
              <w:t>$</w:t>
            </w:r>
            <w:r w:rsidR="00836ED8" w:rsidRPr="00F7263B">
              <w:rPr>
                <w:rFonts w:cs="Times New Roman"/>
                <w:sz w:val="20"/>
                <w:szCs w:val="20"/>
              </w:rPr>
              <w:t>80.8</w:t>
            </w:r>
            <w:r w:rsidRPr="00F7263B">
              <w:rPr>
                <w:rFonts w:cs="Times New Roman"/>
                <w:sz w:val="20"/>
                <w:szCs w:val="20"/>
              </w:rPr>
              <w:t>million</w:t>
            </w:r>
          </w:p>
        </w:tc>
        <w:tc>
          <w:tcPr>
            <w:tcW w:w="1260" w:type="dxa"/>
            <w:vAlign w:val="center"/>
          </w:tcPr>
          <w:p w:rsidR="00B977CD" w:rsidRPr="00F7263B" w:rsidRDefault="00B977CD" w:rsidP="00B233B7">
            <w:pPr>
              <w:contextualSpacing/>
              <w:jc w:val="center"/>
              <w:rPr>
                <w:rFonts w:cs="Times New Roman"/>
                <w:sz w:val="20"/>
                <w:szCs w:val="20"/>
              </w:rPr>
            </w:pPr>
            <w:r w:rsidRPr="00F7263B">
              <w:rPr>
                <w:rFonts w:cs="Times New Roman"/>
                <w:sz w:val="20"/>
                <w:szCs w:val="20"/>
              </w:rPr>
              <w:t>$7</w:t>
            </w:r>
            <w:r w:rsidR="00836ED8" w:rsidRPr="00F7263B">
              <w:rPr>
                <w:rFonts w:cs="Times New Roman"/>
                <w:sz w:val="20"/>
                <w:szCs w:val="20"/>
              </w:rPr>
              <w:t>8.8</w:t>
            </w:r>
            <w:r w:rsidRPr="00F7263B">
              <w:rPr>
                <w:rFonts w:cs="Times New Roman"/>
                <w:sz w:val="20"/>
                <w:szCs w:val="20"/>
              </w:rPr>
              <w:t>million</w:t>
            </w:r>
          </w:p>
        </w:tc>
        <w:tc>
          <w:tcPr>
            <w:tcW w:w="1256" w:type="dxa"/>
            <w:vAlign w:val="center"/>
          </w:tcPr>
          <w:p w:rsidR="00B977CD" w:rsidRPr="00F7263B" w:rsidRDefault="00B977CD" w:rsidP="00C47E57">
            <w:pPr>
              <w:contextualSpacing/>
              <w:jc w:val="center"/>
              <w:rPr>
                <w:rFonts w:cs="Times New Roman"/>
                <w:sz w:val="20"/>
                <w:szCs w:val="20"/>
              </w:rPr>
            </w:pPr>
            <w:r w:rsidRPr="00F7263B">
              <w:rPr>
                <w:rFonts w:cs="Times New Roman"/>
                <w:sz w:val="20"/>
                <w:szCs w:val="20"/>
              </w:rPr>
              <w:t>$</w:t>
            </w:r>
            <w:r w:rsidR="00836ED8" w:rsidRPr="00F7263B">
              <w:rPr>
                <w:rFonts w:cs="Times New Roman"/>
                <w:sz w:val="20"/>
                <w:szCs w:val="20"/>
              </w:rPr>
              <w:t>80.8</w:t>
            </w:r>
            <w:r w:rsidRPr="00F7263B">
              <w:rPr>
                <w:rFonts w:cs="Times New Roman"/>
                <w:sz w:val="20"/>
                <w:szCs w:val="20"/>
              </w:rPr>
              <w:t xml:space="preserve"> million</w:t>
            </w:r>
          </w:p>
        </w:tc>
      </w:tr>
    </w:tbl>
    <w:p w:rsidR="004B44AC" w:rsidRPr="00F7263B" w:rsidRDefault="004B44AC" w:rsidP="00556F1B">
      <w:pPr>
        <w:pStyle w:val="NoSpacing"/>
        <w:ind w:left="360"/>
        <w:jc w:val="both"/>
        <w:rPr>
          <w:rFonts w:ascii="Times New Roman" w:hAnsi="Times New Roman" w:cs="Times New Roman"/>
          <w:b/>
          <w:sz w:val="20"/>
          <w:szCs w:val="20"/>
        </w:rPr>
      </w:pPr>
    </w:p>
    <w:p w:rsidR="00CB399F" w:rsidRPr="00F7263B" w:rsidRDefault="004A08DC" w:rsidP="00EA181A">
      <w:pPr>
        <w:pStyle w:val="Attachmenttitle"/>
        <w:spacing w:after="60"/>
        <w:jc w:val="both"/>
        <w:rPr>
          <w:sz w:val="20"/>
          <w:szCs w:val="20"/>
        </w:rPr>
      </w:pPr>
      <w:r w:rsidRPr="00F7263B">
        <w:rPr>
          <w:sz w:val="20"/>
          <w:szCs w:val="20"/>
        </w:rPr>
        <w:t xml:space="preserve">DLI Verification Protocol Table </w:t>
      </w:r>
    </w:p>
    <w:tbl>
      <w:tblPr>
        <w:tblStyle w:val="TableGrid"/>
        <w:tblpPr w:leftFromText="141" w:rightFromText="141" w:vertAnchor="text" w:tblpXSpec="right" w:tblpY="1"/>
        <w:tblOverlap w:val="never"/>
        <w:tblW w:w="5000" w:type="pct"/>
        <w:tblLayout w:type="fixed"/>
        <w:tblLook w:val="00A0" w:firstRow="1" w:lastRow="0" w:firstColumn="1" w:lastColumn="0" w:noHBand="0" w:noVBand="0"/>
      </w:tblPr>
      <w:tblGrid>
        <w:gridCol w:w="277"/>
        <w:gridCol w:w="1360"/>
        <w:gridCol w:w="2340"/>
        <w:gridCol w:w="988"/>
        <w:gridCol w:w="1713"/>
        <w:gridCol w:w="2464"/>
        <w:gridCol w:w="4034"/>
      </w:tblGrid>
      <w:tr w:rsidR="0095515C" w:rsidRPr="00F7263B">
        <w:trPr>
          <w:tblHeader/>
        </w:trPr>
        <w:tc>
          <w:tcPr>
            <w:tcW w:w="105" w:type="pct"/>
            <w:shd w:val="clear" w:color="auto" w:fill="DBE5F1" w:themeFill="accent1" w:themeFillTint="33"/>
          </w:tcPr>
          <w:p w:rsidR="0095515C" w:rsidRPr="00F7263B" w:rsidRDefault="0095515C" w:rsidP="006E6935">
            <w:pPr>
              <w:rPr>
                <w:rFonts w:cs="Times New Roman"/>
                <w:b/>
                <w:sz w:val="20"/>
                <w:szCs w:val="20"/>
              </w:rPr>
            </w:pPr>
            <w:r w:rsidRPr="00F7263B">
              <w:rPr>
                <w:rFonts w:cs="Times New Roman"/>
                <w:b/>
                <w:sz w:val="20"/>
                <w:szCs w:val="20"/>
              </w:rPr>
              <w:t>#</w:t>
            </w:r>
          </w:p>
        </w:tc>
        <w:tc>
          <w:tcPr>
            <w:tcW w:w="516" w:type="pct"/>
            <w:shd w:val="clear" w:color="auto" w:fill="DBE5F1" w:themeFill="accent1" w:themeFillTint="33"/>
          </w:tcPr>
          <w:p w:rsidR="0095515C" w:rsidRPr="00F7263B" w:rsidRDefault="0095515C" w:rsidP="006E6935">
            <w:pPr>
              <w:rPr>
                <w:rFonts w:cs="Times New Roman"/>
                <w:b/>
                <w:sz w:val="20"/>
                <w:szCs w:val="20"/>
              </w:rPr>
            </w:pPr>
            <w:r w:rsidRPr="00F7263B">
              <w:rPr>
                <w:rFonts w:cs="Times New Roman"/>
                <w:b/>
                <w:sz w:val="20"/>
                <w:szCs w:val="20"/>
              </w:rPr>
              <w:t>DLI</w:t>
            </w:r>
          </w:p>
        </w:tc>
        <w:tc>
          <w:tcPr>
            <w:tcW w:w="888" w:type="pct"/>
            <w:shd w:val="clear" w:color="auto" w:fill="DBE5F1" w:themeFill="accent1" w:themeFillTint="33"/>
          </w:tcPr>
          <w:p w:rsidR="0095515C" w:rsidRPr="00F7263B" w:rsidRDefault="0095515C" w:rsidP="006E6935">
            <w:pPr>
              <w:pStyle w:val="NoSpacing"/>
              <w:rPr>
                <w:rFonts w:ascii="Times New Roman" w:hAnsi="Times New Roman" w:cs="Times New Roman"/>
                <w:b/>
                <w:sz w:val="20"/>
                <w:szCs w:val="20"/>
              </w:rPr>
            </w:pPr>
            <w:r w:rsidRPr="00F7263B">
              <w:rPr>
                <w:rFonts w:ascii="Times New Roman" w:hAnsi="Times New Roman" w:cs="Times New Roman"/>
                <w:b/>
                <w:sz w:val="20"/>
                <w:szCs w:val="20"/>
              </w:rPr>
              <w:t>Definition/</w:t>
            </w:r>
          </w:p>
          <w:p w:rsidR="0095515C" w:rsidRPr="00F7263B" w:rsidRDefault="0095515C" w:rsidP="006E6935">
            <w:pPr>
              <w:rPr>
                <w:rFonts w:cs="Times New Roman"/>
                <w:b/>
                <w:sz w:val="20"/>
                <w:szCs w:val="20"/>
              </w:rPr>
            </w:pPr>
            <w:r w:rsidRPr="00F7263B">
              <w:rPr>
                <w:rFonts w:cs="Times New Roman"/>
                <w:b/>
                <w:sz w:val="20"/>
                <w:szCs w:val="20"/>
              </w:rPr>
              <w:t>Description of achievement</w:t>
            </w:r>
          </w:p>
        </w:tc>
        <w:tc>
          <w:tcPr>
            <w:tcW w:w="375" w:type="pct"/>
            <w:shd w:val="clear" w:color="auto" w:fill="DBE5F1" w:themeFill="accent1" w:themeFillTint="33"/>
          </w:tcPr>
          <w:p w:rsidR="0095515C" w:rsidRPr="00F7263B" w:rsidRDefault="0095515C" w:rsidP="00EA181A">
            <w:pPr>
              <w:jc w:val="center"/>
              <w:rPr>
                <w:rFonts w:eastAsiaTheme="majorEastAsia" w:cs="Times New Roman"/>
                <w:b/>
                <w:bCs/>
                <w:color w:val="4F81BD" w:themeColor="accent1"/>
                <w:sz w:val="20"/>
                <w:szCs w:val="20"/>
              </w:rPr>
            </w:pPr>
            <w:r w:rsidRPr="00F7263B">
              <w:rPr>
                <w:rFonts w:cs="Times New Roman"/>
                <w:b/>
                <w:sz w:val="20"/>
                <w:szCs w:val="20"/>
              </w:rPr>
              <w:t>Scalabi</w:t>
            </w:r>
            <w:r w:rsidR="00EA181A" w:rsidRPr="00F7263B">
              <w:rPr>
                <w:rFonts w:cs="Times New Roman"/>
                <w:b/>
                <w:sz w:val="20"/>
                <w:szCs w:val="20"/>
              </w:rPr>
              <w:t>-</w:t>
            </w:r>
            <w:r w:rsidRPr="00F7263B">
              <w:rPr>
                <w:rFonts w:cs="Times New Roman"/>
                <w:b/>
                <w:sz w:val="20"/>
                <w:szCs w:val="20"/>
              </w:rPr>
              <w:t>lity</w:t>
            </w:r>
          </w:p>
        </w:tc>
        <w:tc>
          <w:tcPr>
            <w:tcW w:w="650" w:type="pct"/>
            <w:shd w:val="clear" w:color="auto" w:fill="DBE5F1" w:themeFill="accent1" w:themeFillTint="33"/>
          </w:tcPr>
          <w:p w:rsidR="0095515C" w:rsidRPr="00F7263B" w:rsidRDefault="0095515C" w:rsidP="00EA181A">
            <w:pPr>
              <w:jc w:val="center"/>
              <w:rPr>
                <w:rFonts w:eastAsiaTheme="majorEastAsia" w:cs="Times New Roman"/>
                <w:b/>
                <w:bCs/>
                <w:color w:val="4F81BD" w:themeColor="accent1"/>
                <w:sz w:val="20"/>
                <w:szCs w:val="20"/>
              </w:rPr>
            </w:pPr>
            <w:r w:rsidRPr="00F7263B">
              <w:rPr>
                <w:rFonts w:cs="Times New Roman"/>
                <w:b/>
                <w:sz w:val="20"/>
                <w:szCs w:val="20"/>
              </w:rPr>
              <w:t>Data Source</w:t>
            </w:r>
          </w:p>
        </w:tc>
        <w:tc>
          <w:tcPr>
            <w:tcW w:w="935" w:type="pct"/>
            <w:shd w:val="clear" w:color="auto" w:fill="DBE5F1" w:themeFill="accent1" w:themeFillTint="33"/>
          </w:tcPr>
          <w:p w:rsidR="0095515C" w:rsidRPr="00F7263B" w:rsidRDefault="0095515C" w:rsidP="00EA181A">
            <w:pPr>
              <w:jc w:val="center"/>
              <w:rPr>
                <w:rFonts w:eastAsiaTheme="majorEastAsia" w:cs="Times New Roman"/>
                <w:b/>
                <w:bCs/>
                <w:color w:val="4F81BD" w:themeColor="accent1"/>
                <w:sz w:val="20"/>
                <w:szCs w:val="20"/>
              </w:rPr>
            </w:pPr>
            <w:r w:rsidRPr="00F7263B">
              <w:rPr>
                <w:rFonts w:cs="Times New Roman"/>
                <w:b/>
                <w:sz w:val="20"/>
                <w:szCs w:val="20"/>
              </w:rPr>
              <w:t>Verification Entity</w:t>
            </w:r>
          </w:p>
        </w:tc>
        <w:tc>
          <w:tcPr>
            <w:tcW w:w="1531" w:type="pct"/>
            <w:shd w:val="clear" w:color="auto" w:fill="DBE5F1" w:themeFill="accent1" w:themeFillTint="33"/>
          </w:tcPr>
          <w:p w:rsidR="0095515C" w:rsidRPr="00F7263B" w:rsidRDefault="0095515C" w:rsidP="00EA181A">
            <w:pPr>
              <w:jc w:val="center"/>
              <w:rPr>
                <w:rFonts w:eastAsiaTheme="majorEastAsia" w:cs="Times New Roman"/>
                <w:b/>
                <w:bCs/>
                <w:color w:val="4F81BD" w:themeColor="accent1"/>
                <w:sz w:val="20"/>
                <w:szCs w:val="20"/>
              </w:rPr>
            </w:pPr>
            <w:r w:rsidRPr="00F7263B">
              <w:rPr>
                <w:rFonts w:cs="Times New Roman"/>
                <w:b/>
                <w:sz w:val="20"/>
                <w:szCs w:val="20"/>
              </w:rPr>
              <w:t>Procedure</w:t>
            </w: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t xml:space="preserve">1 </w:t>
            </w:r>
          </w:p>
        </w:tc>
        <w:tc>
          <w:tcPr>
            <w:tcW w:w="516" w:type="pct"/>
          </w:tcPr>
          <w:p w:rsidR="0095515C" w:rsidRPr="00F7263B" w:rsidRDefault="0095515C" w:rsidP="006E6935">
            <w:pPr>
              <w:rPr>
                <w:rFonts w:cs="Times New Roman"/>
                <w:sz w:val="20"/>
                <w:szCs w:val="20"/>
              </w:rPr>
            </w:pPr>
            <w:r w:rsidRPr="00F7263B">
              <w:rPr>
                <w:rFonts w:cs="Times New Roman"/>
                <w:sz w:val="20"/>
                <w:szCs w:val="20"/>
              </w:rPr>
              <w:t>ULGs have achieved Program minimum conditions</w:t>
            </w:r>
            <w:r w:rsidR="00D81609" w:rsidRPr="00F7263B">
              <w:rPr>
                <w:rFonts w:cs="Times New Roman"/>
                <w:sz w:val="20"/>
                <w:szCs w:val="20"/>
              </w:rPr>
              <w:t xml:space="preserve"> as shown in </w:t>
            </w:r>
            <w:r w:rsidRPr="00F7263B">
              <w:rPr>
                <w:rFonts w:cs="Times New Roman"/>
                <w:sz w:val="20"/>
                <w:szCs w:val="20"/>
              </w:rPr>
              <w:t xml:space="preserve">the </w:t>
            </w:r>
            <w:r w:rsidR="00D81609" w:rsidRPr="00F7263B">
              <w:rPr>
                <w:rFonts w:cs="Times New Roman"/>
                <w:sz w:val="20"/>
                <w:szCs w:val="20"/>
              </w:rPr>
              <w:t>APA</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p>
        </w:tc>
        <w:tc>
          <w:tcPr>
            <w:tcW w:w="888" w:type="pct"/>
          </w:tcPr>
          <w:p w:rsidR="0095515C" w:rsidRPr="00F7263B" w:rsidRDefault="0095515C" w:rsidP="006E6935">
            <w:pPr>
              <w:rPr>
                <w:rFonts w:cs="Times New Roman"/>
                <w:sz w:val="20"/>
                <w:szCs w:val="20"/>
              </w:rPr>
            </w:pPr>
            <w:r w:rsidRPr="00F7263B">
              <w:rPr>
                <w:rFonts w:cs="Times New Roman"/>
                <w:sz w:val="20"/>
                <w:szCs w:val="20"/>
              </w:rPr>
              <w:t>The indicator will be satisfied when:</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r w:rsidRPr="00F7263B">
              <w:rPr>
                <w:rFonts w:cs="Times New Roman"/>
                <w:sz w:val="20"/>
                <w:szCs w:val="20"/>
              </w:rPr>
              <w:t xml:space="preserve">The </w:t>
            </w:r>
            <w:r w:rsidR="00D81609" w:rsidRPr="00F7263B">
              <w:rPr>
                <w:rFonts w:cs="Times New Roman"/>
                <w:sz w:val="20"/>
                <w:szCs w:val="20"/>
              </w:rPr>
              <w:t>APA</w:t>
            </w:r>
            <w:r w:rsidRPr="00F7263B">
              <w:rPr>
                <w:rFonts w:cs="Times New Roman"/>
                <w:sz w:val="20"/>
                <w:szCs w:val="20"/>
              </w:rPr>
              <w:t>, using only the minimum conditions, has been completed and the disbursements to Program ULGs have been determined on this basis.</w:t>
            </w:r>
          </w:p>
          <w:p w:rsidR="0095515C" w:rsidRPr="00F7263B" w:rsidRDefault="0095515C" w:rsidP="006E6935">
            <w:pPr>
              <w:rPr>
                <w:rFonts w:cs="Times New Roman"/>
                <w:sz w:val="20"/>
                <w:szCs w:val="20"/>
              </w:rPr>
            </w:pPr>
          </w:p>
        </w:tc>
        <w:tc>
          <w:tcPr>
            <w:tcW w:w="375" w:type="pct"/>
          </w:tcPr>
          <w:p w:rsidR="0095515C" w:rsidRPr="00F7263B" w:rsidRDefault="0095515C" w:rsidP="006E6935">
            <w:pPr>
              <w:rPr>
                <w:rFonts w:cs="Times New Roman"/>
                <w:sz w:val="20"/>
                <w:szCs w:val="20"/>
              </w:rPr>
            </w:pPr>
            <w:r w:rsidRPr="00F7263B">
              <w:rPr>
                <w:rFonts w:cs="Times New Roman"/>
                <w:sz w:val="20"/>
                <w:szCs w:val="20"/>
              </w:rPr>
              <w:t>Yes</w:t>
            </w:r>
          </w:p>
        </w:tc>
        <w:tc>
          <w:tcPr>
            <w:tcW w:w="650" w:type="pct"/>
          </w:tcPr>
          <w:p w:rsidR="0095515C" w:rsidRPr="00F7263B" w:rsidRDefault="0095515C" w:rsidP="00405DC2">
            <w:pPr>
              <w:rPr>
                <w:rFonts w:cs="Times New Roman"/>
                <w:sz w:val="20"/>
                <w:szCs w:val="20"/>
              </w:rPr>
            </w:pPr>
            <w:r w:rsidRPr="00F7263B">
              <w:rPr>
                <w:rFonts w:cs="Times New Roman"/>
                <w:sz w:val="20"/>
                <w:szCs w:val="20"/>
              </w:rPr>
              <w:t>ULG compliance with Program minimum conditions assessed by independent performance assessment.</w:t>
            </w:r>
          </w:p>
        </w:tc>
        <w:tc>
          <w:tcPr>
            <w:tcW w:w="935" w:type="pct"/>
          </w:tcPr>
          <w:p w:rsidR="0095515C" w:rsidRPr="00F7263B" w:rsidRDefault="0095515C" w:rsidP="006E6935">
            <w:pPr>
              <w:rPr>
                <w:rFonts w:cs="Times New Roman"/>
                <w:i/>
                <w:sz w:val="20"/>
                <w:szCs w:val="20"/>
              </w:rPr>
            </w:pPr>
            <w:r w:rsidRPr="00F7263B">
              <w:rPr>
                <w:rFonts w:cs="Times New Roman"/>
                <w:sz w:val="20"/>
                <w:szCs w:val="20"/>
              </w:rPr>
              <w:t xml:space="preserve">Independent private firm carrying out the </w:t>
            </w:r>
            <w:r w:rsidR="00405DC2" w:rsidRPr="00F7263B">
              <w:rPr>
                <w:rFonts w:cs="Times New Roman"/>
                <w:sz w:val="20"/>
                <w:szCs w:val="20"/>
              </w:rPr>
              <w:t>APA</w:t>
            </w:r>
            <w:r w:rsidRPr="00F7263B">
              <w:rPr>
                <w:rFonts w:cs="Times New Roman"/>
                <w:sz w:val="20"/>
                <w:szCs w:val="20"/>
              </w:rPr>
              <w:t>. (</w:t>
            </w:r>
            <w:r w:rsidRPr="00F7263B">
              <w:rPr>
                <w:rFonts w:cs="Times New Roman"/>
                <w:i/>
                <w:sz w:val="20"/>
                <w:szCs w:val="20"/>
                <w:u w:val="single"/>
              </w:rPr>
              <w:t>Note:</w:t>
            </w:r>
            <w:r w:rsidRPr="00F7263B">
              <w:rPr>
                <w:rFonts w:cs="Times New Roman"/>
                <w:i/>
                <w:sz w:val="20"/>
                <w:szCs w:val="20"/>
              </w:rPr>
              <w:t xml:space="preserve"> The terms of reference of the firm must be acceptable to the World Bank)</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r w:rsidRPr="00F7263B">
              <w:rPr>
                <w:rFonts w:cs="Times New Roman"/>
                <w:sz w:val="20"/>
                <w:szCs w:val="20"/>
              </w:rPr>
              <w:t xml:space="preserve">Draft verification reports are submitted for review by the verification entity (APA firm) simultaneously to the </w:t>
            </w:r>
            <w:r w:rsidRPr="00F7263B">
              <w:rPr>
                <w:rFonts w:cs="Times New Roman"/>
                <w:sz w:val="20"/>
                <w:szCs w:val="20"/>
              </w:rPr>
              <w:lastRenderedPageBreak/>
              <w:t xml:space="preserve">government (technical sub-committee*) and the Bank. Neither party can modify such reports except for factual errors. </w:t>
            </w:r>
          </w:p>
          <w:p w:rsidR="0095515C" w:rsidRPr="00F7263B" w:rsidRDefault="0095515C" w:rsidP="006E6935">
            <w:pPr>
              <w:rPr>
                <w:rFonts w:cs="Times New Roman"/>
                <w:sz w:val="20"/>
                <w:szCs w:val="20"/>
              </w:rPr>
            </w:pPr>
          </w:p>
          <w:p w:rsidR="0095515C" w:rsidRPr="00F7263B" w:rsidRDefault="0095515C" w:rsidP="006E6935">
            <w:pPr>
              <w:rPr>
                <w:rFonts w:cs="Times New Roman"/>
                <w:i/>
                <w:sz w:val="20"/>
                <w:szCs w:val="20"/>
              </w:rPr>
            </w:pPr>
            <w:r w:rsidRPr="00F7263B">
              <w:rPr>
                <w:rFonts w:cs="Times New Roman"/>
                <w:sz w:val="20"/>
                <w:szCs w:val="20"/>
              </w:rPr>
              <w:t xml:space="preserve">* </w:t>
            </w:r>
            <w:r w:rsidR="00405DC2" w:rsidRPr="00F7263B">
              <w:rPr>
                <w:rFonts w:cs="Times New Roman"/>
                <w:i/>
                <w:sz w:val="20"/>
                <w:szCs w:val="20"/>
              </w:rPr>
              <w:t>The technical sub-committee</w:t>
            </w:r>
            <w:r w:rsidRPr="00F7263B">
              <w:rPr>
                <w:rFonts w:cs="Times New Roman"/>
                <w:i/>
                <w:sz w:val="20"/>
                <w:szCs w:val="20"/>
              </w:rPr>
              <w:t xml:space="preserve">will have representation from </w:t>
            </w:r>
            <w:r w:rsidR="00830508" w:rsidRPr="00F7263B">
              <w:rPr>
                <w:rFonts w:cs="Times New Roman"/>
                <w:i/>
                <w:sz w:val="20"/>
                <w:szCs w:val="20"/>
              </w:rPr>
              <w:t>MUDHCo</w:t>
            </w:r>
            <w:r w:rsidRPr="00F7263B">
              <w:rPr>
                <w:rFonts w:cs="Times New Roman"/>
                <w:i/>
                <w:sz w:val="20"/>
                <w:szCs w:val="20"/>
              </w:rPr>
              <w:t xml:space="preserve"> (chair), MoFED and other agencies as appropriate and the W</w:t>
            </w:r>
            <w:r w:rsidR="00405DC2" w:rsidRPr="00F7263B">
              <w:rPr>
                <w:rFonts w:cs="Times New Roman"/>
                <w:i/>
                <w:sz w:val="20"/>
                <w:szCs w:val="20"/>
              </w:rPr>
              <w:t xml:space="preserve">orld </w:t>
            </w:r>
            <w:r w:rsidRPr="00F7263B">
              <w:rPr>
                <w:rFonts w:cs="Times New Roman"/>
                <w:i/>
                <w:sz w:val="20"/>
                <w:szCs w:val="20"/>
              </w:rPr>
              <w:t>B</w:t>
            </w:r>
            <w:r w:rsidR="00405DC2" w:rsidRPr="00F7263B">
              <w:rPr>
                <w:rFonts w:cs="Times New Roman"/>
                <w:i/>
                <w:sz w:val="20"/>
                <w:szCs w:val="20"/>
              </w:rPr>
              <w:t>ank</w:t>
            </w:r>
            <w:r w:rsidRPr="00F7263B">
              <w:rPr>
                <w:rFonts w:cs="Times New Roman"/>
                <w:i/>
                <w:sz w:val="20"/>
                <w:szCs w:val="20"/>
              </w:rPr>
              <w:t xml:space="preserve"> as observer.</w:t>
            </w:r>
          </w:p>
        </w:tc>
        <w:tc>
          <w:tcPr>
            <w:tcW w:w="1531" w:type="pct"/>
          </w:tcPr>
          <w:p w:rsidR="0095515C" w:rsidRPr="00F7263B" w:rsidRDefault="00830508" w:rsidP="006E6935">
            <w:pPr>
              <w:pStyle w:val="NormalWeb"/>
              <w:spacing w:before="2" w:after="2"/>
              <w:rPr>
                <w:rFonts w:ascii="Times New Roman" w:hAnsi="Times New Roman"/>
                <w:lang w:val="en-GB"/>
              </w:rPr>
            </w:pPr>
            <w:r w:rsidRPr="00F7263B">
              <w:rPr>
                <w:rFonts w:ascii="Times New Roman" w:hAnsi="Times New Roman"/>
                <w:lang w:val="en-GB"/>
              </w:rPr>
              <w:lastRenderedPageBreak/>
              <w:t>MUDHCo</w:t>
            </w:r>
            <w:r w:rsidR="0095515C" w:rsidRPr="00F7263B">
              <w:rPr>
                <w:rFonts w:ascii="Times New Roman" w:hAnsi="Times New Roman"/>
                <w:lang w:val="en-GB"/>
              </w:rPr>
              <w:t xml:space="preserve"> hires a private sector consulting/audit firm (whose terms of reference will be acceptable to the Bank) to carry out the independent APA</w:t>
            </w:r>
            <w:r w:rsidR="00405DC2" w:rsidRPr="00F7263B">
              <w:rPr>
                <w:rFonts w:ascii="Times New Roman" w:hAnsi="Times New Roman"/>
                <w:lang w:val="en-GB"/>
              </w:rPr>
              <w:t>.</w:t>
            </w:r>
          </w:p>
          <w:p w:rsidR="0095515C" w:rsidRPr="00F7263B" w:rsidRDefault="0095515C" w:rsidP="006E6935">
            <w:pPr>
              <w:pStyle w:val="NormalWeb"/>
              <w:spacing w:before="2" w:after="2"/>
              <w:rPr>
                <w:rFonts w:ascii="Times New Roman" w:hAnsi="Times New Roman"/>
                <w:lang w:val="en-GB"/>
              </w:rPr>
            </w:pPr>
          </w:p>
          <w:p w:rsidR="0095515C" w:rsidRPr="00F7263B" w:rsidRDefault="0095515C" w:rsidP="006E6935">
            <w:pPr>
              <w:pStyle w:val="NormalWeb"/>
              <w:spacing w:before="2" w:after="2"/>
              <w:rPr>
                <w:rFonts w:ascii="Times New Roman" w:hAnsi="Times New Roman"/>
                <w:lang w:val="en-GB"/>
              </w:rPr>
            </w:pPr>
            <w:r w:rsidRPr="00F7263B">
              <w:rPr>
                <w:rFonts w:ascii="Times New Roman" w:hAnsi="Times New Roman"/>
                <w:lang w:val="en-GB"/>
              </w:rPr>
              <w:t xml:space="preserve">APA determines whether all minimum conditions have been met. </w:t>
            </w:r>
          </w:p>
          <w:p w:rsidR="0095515C" w:rsidRPr="00F7263B" w:rsidRDefault="0095515C" w:rsidP="006E6935">
            <w:pPr>
              <w:pStyle w:val="NormalWeb"/>
              <w:spacing w:before="2" w:after="2"/>
              <w:rPr>
                <w:rFonts w:ascii="Times New Roman" w:hAnsi="Times New Roman"/>
                <w:lang w:val="en-GB"/>
              </w:rPr>
            </w:pPr>
          </w:p>
          <w:p w:rsidR="0095515C" w:rsidRPr="00F7263B" w:rsidRDefault="0095515C" w:rsidP="006E6935">
            <w:pPr>
              <w:pStyle w:val="NormalWeb"/>
              <w:spacing w:before="2" w:after="2"/>
              <w:rPr>
                <w:rFonts w:ascii="Times New Roman" w:hAnsi="Times New Roman"/>
                <w:lang w:val="en-GB"/>
              </w:rPr>
            </w:pPr>
            <w:r w:rsidRPr="00F7263B">
              <w:rPr>
                <w:rFonts w:ascii="Times New Roman" w:hAnsi="Times New Roman"/>
                <w:lang w:val="en-GB"/>
              </w:rPr>
              <w:t xml:space="preserve">The APA firm calculates the allocation to each ULG as per the formula in the Bank </w:t>
            </w:r>
            <w:r w:rsidRPr="00F7263B">
              <w:rPr>
                <w:rFonts w:ascii="Times New Roman" w:hAnsi="Times New Roman"/>
                <w:lang w:val="en-GB"/>
              </w:rPr>
              <w:lastRenderedPageBreak/>
              <w:t xml:space="preserve">Disbursement Table, and provides the aggregate disbursement amount (along with the full </w:t>
            </w:r>
            <w:r w:rsidR="00B233B7" w:rsidRPr="00F7263B">
              <w:rPr>
                <w:rFonts w:ascii="Times New Roman" w:hAnsi="Times New Roman"/>
                <w:lang w:val="en-GB"/>
              </w:rPr>
              <w:t>APA</w:t>
            </w:r>
            <w:r w:rsidRPr="00F7263B">
              <w:rPr>
                <w:rFonts w:ascii="Times New Roman" w:hAnsi="Times New Roman"/>
                <w:lang w:val="en-GB"/>
              </w:rPr>
              <w:t xml:space="preserve">) simultaneously to </w:t>
            </w:r>
            <w:r w:rsidR="00830508" w:rsidRPr="00F7263B">
              <w:rPr>
                <w:rFonts w:ascii="Times New Roman" w:hAnsi="Times New Roman"/>
                <w:lang w:val="en-GB"/>
              </w:rPr>
              <w:t>government</w:t>
            </w:r>
            <w:r w:rsidRPr="00F7263B">
              <w:rPr>
                <w:rFonts w:ascii="Times New Roman" w:hAnsi="Times New Roman"/>
                <w:lang w:val="en-GB"/>
              </w:rPr>
              <w:t xml:space="preserve"> and the Bank for review. </w:t>
            </w:r>
          </w:p>
          <w:p w:rsidR="0095515C" w:rsidRPr="00F7263B" w:rsidRDefault="0095515C" w:rsidP="006E6935">
            <w:pPr>
              <w:pStyle w:val="NormalWeb"/>
              <w:spacing w:before="2" w:after="2"/>
              <w:rPr>
                <w:rFonts w:ascii="Times New Roman" w:eastAsiaTheme="majorEastAsia" w:hAnsi="Times New Roman"/>
                <w:b/>
                <w:bCs/>
                <w:i/>
                <w:iCs/>
                <w:color w:val="4F81BD" w:themeColor="accent1"/>
                <w:lang w:val="en-GB"/>
              </w:rPr>
            </w:pPr>
          </w:p>
          <w:p w:rsidR="0095515C" w:rsidRPr="00F7263B" w:rsidRDefault="0095515C" w:rsidP="006E6935">
            <w:pPr>
              <w:rPr>
                <w:rFonts w:cs="Times New Roman"/>
                <w:sz w:val="20"/>
                <w:szCs w:val="20"/>
                <w:lang w:eastAsia="da-DK"/>
              </w:rPr>
            </w:pPr>
            <w:r w:rsidRPr="00F7263B">
              <w:rPr>
                <w:rFonts w:cs="Times New Roman"/>
                <w:sz w:val="20"/>
                <w:szCs w:val="20"/>
              </w:rPr>
              <w:t xml:space="preserve">As part of implementation support, Bank will review the assessment results. </w:t>
            </w:r>
            <w:r w:rsidRPr="00F7263B">
              <w:rPr>
                <w:rFonts w:cs="Times New Roman"/>
                <w:sz w:val="20"/>
                <w:szCs w:val="20"/>
                <w:lang w:eastAsia="da-DK"/>
              </w:rPr>
              <w:t xml:space="preserve">The Bank retains the right to make the final decision whether a DLI has been achieved or not. </w:t>
            </w:r>
          </w:p>
          <w:p w:rsidR="0095515C" w:rsidRPr="00F7263B" w:rsidRDefault="0095515C" w:rsidP="006E6935">
            <w:pPr>
              <w:pStyle w:val="NormalWeb"/>
              <w:spacing w:before="2" w:after="2"/>
              <w:rPr>
                <w:rFonts w:ascii="Times New Roman" w:hAnsi="Times New Roman"/>
              </w:rPr>
            </w:pP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lastRenderedPageBreak/>
              <w:t>2</w:t>
            </w:r>
          </w:p>
        </w:tc>
        <w:tc>
          <w:tcPr>
            <w:tcW w:w="516" w:type="pct"/>
          </w:tcPr>
          <w:p w:rsidR="0095515C" w:rsidRPr="00F7263B" w:rsidRDefault="0095515C" w:rsidP="006E6935">
            <w:pPr>
              <w:rPr>
                <w:rFonts w:cs="Times New Roman"/>
                <w:sz w:val="20"/>
                <w:szCs w:val="20"/>
              </w:rPr>
            </w:pPr>
            <w:r w:rsidRPr="00F7263B">
              <w:rPr>
                <w:rFonts w:cs="Times New Roman"/>
                <w:sz w:val="20"/>
                <w:szCs w:val="20"/>
              </w:rPr>
              <w:t xml:space="preserve">ULGs have strengthened institutional performance  as scored in the </w:t>
            </w:r>
            <w:r w:rsidR="00E65284" w:rsidRPr="00F7263B">
              <w:rPr>
                <w:rFonts w:cs="Times New Roman"/>
                <w:sz w:val="20"/>
                <w:szCs w:val="20"/>
              </w:rPr>
              <w:t>APA</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p>
        </w:tc>
        <w:tc>
          <w:tcPr>
            <w:tcW w:w="888" w:type="pct"/>
          </w:tcPr>
          <w:p w:rsidR="0095515C" w:rsidRPr="00F7263B" w:rsidRDefault="0095515C" w:rsidP="005365CA">
            <w:pPr>
              <w:rPr>
                <w:rFonts w:cs="Times New Roman"/>
                <w:sz w:val="20"/>
                <w:szCs w:val="20"/>
              </w:rPr>
            </w:pPr>
            <w:r w:rsidRPr="00F7263B">
              <w:rPr>
                <w:rFonts w:cs="Times New Roman"/>
                <w:sz w:val="20"/>
                <w:szCs w:val="20"/>
              </w:rPr>
              <w:t xml:space="preserve">The indicator will be satisfied when the </w:t>
            </w:r>
            <w:r w:rsidR="00E65284" w:rsidRPr="00F7263B">
              <w:rPr>
                <w:rFonts w:cs="Times New Roman"/>
                <w:sz w:val="20"/>
                <w:szCs w:val="20"/>
              </w:rPr>
              <w:t>APA</w:t>
            </w:r>
            <w:r w:rsidRPr="00F7263B">
              <w:rPr>
                <w:rFonts w:cs="Times New Roman"/>
                <w:sz w:val="20"/>
                <w:szCs w:val="20"/>
              </w:rPr>
              <w:t xml:space="preserve"> has been completed (based on the minimum conditions and performance indicators) and the allocation based on the score of all ULGs has been determined.</w:t>
            </w:r>
          </w:p>
        </w:tc>
        <w:tc>
          <w:tcPr>
            <w:tcW w:w="375" w:type="pct"/>
          </w:tcPr>
          <w:p w:rsidR="0095515C" w:rsidRPr="00F7263B" w:rsidRDefault="0095515C" w:rsidP="006E6935">
            <w:pPr>
              <w:rPr>
                <w:rFonts w:cs="Times New Roman"/>
                <w:sz w:val="20"/>
                <w:szCs w:val="20"/>
              </w:rPr>
            </w:pPr>
            <w:r w:rsidRPr="00F7263B">
              <w:rPr>
                <w:rFonts w:cs="Times New Roman"/>
                <w:sz w:val="20"/>
                <w:szCs w:val="20"/>
              </w:rPr>
              <w:t>Yes</w:t>
            </w:r>
          </w:p>
        </w:tc>
        <w:tc>
          <w:tcPr>
            <w:tcW w:w="650" w:type="pct"/>
          </w:tcPr>
          <w:p w:rsidR="0095515C" w:rsidRPr="00F7263B" w:rsidRDefault="0095515C" w:rsidP="005365CA">
            <w:pPr>
              <w:rPr>
                <w:rFonts w:cs="Times New Roman"/>
                <w:sz w:val="20"/>
                <w:szCs w:val="20"/>
              </w:rPr>
            </w:pPr>
            <w:r w:rsidRPr="00F7263B">
              <w:rPr>
                <w:rFonts w:cs="Times New Roman"/>
                <w:sz w:val="20"/>
                <w:szCs w:val="20"/>
              </w:rPr>
              <w:t xml:space="preserve">ULG progress against Program performance measures assessed by independent </w:t>
            </w:r>
            <w:r w:rsidR="00E65284" w:rsidRPr="00F7263B">
              <w:rPr>
                <w:rFonts w:cs="Times New Roman"/>
                <w:sz w:val="20"/>
                <w:szCs w:val="20"/>
              </w:rPr>
              <w:t>APA</w:t>
            </w:r>
            <w:r w:rsidRPr="00F7263B">
              <w:rPr>
                <w:rFonts w:cs="Times New Roman"/>
                <w:sz w:val="20"/>
                <w:szCs w:val="20"/>
              </w:rPr>
              <w:t xml:space="preserve">. </w:t>
            </w:r>
          </w:p>
        </w:tc>
        <w:tc>
          <w:tcPr>
            <w:tcW w:w="935" w:type="pct"/>
          </w:tcPr>
          <w:p w:rsidR="0095515C" w:rsidRPr="00F7263B" w:rsidRDefault="0095515C" w:rsidP="006E6935">
            <w:pPr>
              <w:rPr>
                <w:rFonts w:cs="Times New Roman"/>
                <w:sz w:val="20"/>
                <w:szCs w:val="20"/>
              </w:rPr>
            </w:pPr>
            <w:r w:rsidRPr="00F7263B">
              <w:rPr>
                <w:rFonts w:cs="Times New Roman"/>
                <w:sz w:val="20"/>
                <w:szCs w:val="20"/>
              </w:rPr>
              <w:t xml:space="preserve">Same as above (DLI 1) </w:t>
            </w:r>
          </w:p>
        </w:tc>
        <w:tc>
          <w:tcPr>
            <w:tcW w:w="1531" w:type="pct"/>
          </w:tcPr>
          <w:p w:rsidR="0095515C" w:rsidRPr="00F7263B" w:rsidRDefault="0095515C" w:rsidP="006E6935">
            <w:pPr>
              <w:pStyle w:val="NormalWeb"/>
              <w:spacing w:before="2" w:after="2"/>
              <w:rPr>
                <w:rFonts w:ascii="Times New Roman" w:hAnsi="Times New Roman"/>
              </w:rPr>
            </w:pPr>
            <w:r w:rsidRPr="00F7263B">
              <w:rPr>
                <w:rFonts w:ascii="Times New Roman" w:hAnsi="Times New Roman"/>
              </w:rPr>
              <w:t xml:space="preserve">Same as in DLI 1, </w:t>
            </w:r>
            <w:r w:rsidR="00830508" w:rsidRPr="00F7263B">
              <w:rPr>
                <w:rFonts w:ascii="Times New Roman" w:hAnsi="Times New Roman"/>
                <w:lang w:val="en-GB"/>
              </w:rPr>
              <w:t>MUDHCo</w:t>
            </w:r>
            <w:r w:rsidRPr="00F7263B">
              <w:rPr>
                <w:rFonts w:ascii="Times New Roman" w:hAnsi="Times New Roman"/>
                <w:lang w:val="en-GB"/>
              </w:rPr>
              <w:t xml:space="preserve"> hires a private sector firm to carry out the independent </w:t>
            </w:r>
            <w:r w:rsidR="00E65284" w:rsidRPr="00F7263B">
              <w:rPr>
                <w:rFonts w:ascii="Times New Roman" w:hAnsi="Times New Roman"/>
                <w:lang w:val="en-GB"/>
              </w:rPr>
              <w:t xml:space="preserve">APA. </w:t>
            </w:r>
            <w:r w:rsidRPr="00F7263B">
              <w:rPr>
                <w:rFonts w:ascii="Times New Roman" w:hAnsi="Times New Roman"/>
                <w:lang w:val="en-GB"/>
              </w:rPr>
              <w:t xml:space="preserve"> APA assigns a score to each ULG. The firm will calculate the allocation to each ULG as per the formula in the Bank Disbursement Table, and provide the aggregate disbursement amount simultaneously to </w:t>
            </w:r>
            <w:r w:rsidR="00830508" w:rsidRPr="00F7263B">
              <w:rPr>
                <w:rFonts w:ascii="Times New Roman" w:hAnsi="Times New Roman"/>
                <w:lang w:val="en-GB"/>
              </w:rPr>
              <w:t>the government</w:t>
            </w:r>
            <w:r w:rsidRPr="00F7263B">
              <w:rPr>
                <w:rFonts w:ascii="Times New Roman" w:hAnsi="Times New Roman"/>
                <w:lang w:val="en-GB"/>
              </w:rPr>
              <w:t xml:space="preserve"> and the Bank for review. </w:t>
            </w:r>
          </w:p>
          <w:p w:rsidR="0095515C" w:rsidRPr="00F7263B" w:rsidRDefault="0095515C" w:rsidP="006E6935">
            <w:pPr>
              <w:pStyle w:val="NormalWeb"/>
              <w:spacing w:before="2" w:after="2"/>
              <w:rPr>
                <w:rFonts w:ascii="Times New Roman" w:hAnsi="Times New Roman"/>
                <w:lang w:val="en-GB"/>
              </w:rPr>
            </w:pPr>
          </w:p>
          <w:p w:rsidR="0095515C" w:rsidRPr="00F7263B" w:rsidRDefault="0095515C" w:rsidP="006E6935">
            <w:pPr>
              <w:pStyle w:val="NormalWeb"/>
              <w:spacing w:before="2" w:after="2"/>
              <w:rPr>
                <w:rFonts w:ascii="Times New Roman" w:hAnsi="Times New Roman"/>
                <w:lang w:val="en-GB"/>
              </w:rPr>
            </w:pPr>
            <w:r w:rsidRPr="00F7263B">
              <w:rPr>
                <w:rFonts w:ascii="Times New Roman" w:hAnsi="Times New Roman"/>
                <w:lang w:val="en-GB"/>
              </w:rPr>
              <w:t>As part of implementation support, Bank will review the assessment results. The Bank retains the right to make the final decision whether a DLI has been achieved or not.</w:t>
            </w:r>
          </w:p>
          <w:p w:rsidR="0095515C" w:rsidRPr="00F7263B" w:rsidRDefault="0095515C" w:rsidP="006E6935">
            <w:pPr>
              <w:rPr>
                <w:rFonts w:cs="Times New Roman"/>
                <w:sz w:val="20"/>
                <w:szCs w:val="20"/>
              </w:rPr>
            </w:pP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t>3</w:t>
            </w:r>
          </w:p>
        </w:tc>
        <w:tc>
          <w:tcPr>
            <w:tcW w:w="516" w:type="pct"/>
          </w:tcPr>
          <w:p w:rsidR="0095515C" w:rsidRPr="00F7263B" w:rsidRDefault="0095515C" w:rsidP="006E6935">
            <w:pPr>
              <w:rPr>
                <w:rFonts w:cs="Times New Roman"/>
                <w:sz w:val="20"/>
                <w:szCs w:val="20"/>
              </w:rPr>
            </w:pPr>
            <w:r w:rsidRPr="00F7263B">
              <w:rPr>
                <w:rFonts w:cs="Times New Roman"/>
                <w:sz w:val="20"/>
                <w:szCs w:val="20"/>
              </w:rPr>
              <w:t xml:space="preserve">ULGs have delivered infrastructure, maintenance and supported job creation as per their annual action plans and the capital investment plans, as scored in the </w:t>
            </w:r>
            <w:r w:rsidR="00255E19" w:rsidRPr="00F7263B">
              <w:rPr>
                <w:rFonts w:cs="Times New Roman"/>
                <w:sz w:val="20"/>
                <w:szCs w:val="20"/>
              </w:rPr>
              <w:lastRenderedPageBreak/>
              <w:t>APA</w:t>
            </w:r>
            <w:r w:rsidRPr="00F7263B">
              <w:rPr>
                <w:rFonts w:cs="Times New Roman"/>
                <w:sz w:val="20"/>
                <w:szCs w:val="20"/>
              </w:rPr>
              <w:t xml:space="preserve">, and ensured value for money </w:t>
            </w:r>
          </w:p>
          <w:p w:rsidR="0095515C" w:rsidRPr="00F7263B" w:rsidRDefault="0095515C" w:rsidP="006E6935">
            <w:pPr>
              <w:rPr>
                <w:rFonts w:cs="Times New Roman"/>
                <w:sz w:val="20"/>
                <w:szCs w:val="20"/>
              </w:rPr>
            </w:pPr>
          </w:p>
        </w:tc>
        <w:tc>
          <w:tcPr>
            <w:tcW w:w="888" w:type="pct"/>
          </w:tcPr>
          <w:p w:rsidR="0095515C" w:rsidRPr="00F7263B" w:rsidRDefault="0095515C" w:rsidP="005365CA">
            <w:pPr>
              <w:rPr>
                <w:rFonts w:cs="Times New Roman"/>
                <w:sz w:val="20"/>
                <w:szCs w:val="20"/>
              </w:rPr>
            </w:pPr>
            <w:r w:rsidRPr="00F7263B">
              <w:rPr>
                <w:rFonts w:cs="Times New Roman"/>
                <w:sz w:val="20"/>
                <w:szCs w:val="20"/>
              </w:rPr>
              <w:lastRenderedPageBreak/>
              <w:t>Achievement under this indicator for the first two Program years will be measured on the basis of actual delivery of infrastructure against targets laid out in the plan for the former year using Program funds</w:t>
            </w:r>
            <w:r w:rsidR="00625491" w:rsidRPr="00F7263B">
              <w:rPr>
                <w:rFonts w:cs="Times New Roman"/>
                <w:sz w:val="20"/>
                <w:szCs w:val="20"/>
              </w:rPr>
              <w:t>, maintenance performance</w:t>
            </w:r>
            <w:r w:rsidR="00255E19" w:rsidRPr="00F7263B">
              <w:rPr>
                <w:rFonts w:cs="Times New Roman"/>
                <w:sz w:val="20"/>
                <w:szCs w:val="20"/>
              </w:rPr>
              <w:t>,</w:t>
            </w:r>
            <w:r w:rsidR="00625491" w:rsidRPr="00F7263B">
              <w:rPr>
                <w:rFonts w:cs="Times New Roman"/>
                <w:sz w:val="20"/>
                <w:szCs w:val="20"/>
              </w:rPr>
              <w:t xml:space="preserve"> and performance in job-creation</w:t>
            </w:r>
            <w:r w:rsidRPr="00F7263B">
              <w:rPr>
                <w:rFonts w:cs="Times New Roman"/>
                <w:sz w:val="20"/>
                <w:szCs w:val="20"/>
              </w:rPr>
              <w:t xml:space="preserve">. Starting in Program year </w:t>
            </w:r>
            <w:r w:rsidR="00255E19" w:rsidRPr="00F7263B">
              <w:rPr>
                <w:rFonts w:cs="Times New Roman"/>
                <w:sz w:val="20"/>
                <w:szCs w:val="20"/>
              </w:rPr>
              <w:t>3,</w:t>
            </w:r>
            <w:r w:rsidRPr="00F7263B">
              <w:rPr>
                <w:rFonts w:cs="Times New Roman"/>
                <w:sz w:val="20"/>
                <w:szCs w:val="20"/>
              </w:rPr>
              <w:t xml:space="preserve">the </w:t>
            </w:r>
            <w:r w:rsidRPr="00F7263B">
              <w:rPr>
                <w:rFonts w:cs="Times New Roman"/>
                <w:sz w:val="20"/>
                <w:szCs w:val="20"/>
              </w:rPr>
              <w:lastRenderedPageBreak/>
              <w:t>achievement of the DLI will also include the outcome of the value for money audits.</w:t>
            </w:r>
          </w:p>
        </w:tc>
        <w:tc>
          <w:tcPr>
            <w:tcW w:w="375" w:type="pct"/>
          </w:tcPr>
          <w:p w:rsidR="0095515C" w:rsidRPr="00F7263B" w:rsidRDefault="0095515C" w:rsidP="006E6935">
            <w:pPr>
              <w:rPr>
                <w:rFonts w:cs="Times New Roman"/>
                <w:sz w:val="20"/>
                <w:szCs w:val="20"/>
              </w:rPr>
            </w:pPr>
            <w:r w:rsidRPr="00F7263B">
              <w:rPr>
                <w:rFonts w:cs="Times New Roman"/>
                <w:sz w:val="20"/>
                <w:szCs w:val="20"/>
              </w:rPr>
              <w:lastRenderedPageBreak/>
              <w:t>Yes</w:t>
            </w:r>
          </w:p>
        </w:tc>
        <w:tc>
          <w:tcPr>
            <w:tcW w:w="650" w:type="pct"/>
          </w:tcPr>
          <w:p w:rsidR="0095515C" w:rsidRPr="00F7263B" w:rsidRDefault="0095515C" w:rsidP="005365CA">
            <w:pPr>
              <w:rPr>
                <w:rFonts w:cs="Times New Roman"/>
                <w:sz w:val="20"/>
                <w:szCs w:val="20"/>
              </w:rPr>
            </w:pPr>
            <w:r w:rsidRPr="00F7263B">
              <w:rPr>
                <w:rFonts w:cs="Times New Roman"/>
                <w:sz w:val="20"/>
                <w:szCs w:val="20"/>
              </w:rPr>
              <w:t xml:space="preserve">ULG progress against Program performance measures assessed by independent </w:t>
            </w:r>
            <w:r w:rsidR="00255E19" w:rsidRPr="00F7263B">
              <w:rPr>
                <w:rFonts w:cs="Times New Roman"/>
                <w:sz w:val="20"/>
                <w:szCs w:val="20"/>
              </w:rPr>
              <w:t>APA</w:t>
            </w:r>
            <w:r w:rsidRPr="00F7263B">
              <w:rPr>
                <w:rFonts w:cs="Times New Roman"/>
                <w:sz w:val="20"/>
                <w:szCs w:val="20"/>
              </w:rPr>
              <w:t xml:space="preserve"> and performance as assessed by the independent value for money audits (which will start in year 3 of the Program)</w:t>
            </w:r>
          </w:p>
        </w:tc>
        <w:tc>
          <w:tcPr>
            <w:tcW w:w="935" w:type="pct"/>
          </w:tcPr>
          <w:p w:rsidR="0095515C" w:rsidRPr="00F7263B" w:rsidRDefault="0095515C" w:rsidP="006E6935">
            <w:pPr>
              <w:rPr>
                <w:rFonts w:cs="Times New Roman"/>
                <w:sz w:val="20"/>
                <w:szCs w:val="20"/>
              </w:rPr>
            </w:pPr>
            <w:r w:rsidRPr="00F7263B">
              <w:rPr>
                <w:rFonts w:cs="Times New Roman"/>
                <w:sz w:val="20"/>
                <w:szCs w:val="20"/>
              </w:rPr>
              <w:t xml:space="preserve">For Program years 1 and 2, same as above (DLIs 1 and 2). </w:t>
            </w:r>
          </w:p>
          <w:p w:rsidR="0095515C" w:rsidRPr="00F7263B" w:rsidRDefault="0095515C" w:rsidP="006E6935">
            <w:pPr>
              <w:rPr>
                <w:rFonts w:cs="Times New Roman"/>
                <w:sz w:val="20"/>
                <w:szCs w:val="20"/>
              </w:rPr>
            </w:pPr>
          </w:p>
          <w:p w:rsidR="0095515C" w:rsidRPr="00F7263B" w:rsidRDefault="0095515C" w:rsidP="005365CA">
            <w:pPr>
              <w:rPr>
                <w:rFonts w:cs="Times New Roman"/>
                <w:sz w:val="20"/>
                <w:szCs w:val="20"/>
              </w:rPr>
            </w:pPr>
            <w:r w:rsidRPr="00F7263B">
              <w:rPr>
                <w:rFonts w:cs="Times New Roman"/>
                <w:sz w:val="20"/>
                <w:szCs w:val="20"/>
              </w:rPr>
              <w:t xml:space="preserve">Starting in Program year 3, in addition to the above, a private firm, will verify the value for money aspects. The </w:t>
            </w:r>
            <w:r w:rsidR="00255E19" w:rsidRPr="00F7263B">
              <w:rPr>
                <w:rFonts w:cs="Times New Roman"/>
                <w:sz w:val="20"/>
                <w:szCs w:val="20"/>
              </w:rPr>
              <w:t>APA</w:t>
            </w:r>
            <w:r w:rsidRPr="00F7263B">
              <w:rPr>
                <w:rFonts w:cs="Times New Roman"/>
                <w:sz w:val="20"/>
                <w:szCs w:val="20"/>
              </w:rPr>
              <w:t xml:space="preserve"> will include the findings on the value for money audits</w:t>
            </w:r>
            <w:r w:rsidR="00255E19" w:rsidRPr="00F7263B">
              <w:rPr>
                <w:rFonts w:cs="Times New Roman"/>
                <w:sz w:val="20"/>
                <w:szCs w:val="20"/>
              </w:rPr>
              <w:t xml:space="preserve">.  </w:t>
            </w:r>
          </w:p>
        </w:tc>
        <w:tc>
          <w:tcPr>
            <w:tcW w:w="1531" w:type="pct"/>
          </w:tcPr>
          <w:p w:rsidR="0095515C" w:rsidRPr="00F7263B" w:rsidRDefault="0095515C" w:rsidP="006E6935">
            <w:pPr>
              <w:rPr>
                <w:rFonts w:cs="Times New Roman"/>
                <w:sz w:val="20"/>
                <w:szCs w:val="20"/>
              </w:rPr>
            </w:pPr>
            <w:r w:rsidRPr="00F7263B">
              <w:rPr>
                <w:rFonts w:cs="Times New Roman"/>
                <w:sz w:val="20"/>
                <w:szCs w:val="20"/>
              </w:rPr>
              <w:t xml:space="preserve">Similar to DLIs 1 and 2 above, in Program years 1 and 2, this DLI will also be measured through the </w:t>
            </w:r>
            <w:r w:rsidR="00255E19" w:rsidRPr="00F7263B">
              <w:rPr>
                <w:rFonts w:cs="Times New Roman"/>
                <w:sz w:val="20"/>
                <w:szCs w:val="20"/>
              </w:rPr>
              <w:t>APA</w:t>
            </w:r>
            <w:r w:rsidRPr="00F7263B">
              <w:rPr>
                <w:rFonts w:cs="Times New Roman"/>
                <w:sz w:val="20"/>
                <w:szCs w:val="20"/>
              </w:rPr>
              <w:t xml:space="preserve"> and therefore the same process will apply. For these two years, as in DLIs 1 and 2, MUDH</w:t>
            </w:r>
            <w:r w:rsidR="00830508" w:rsidRPr="00F7263B">
              <w:rPr>
                <w:rFonts w:cs="Times New Roman"/>
                <w:sz w:val="20"/>
                <w:szCs w:val="20"/>
              </w:rPr>
              <w:t>Co</w:t>
            </w:r>
            <w:r w:rsidRPr="00F7263B">
              <w:rPr>
                <w:rFonts w:cs="Times New Roman"/>
                <w:sz w:val="20"/>
                <w:szCs w:val="20"/>
              </w:rPr>
              <w:t xml:space="preserve"> hires a private firm to carry out the independent </w:t>
            </w:r>
            <w:r w:rsidR="00255E19" w:rsidRPr="00F7263B">
              <w:rPr>
                <w:rFonts w:cs="Times New Roman"/>
                <w:sz w:val="20"/>
                <w:szCs w:val="20"/>
              </w:rPr>
              <w:t xml:space="preserve">APA. </w:t>
            </w:r>
            <w:r w:rsidRPr="00F7263B">
              <w:rPr>
                <w:rFonts w:cs="Times New Roman"/>
                <w:sz w:val="20"/>
                <w:szCs w:val="20"/>
              </w:rPr>
              <w:t xml:space="preserve"> APA assigns a score to each ULG. The firm will calculate the allocation to each ULG as per the formula in the Bank Disbursement Table, and provide the aggregate disbursement amount simultaneously to </w:t>
            </w:r>
            <w:r w:rsidR="00830508" w:rsidRPr="00F7263B">
              <w:rPr>
                <w:rFonts w:cs="Times New Roman"/>
                <w:sz w:val="20"/>
                <w:szCs w:val="20"/>
              </w:rPr>
              <w:t>government</w:t>
            </w:r>
            <w:r w:rsidRPr="00F7263B">
              <w:rPr>
                <w:rFonts w:cs="Times New Roman"/>
                <w:sz w:val="20"/>
                <w:szCs w:val="20"/>
              </w:rPr>
              <w:t xml:space="preserve"> and the Bank for review. As part of implementation support, Bank will review the assessment results. The Bank retains </w:t>
            </w:r>
            <w:r w:rsidRPr="00F7263B">
              <w:rPr>
                <w:rFonts w:cs="Times New Roman"/>
                <w:sz w:val="20"/>
                <w:szCs w:val="20"/>
              </w:rPr>
              <w:lastRenderedPageBreak/>
              <w:t>the right to make the final decision whether a DLI has been achieved or not.</w:t>
            </w:r>
          </w:p>
          <w:p w:rsidR="0095515C" w:rsidRPr="00F7263B" w:rsidRDefault="0095515C" w:rsidP="006E6935">
            <w:pPr>
              <w:rPr>
                <w:rFonts w:cs="Times New Roman"/>
                <w:sz w:val="20"/>
                <w:szCs w:val="20"/>
              </w:rPr>
            </w:pPr>
          </w:p>
          <w:p w:rsidR="0095515C" w:rsidRPr="00F7263B" w:rsidRDefault="0095515C" w:rsidP="005365CA">
            <w:pPr>
              <w:rPr>
                <w:rFonts w:cs="Times New Roman"/>
                <w:sz w:val="20"/>
                <w:szCs w:val="20"/>
              </w:rPr>
            </w:pPr>
            <w:r w:rsidRPr="00F7263B">
              <w:rPr>
                <w:rFonts w:cs="Times New Roman"/>
                <w:sz w:val="20"/>
                <w:szCs w:val="20"/>
              </w:rPr>
              <w:t>Starting in Program year 3, in addition to the above, MUDH</w:t>
            </w:r>
            <w:r w:rsidR="00830508" w:rsidRPr="00F7263B">
              <w:rPr>
                <w:rFonts w:cs="Times New Roman"/>
                <w:sz w:val="20"/>
                <w:szCs w:val="20"/>
              </w:rPr>
              <w:t>Co</w:t>
            </w:r>
            <w:r w:rsidRPr="00F7263B">
              <w:rPr>
                <w:rFonts w:cs="Times New Roman"/>
                <w:sz w:val="20"/>
                <w:szCs w:val="20"/>
              </w:rPr>
              <w:t xml:space="preserve"> hires a private firm to carry out the value for money audits</w:t>
            </w:r>
            <w:r w:rsidR="00255E19" w:rsidRPr="00F7263B">
              <w:rPr>
                <w:rFonts w:cs="Times New Roman"/>
                <w:sz w:val="20"/>
                <w:szCs w:val="20"/>
              </w:rPr>
              <w:t xml:space="preserve"> (under terms of reference acceptable to the Bank).  Its</w:t>
            </w:r>
            <w:r w:rsidRPr="00F7263B">
              <w:rPr>
                <w:rFonts w:cs="Times New Roman"/>
                <w:sz w:val="20"/>
                <w:szCs w:val="20"/>
              </w:rPr>
              <w:t>result</w:t>
            </w:r>
            <w:r w:rsidR="00255E19" w:rsidRPr="00F7263B">
              <w:rPr>
                <w:rFonts w:cs="Times New Roman"/>
                <w:sz w:val="20"/>
                <w:szCs w:val="20"/>
              </w:rPr>
              <w:t>s</w:t>
            </w:r>
            <w:r w:rsidRPr="00F7263B">
              <w:rPr>
                <w:rFonts w:cs="Times New Roman"/>
                <w:sz w:val="20"/>
                <w:szCs w:val="20"/>
              </w:rPr>
              <w:t xml:space="preserve"> will be shared with the </w:t>
            </w:r>
            <w:r w:rsidR="00255E19" w:rsidRPr="00F7263B">
              <w:rPr>
                <w:rFonts w:cs="Times New Roman"/>
                <w:sz w:val="20"/>
                <w:szCs w:val="20"/>
              </w:rPr>
              <w:t xml:space="preserve">APA </w:t>
            </w:r>
            <w:r w:rsidRPr="00F7263B">
              <w:rPr>
                <w:rFonts w:cs="Times New Roman"/>
                <w:sz w:val="20"/>
                <w:szCs w:val="20"/>
              </w:rPr>
              <w:t>firm</w:t>
            </w:r>
            <w:r w:rsidR="00255E19" w:rsidRPr="00F7263B">
              <w:rPr>
                <w:rFonts w:cs="Times New Roman"/>
                <w:sz w:val="20"/>
                <w:szCs w:val="20"/>
              </w:rPr>
              <w:t xml:space="preserve">, and included in the overall results.  </w:t>
            </w:r>
            <w:r w:rsidRPr="00F7263B">
              <w:rPr>
                <w:rFonts w:cs="Times New Roman"/>
                <w:sz w:val="20"/>
                <w:szCs w:val="20"/>
              </w:rPr>
              <w:t xml:space="preserve">Then, as under DLIs 1 and 2, the firm will calculate the allocation to each ULG as per the formula in the Bank Disbursement Table, taking into account the findings of the value for money audits, and provide the aggregate disbursement amount simultaneously to </w:t>
            </w:r>
            <w:r w:rsidR="00830508" w:rsidRPr="00F7263B">
              <w:rPr>
                <w:rFonts w:cs="Times New Roman"/>
                <w:sz w:val="20"/>
                <w:szCs w:val="20"/>
              </w:rPr>
              <w:t>government</w:t>
            </w:r>
            <w:r w:rsidRPr="00F7263B">
              <w:rPr>
                <w:rFonts w:cs="Times New Roman"/>
                <w:sz w:val="20"/>
                <w:szCs w:val="20"/>
              </w:rPr>
              <w:t xml:space="preserve"> and the Bank for review. As part of implementation support, Bank will review the assessment results. The Bank retains the right to make the final decision whether a DLI has been achieved or not. </w:t>
            </w:r>
          </w:p>
        </w:tc>
      </w:tr>
      <w:tr w:rsidR="0095515C" w:rsidRPr="00F7263B" w:rsidTr="00254260">
        <w:tc>
          <w:tcPr>
            <w:tcW w:w="105" w:type="pct"/>
          </w:tcPr>
          <w:p w:rsidR="0095515C" w:rsidRPr="00F7263B" w:rsidRDefault="0095515C" w:rsidP="006E6935">
            <w:pPr>
              <w:rPr>
                <w:rFonts w:cs="Times New Roman"/>
                <w:sz w:val="20"/>
                <w:szCs w:val="20"/>
              </w:rPr>
            </w:pPr>
            <w:r w:rsidRPr="00F7263B">
              <w:rPr>
                <w:rFonts w:cs="Times New Roman"/>
                <w:sz w:val="20"/>
                <w:szCs w:val="20"/>
              </w:rPr>
              <w:lastRenderedPageBreak/>
              <w:t>4</w:t>
            </w:r>
          </w:p>
        </w:tc>
        <w:tc>
          <w:tcPr>
            <w:tcW w:w="516" w:type="pct"/>
          </w:tcPr>
          <w:p w:rsidR="0095515C" w:rsidRPr="00F7263B" w:rsidRDefault="0095515C" w:rsidP="006E6935">
            <w:pPr>
              <w:rPr>
                <w:rFonts w:cs="Times New Roman"/>
                <w:sz w:val="20"/>
                <w:szCs w:val="20"/>
              </w:rPr>
            </w:pPr>
            <w:r w:rsidRPr="00F7263B">
              <w:rPr>
                <w:rFonts w:cs="Times New Roman"/>
                <w:sz w:val="20"/>
                <w:szCs w:val="20"/>
              </w:rPr>
              <w:t xml:space="preserve">Regional government capacity building and support teams in place and support urban service delivery </w:t>
            </w:r>
          </w:p>
          <w:p w:rsidR="0095515C" w:rsidRPr="00F7263B" w:rsidRDefault="0095515C" w:rsidP="006E6935">
            <w:pPr>
              <w:rPr>
                <w:rFonts w:cs="Times New Roman"/>
                <w:sz w:val="20"/>
                <w:szCs w:val="20"/>
              </w:rPr>
            </w:pPr>
          </w:p>
        </w:tc>
        <w:tc>
          <w:tcPr>
            <w:tcW w:w="888" w:type="pct"/>
            <w:shd w:val="clear" w:color="auto" w:fill="auto"/>
          </w:tcPr>
          <w:p w:rsidR="0095515C" w:rsidRPr="00F7263B" w:rsidRDefault="0095515C" w:rsidP="005365CA">
            <w:pPr>
              <w:rPr>
                <w:rFonts w:cs="Times New Roman"/>
                <w:sz w:val="20"/>
                <w:szCs w:val="20"/>
              </w:rPr>
            </w:pPr>
            <w:r w:rsidRPr="00F7263B">
              <w:rPr>
                <w:rFonts w:cs="Times New Roman"/>
                <w:sz w:val="20"/>
                <w:szCs w:val="20"/>
              </w:rPr>
              <w:t xml:space="preserve">Achievement of the DLI will be determined on the basis of </w:t>
            </w:r>
            <w:r w:rsidR="00721CA7" w:rsidRPr="00F7263B">
              <w:rPr>
                <w:rFonts w:cs="Times New Roman"/>
                <w:sz w:val="20"/>
                <w:szCs w:val="20"/>
              </w:rPr>
              <w:t xml:space="preserve">(a) </w:t>
            </w:r>
            <w:r w:rsidRPr="00F7263B">
              <w:rPr>
                <w:rFonts w:cs="Times New Roman"/>
                <w:sz w:val="20"/>
                <w:szCs w:val="20"/>
              </w:rPr>
              <w:t>execution of regional government</w:t>
            </w:r>
            <w:r w:rsidR="00721CA7" w:rsidRPr="00F7263B">
              <w:rPr>
                <w:rFonts w:cs="Times New Roman"/>
                <w:sz w:val="20"/>
                <w:szCs w:val="20"/>
              </w:rPr>
              <w:t>s’</w:t>
            </w:r>
            <w:r w:rsidRPr="00F7263B">
              <w:rPr>
                <w:rFonts w:cs="Times New Roman"/>
                <w:sz w:val="20"/>
                <w:szCs w:val="20"/>
              </w:rPr>
              <w:t xml:space="preserve"> capacity building plan</w:t>
            </w:r>
            <w:r w:rsidR="00721CA7" w:rsidRPr="00F7263B">
              <w:rPr>
                <w:rFonts w:cs="Times New Roman"/>
                <w:sz w:val="20"/>
                <w:szCs w:val="20"/>
              </w:rPr>
              <w:t xml:space="preserve">s, and (b) that the </w:t>
            </w:r>
            <w:r w:rsidRPr="00F7263B">
              <w:rPr>
                <w:rFonts w:cs="Times New Roman"/>
                <w:sz w:val="20"/>
                <w:szCs w:val="20"/>
              </w:rPr>
              <w:t xml:space="preserve">four regional support teams </w:t>
            </w:r>
            <w:r w:rsidR="00137DF8" w:rsidRPr="00F7263B">
              <w:rPr>
                <w:rFonts w:cs="Times New Roman"/>
                <w:sz w:val="20"/>
                <w:szCs w:val="20"/>
              </w:rPr>
              <w:t xml:space="preserve">are in place, with the requisite </w:t>
            </w:r>
            <w:r w:rsidRPr="00F7263B">
              <w:rPr>
                <w:rFonts w:cs="Times New Roman"/>
                <w:sz w:val="20"/>
                <w:szCs w:val="20"/>
              </w:rPr>
              <w:t xml:space="preserve">10 staff in each team. </w:t>
            </w:r>
          </w:p>
          <w:p w:rsidR="0095515C" w:rsidRPr="00F7263B" w:rsidRDefault="0095515C" w:rsidP="006E6935">
            <w:pPr>
              <w:rPr>
                <w:rFonts w:cs="Times New Roman"/>
                <w:sz w:val="20"/>
                <w:szCs w:val="20"/>
              </w:rPr>
            </w:pPr>
          </w:p>
        </w:tc>
        <w:tc>
          <w:tcPr>
            <w:tcW w:w="375" w:type="pct"/>
            <w:shd w:val="clear" w:color="auto" w:fill="auto"/>
          </w:tcPr>
          <w:p w:rsidR="0095515C" w:rsidRPr="00F7263B" w:rsidRDefault="0095515C" w:rsidP="006E6935">
            <w:pPr>
              <w:rPr>
                <w:rFonts w:cs="Times New Roman"/>
                <w:sz w:val="20"/>
                <w:szCs w:val="20"/>
              </w:rPr>
            </w:pPr>
            <w:r w:rsidRPr="00F7263B">
              <w:rPr>
                <w:rFonts w:cs="Times New Roman"/>
                <w:sz w:val="20"/>
                <w:szCs w:val="20"/>
              </w:rPr>
              <w:t>Yes (alloca</w:t>
            </w:r>
            <w:r w:rsidR="00721CA7" w:rsidRPr="00F7263B">
              <w:rPr>
                <w:rFonts w:cs="Times New Roman"/>
                <w:sz w:val="20"/>
                <w:szCs w:val="20"/>
              </w:rPr>
              <w:t>-</w:t>
            </w:r>
            <w:r w:rsidRPr="00F7263B">
              <w:rPr>
                <w:rFonts w:cs="Times New Roman"/>
                <w:sz w:val="20"/>
                <w:szCs w:val="20"/>
              </w:rPr>
              <w:t>tion per region, which is cali</w:t>
            </w:r>
            <w:r w:rsidR="00721CA7" w:rsidRPr="00F7263B">
              <w:rPr>
                <w:rFonts w:cs="Times New Roman"/>
                <w:sz w:val="20"/>
                <w:szCs w:val="20"/>
              </w:rPr>
              <w:t>-</w:t>
            </w:r>
            <w:r w:rsidRPr="00F7263B">
              <w:rPr>
                <w:rFonts w:cs="Times New Roman"/>
                <w:sz w:val="20"/>
                <w:szCs w:val="20"/>
              </w:rPr>
              <w:t>brated)</w:t>
            </w:r>
          </w:p>
        </w:tc>
        <w:tc>
          <w:tcPr>
            <w:tcW w:w="650" w:type="pct"/>
          </w:tcPr>
          <w:p w:rsidR="0095515C" w:rsidRPr="00F7263B" w:rsidRDefault="0095515C" w:rsidP="005365CA">
            <w:pPr>
              <w:rPr>
                <w:rFonts w:cs="Times New Roman"/>
                <w:sz w:val="20"/>
                <w:szCs w:val="20"/>
              </w:rPr>
            </w:pPr>
            <w:r w:rsidRPr="00F7263B">
              <w:rPr>
                <w:rFonts w:cs="Times New Roman"/>
                <w:sz w:val="20"/>
                <w:szCs w:val="20"/>
              </w:rPr>
              <w:t xml:space="preserve">Regional government performance against capacity plan, assessed by independent </w:t>
            </w:r>
            <w:r w:rsidR="00721CA7" w:rsidRPr="00F7263B">
              <w:rPr>
                <w:rFonts w:cs="Times New Roman"/>
                <w:sz w:val="20"/>
                <w:szCs w:val="20"/>
              </w:rPr>
              <w:t>APA</w:t>
            </w:r>
            <w:r w:rsidRPr="00F7263B">
              <w:rPr>
                <w:rFonts w:cs="Times New Roman"/>
                <w:sz w:val="20"/>
                <w:szCs w:val="20"/>
              </w:rPr>
              <w:t>.</w:t>
            </w:r>
          </w:p>
        </w:tc>
        <w:tc>
          <w:tcPr>
            <w:tcW w:w="935" w:type="pct"/>
          </w:tcPr>
          <w:p w:rsidR="0095515C" w:rsidRPr="00F7263B" w:rsidRDefault="0095515C" w:rsidP="006E6935">
            <w:pPr>
              <w:rPr>
                <w:rFonts w:cs="Times New Roman"/>
                <w:sz w:val="20"/>
                <w:szCs w:val="20"/>
              </w:rPr>
            </w:pPr>
            <w:r w:rsidRPr="00F7263B">
              <w:rPr>
                <w:rFonts w:cs="Times New Roman"/>
                <w:sz w:val="20"/>
                <w:szCs w:val="20"/>
              </w:rPr>
              <w:t xml:space="preserve">Same as above (DLIs 1,2 and 3) </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p>
        </w:tc>
        <w:tc>
          <w:tcPr>
            <w:tcW w:w="1531" w:type="pct"/>
          </w:tcPr>
          <w:p w:rsidR="0095515C" w:rsidRPr="00F7263B" w:rsidRDefault="0095515C" w:rsidP="006E6935">
            <w:pPr>
              <w:rPr>
                <w:rFonts w:cs="Times New Roman"/>
                <w:sz w:val="20"/>
                <w:szCs w:val="20"/>
              </w:rPr>
            </w:pPr>
            <w:r w:rsidRPr="00F7263B">
              <w:rPr>
                <w:rFonts w:cs="Times New Roman"/>
                <w:sz w:val="20"/>
                <w:szCs w:val="20"/>
              </w:rPr>
              <w:t xml:space="preserve">In Program year 1, </w:t>
            </w:r>
            <w:r w:rsidR="00255E19" w:rsidRPr="00F7263B">
              <w:rPr>
                <w:rFonts w:cs="Times New Roman"/>
                <w:sz w:val="20"/>
                <w:szCs w:val="20"/>
              </w:rPr>
              <w:t>APA</w:t>
            </w:r>
            <w:r w:rsidRPr="00F7263B">
              <w:rPr>
                <w:rFonts w:cs="Times New Roman"/>
                <w:sz w:val="20"/>
                <w:szCs w:val="20"/>
              </w:rPr>
              <w:t xml:space="preserve"> will check that the capacity building plan and </w:t>
            </w:r>
            <w:r w:rsidR="00255E19" w:rsidRPr="00F7263B">
              <w:rPr>
                <w:rFonts w:cs="Times New Roman"/>
                <w:sz w:val="20"/>
                <w:szCs w:val="20"/>
              </w:rPr>
              <w:t>terms of reference</w:t>
            </w:r>
            <w:r w:rsidRPr="00F7263B">
              <w:rPr>
                <w:rFonts w:cs="Times New Roman"/>
                <w:sz w:val="20"/>
                <w:szCs w:val="20"/>
              </w:rPr>
              <w:t xml:space="preserve">for regional government teams are </w:t>
            </w:r>
            <w:r w:rsidR="00C92AA2" w:rsidRPr="00F7263B">
              <w:rPr>
                <w:rFonts w:cs="Times New Roman"/>
                <w:sz w:val="20"/>
                <w:szCs w:val="20"/>
              </w:rPr>
              <w:t xml:space="preserve">in </w:t>
            </w:r>
            <w:r w:rsidRPr="00F7263B">
              <w:rPr>
                <w:rFonts w:cs="Times New Roman"/>
                <w:sz w:val="20"/>
                <w:szCs w:val="20"/>
              </w:rPr>
              <w:t xml:space="preserve">place. </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r w:rsidRPr="00F7263B">
              <w:rPr>
                <w:rFonts w:cs="Times New Roman"/>
                <w:sz w:val="20"/>
                <w:szCs w:val="20"/>
              </w:rPr>
              <w:t>In Program’s second disbursement year (</w:t>
            </w:r>
            <w:r w:rsidR="005365CA" w:rsidRPr="00F7263B">
              <w:rPr>
                <w:rFonts w:cs="Times New Roman"/>
                <w:sz w:val="20"/>
                <w:szCs w:val="20"/>
              </w:rPr>
              <w:t>financial year</w:t>
            </w:r>
            <w:r w:rsidRPr="00F7263B">
              <w:rPr>
                <w:rFonts w:cs="Times New Roman"/>
                <w:sz w:val="20"/>
                <w:szCs w:val="20"/>
              </w:rPr>
              <w:t xml:space="preserve"> 2015/16), the annual performance assessment</w:t>
            </w:r>
            <w:r w:rsidR="00C92AA2" w:rsidRPr="00F7263B">
              <w:rPr>
                <w:rFonts w:cs="Times New Roman"/>
                <w:sz w:val="20"/>
                <w:szCs w:val="20"/>
              </w:rPr>
              <w:t>(</w:t>
            </w:r>
            <w:r w:rsidR="00183A63" w:rsidRPr="00F7263B">
              <w:rPr>
                <w:rFonts w:cs="Times New Roman"/>
                <w:sz w:val="20"/>
                <w:szCs w:val="20"/>
              </w:rPr>
              <w:t>conducted in 2014)</w:t>
            </w:r>
            <w:r w:rsidRPr="00F7263B">
              <w:rPr>
                <w:rFonts w:cs="Times New Roman"/>
                <w:sz w:val="20"/>
                <w:szCs w:val="20"/>
              </w:rPr>
              <w:t xml:space="preserve"> will verify that</w:t>
            </w:r>
          </w:p>
          <w:p w:rsidR="0095515C" w:rsidRPr="00F7263B" w:rsidRDefault="005365CA" w:rsidP="00B255F3">
            <w:pPr>
              <w:ind w:left="758" w:hanging="540"/>
              <w:rPr>
                <w:sz w:val="20"/>
                <w:szCs w:val="20"/>
              </w:rPr>
            </w:pPr>
            <w:r w:rsidRPr="00F7263B">
              <w:rPr>
                <w:rFonts w:cs="Times New Roman"/>
                <w:sz w:val="20"/>
                <w:szCs w:val="20"/>
              </w:rPr>
              <w:t xml:space="preserve">(a) </w:t>
            </w:r>
            <w:r w:rsidRPr="00F7263B">
              <w:rPr>
                <w:rFonts w:cs="Times New Roman"/>
                <w:sz w:val="20"/>
                <w:szCs w:val="20"/>
              </w:rPr>
              <w:tab/>
            </w:r>
            <w:r w:rsidR="0095515C" w:rsidRPr="00F7263B">
              <w:rPr>
                <w:rFonts w:cs="Times New Roman"/>
                <w:sz w:val="20"/>
                <w:szCs w:val="20"/>
              </w:rPr>
              <w:t>regional</w:t>
            </w:r>
            <w:r w:rsidR="0095515C" w:rsidRPr="00F7263B">
              <w:rPr>
                <w:sz w:val="20"/>
                <w:szCs w:val="20"/>
              </w:rPr>
              <w:t xml:space="preserve"> government teams are in place and are operating, and </w:t>
            </w:r>
          </w:p>
          <w:p w:rsidR="005365CA" w:rsidRPr="00F7263B" w:rsidRDefault="005365CA" w:rsidP="00B255F3">
            <w:pPr>
              <w:ind w:left="758" w:hanging="540"/>
              <w:rPr>
                <w:sz w:val="20"/>
                <w:szCs w:val="20"/>
              </w:rPr>
            </w:pPr>
            <w:r w:rsidRPr="00F7263B">
              <w:rPr>
                <w:sz w:val="20"/>
                <w:szCs w:val="20"/>
              </w:rPr>
              <w:t>(b)</w:t>
            </w:r>
            <w:r w:rsidRPr="00F7263B">
              <w:rPr>
                <w:sz w:val="20"/>
                <w:szCs w:val="20"/>
              </w:rPr>
              <w:tab/>
            </w:r>
            <w:r w:rsidRPr="00F7263B">
              <w:rPr>
                <w:rFonts w:cs="Times New Roman"/>
                <w:sz w:val="20"/>
                <w:szCs w:val="20"/>
              </w:rPr>
              <w:t>regional governments have adopted service delivery standards (as issued by MUDHCo*) and issued those for the cities, and provided guidance in implementation (reports).</w:t>
            </w:r>
          </w:p>
          <w:p w:rsidR="005365CA" w:rsidRPr="00F7263B" w:rsidRDefault="005365CA" w:rsidP="00B255F3">
            <w:pPr>
              <w:rPr>
                <w:rFonts w:cs="Times New Roman"/>
                <w:sz w:val="20"/>
                <w:szCs w:val="20"/>
              </w:rPr>
            </w:pPr>
          </w:p>
          <w:p w:rsidR="0095515C" w:rsidRPr="00F7263B" w:rsidRDefault="005365CA" w:rsidP="00B255F3">
            <w:pPr>
              <w:rPr>
                <w:rFonts w:cs="Times New Roman"/>
                <w:sz w:val="20"/>
                <w:szCs w:val="20"/>
              </w:rPr>
            </w:pPr>
            <w:r w:rsidRPr="00F7263B">
              <w:rPr>
                <w:rFonts w:cs="Times New Roman"/>
                <w:sz w:val="20"/>
                <w:szCs w:val="20"/>
              </w:rPr>
              <w:t>I</w:t>
            </w:r>
            <w:r w:rsidR="0095515C" w:rsidRPr="00F7263B">
              <w:rPr>
                <w:rFonts w:cs="Times New Roman"/>
                <w:sz w:val="20"/>
                <w:szCs w:val="20"/>
              </w:rPr>
              <w:t>n Program’s third disbursement (</w:t>
            </w:r>
            <w:r w:rsidRPr="00F7263B">
              <w:rPr>
                <w:rFonts w:cs="Times New Roman"/>
                <w:sz w:val="20"/>
                <w:szCs w:val="20"/>
              </w:rPr>
              <w:t>2016</w:t>
            </w:r>
            <w:r w:rsidR="0095515C" w:rsidRPr="00F7263B">
              <w:rPr>
                <w:rFonts w:cs="Times New Roman"/>
                <w:sz w:val="20"/>
                <w:szCs w:val="20"/>
              </w:rPr>
              <w:t>/17) onwards:  The annual performance assessment will verify that the</w:t>
            </w:r>
            <w:r w:rsidRPr="00F7263B">
              <w:rPr>
                <w:rFonts w:cs="Times New Roman"/>
                <w:sz w:val="20"/>
                <w:szCs w:val="20"/>
              </w:rPr>
              <w:t>:</w:t>
            </w:r>
          </w:p>
          <w:p w:rsidR="005365CA" w:rsidRPr="00F7263B" w:rsidRDefault="005365CA" w:rsidP="00B255F3">
            <w:pPr>
              <w:rPr>
                <w:rFonts w:cs="Times New Roman"/>
                <w:sz w:val="20"/>
                <w:szCs w:val="20"/>
              </w:rPr>
            </w:pPr>
          </w:p>
          <w:p w:rsidR="00183A63" w:rsidRPr="00F7263B" w:rsidRDefault="005365CA" w:rsidP="00B255F3">
            <w:pPr>
              <w:ind w:left="758" w:hanging="540"/>
              <w:rPr>
                <w:rFonts w:cs="Times New Roman"/>
                <w:sz w:val="20"/>
                <w:szCs w:val="20"/>
              </w:rPr>
            </w:pPr>
            <w:r w:rsidRPr="00F7263B">
              <w:rPr>
                <w:rFonts w:cs="Times New Roman"/>
                <w:sz w:val="20"/>
                <w:szCs w:val="20"/>
              </w:rPr>
              <w:t xml:space="preserve">(a) </w:t>
            </w:r>
            <w:r w:rsidRPr="00F7263B">
              <w:rPr>
                <w:rFonts w:cs="Times New Roman"/>
                <w:sz w:val="20"/>
                <w:szCs w:val="20"/>
              </w:rPr>
              <w:tab/>
              <w:t>R</w:t>
            </w:r>
            <w:r w:rsidR="00183A63" w:rsidRPr="00F7263B">
              <w:rPr>
                <w:rFonts w:cs="Times New Roman"/>
                <w:sz w:val="20"/>
                <w:szCs w:val="20"/>
              </w:rPr>
              <w:t xml:space="preserve">egional government has developed </w:t>
            </w:r>
            <w:r w:rsidRPr="00F7263B">
              <w:rPr>
                <w:rFonts w:cs="Times New Roman"/>
                <w:sz w:val="20"/>
                <w:szCs w:val="20"/>
              </w:rPr>
              <w:t xml:space="preserve">capacity </w:t>
            </w:r>
            <w:r w:rsidR="0065739F" w:rsidRPr="00F7263B">
              <w:rPr>
                <w:rFonts w:cs="Times New Roman"/>
                <w:sz w:val="20"/>
                <w:szCs w:val="20"/>
              </w:rPr>
              <w:t>building</w:t>
            </w:r>
            <w:r w:rsidR="00183A63" w:rsidRPr="00F7263B">
              <w:rPr>
                <w:rFonts w:cs="Times New Roman"/>
                <w:sz w:val="20"/>
                <w:szCs w:val="20"/>
              </w:rPr>
              <w:t xml:space="preserve"> plan for the ongoing </w:t>
            </w:r>
            <w:r w:rsidR="00AF73B3" w:rsidRPr="00F7263B">
              <w:rPr>
                <w:rFonts w:cs="Times New Roman"/>
                <w:sz w:val="20"/>
                <w:szCs w:val="20"/>
              </w:rPr>
              <w:t>financial year</w:t>
            </w:r>
          </w:p>
          <w:p w:rsidR="0095515C" w:rsidRPr="00F7263B" w:rsidRDefault="005365CA" w:rsidP="00B255F3">
            <w:pPr>
              <w:ind w:left="758" w:hanging="540"/>
              <w:rPr>
                <w:rFonts w:cs="Times New Roman"/>
                <w:sz w:val="20"/>
                <w:szCs w:val="20"/>
              </w:rPr>
            </w:pPr>
            <w:r w:rsidRPr="00F7263B">
              <w:rPr>
                <w:rFonts w:cs="Times New Roman"/>
                <w:sz w:val="20"/>
                <w:szCs w:val="20"/>
              </w:rPr>
              <w:t xml:space="preserve">(b) </w:t>
            </w:r>
            <w:r w:rsidRPr="00F7263B">
              <w:rPr>
                <w:rFonts w:cs="Times New Roman"/>
                <w:sz w:val="20"/>
                <w:szCs w:val="20"/>
              </w:rPr>
              <w:tab/>
              <w:t>R</w:t>
            </w:r>
            <w:r w:rsidR="0095515C" w:rsidRPr="00F7263B">
              <w:rPr>
                <w:rFonts w:cs="Times New Roman"/>
                <w:sz w:val="20"/>
                <w:szCs w:val="20"/>
              </w:rPr>
              <w:t xml:space="preserve">egional government teams are in place </w:t>
            </w:r>
          </w:p>
          <w:p w:rsidR="0095515C" w:rsidRPr="00F7263B" w:rsidRDefault="005365CA" w:rsidP="00B255F3">
            <w:pPr>
              <w:ind w:left="758" w:hanging="540"/>
              <w:rPr>
                <w:rFonts w:cs="Times New Roman"/>
                <w:sz w:val="20"/>
                <w:szCs w:val="20"/>
              </w:rPr>
            </w:pPr>
            <w:r w:rsidRPr="00F7263B">
              <w:rPr>
                <w:rFonts w:cs="Times New Roman"/>
                <w:sz w:val="20"/>
                <w:szCs w:val="20"/>
              </w:rPr>
              <w:t xml:space="preserve">(c) </w:t>
            </w:r>
            <w:r w:rsidRPr="00F7263B">
              <w:rPr>
                <w:rFonts w:cs="Times New Roman"/>
                <w:sz w:val="20"/>
                <w:szCs w:val="20"/>
              </w:rPr>
              <w:tab/>
              <w:t>C</w:t>
            </w:r>
            <w:r w:rsidR="0095515C" w:rsidRPr="00F7263B">
              <w:rPr>
                <w:rFonts w:cs="Times New Roman"/>
                <w:sz w:val="20"/>
                <w:szCs w:val="20"/>
              </w:rPr>
              <w:t>apacity building plans for the previous year have been executed</w:t>
            </w:r>
          </w:p>
          <w:p w:rsidR="0095515C" w:rsidRPr="00F7263B" w:rsidRDefault="005365CA" w:rsidP="00B255F3">
            <w:pPr>
              <w:ind w:left="758" w:hanging="540"/>
              <w:rPr>
                <w:rFonts w:cs="Times New Roman"/>
                <w:sz w:val="20"/>
                <w:szCs w:val="20"/>
              </w:rPr>
            </w:pPr>
            <w:r w:rsidRPr="00F7263B">
              <w:rPr>
                <w:rFonts w:cs="Times New Roman"/>
                <w:sz w:val="20"/>
                <w:szCs w:val="20"/>
              </w:rPr>
              <w:t xml:space="preserve">(d) </w:t>
            </w:r>
            <w:r w:rsidRPr="00F7263B">
              <w:rPr>
                <w:rFonts w:cs="Times New Roman"/>
                <w:sz w:val="20"/>
                <w:szCs w:val="20"/>
              </w:rPr>
              <w:tab/>
              <w:t>R</w:t>
            </w:r>
            <w:r w:rsidR="0095515C" w:rsidRPr="00F7263B">
              <w:rPr>
                <w:rFonts w:cs="Times New Roman"/>
                <w:sz w:val="20"/>
                <w:szCs w:val="20"/>
              </w:rPr>
              <w:t xml:space="preserve">egional governments have adopted service delivery standards (as issued by </w:t>
            </w:r>
            <w:r w:rsidR="00276BC8" w:rsidRPr="00F7263B">
              <w:rPr>
                <w:rFonts w:cs="Times New Roman"/>
                <w:sz w:val="20"/>
                <w:szCs w:val="20"/>
              </w:rPr>
              <w:t>MUDHCo</w:t>
            </w:r>
            <w:r w:rsidR="0095515C" w:rsidRPr="00F7263B">
              <w:rPr>
                <w:rFonts w:cs="Times New Roman"/>
                <w:sz w:val="20"/>
                <w:szCs w:val="20"/>
              </w:rPr>
              <w:t>*) and issued those for the cities, and provided guidance in implementation (reports).</w:t>
            </w:r>
          </w:p>
          <w:p w:rsidR="0095515C" w:rsidRPr="00F7263B" w:rsidRDefault="0095515C" w:rsidP="006E6935">
            <w:pPr>
              <w:rPr>
                <w:rFonts w:cs="Times New Roman"/>
                <w:i/>
                <w:sz w:val="20"/>
                <w:szCs w:val="20"/>
              </w:rPr>
            </w:pPr>
          </w:p>
          <w:p w:rsidR="0095515C" w:rsidRPr="00F7263B" w:rsidRDefault="0095515C" w:rsidP="006E6935">
            <w:pPr>
              <w:rPr>
                <w:rFonts w:cs="Times New Roman"/>
                <w:sz w:val="20"/>
                <w:szCs w:val="20"/>
              </w:rPr>
            </w:pPr>
            <w:r w:rsidRPr="00F7263B">
              <w:rPr>
                <w:rFonts w:cs="Times New Roman"/>
                <w:sz w:val="20"/>
                <w:szCs w:val="20"/>
              </w:rPr>
              <w:t xml:space="preserve">* This condition is only valid if </w:t>
            </w:r>
            <w:r w:rsidR="00276BC8" w:rsidRPr="00F7263B">
              <w:rPr>
                <w:rFonts w:cs="Times New Roman"/>
                <w:sz w:val="20"/>
                <w:szCs w:val="20"/>
              </w:rPr>
              <w:t>MUDHCo</w:t>
            </w:r>
            <w:r w:rsidRPr="00F7263B">
              <w:rPr>
                <w:rFonts w:cs="Times New Roman"/>
                <w:sz w:val="20"/>
                <w:szCs w:val="20"/>
              </w:rPr>
              <w:t xml:space="preserve"> has issued the service delivery standards to the regions. </w:t>
            </w: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lastRenderedPageBreak/>
              <w:t>5</w:t>
            </w:r>
          </w:p>
        </w:tc>
        <w:tc>
          <w:tcPr>
            <w:tcW w:w="516" w:type="pct"/>
          </w:tcPr>
          <w:p w:rsidR="0095515C" w:rsidRPr="00F7263B" w:rsidRDefault="0095515C" w:rsidP="006E6935">
            <w:pPr>
              <w:rPr>
                <w:rFonts w:cs="Times New Roman"/>
                <w:sz w:val="20"/>
                <w:szCs w:val="20"/>
              </w:rPr>
            </w:pPr>
            <w:r w:rsidRPr="00F7263B">
              <w:rPr>
                <w:rFonts w:cs="Times New Roman"/>
                <w:sz w:val="20"/>
                <w:szCs w:val="20"/>
              </w:rPr>
              <w:t>Regional government audit agencies (ORAG) carry out ULG audits on time</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p>
        </w:tc>
        <w:tc>
          <w:tcPr>
            <w:tcW w:w="888" w:type="pct"/>
          </w:tcPr>
          <w:p w:rsidR="0095515C" w:rsidRPr="00F7263B" w:rsidRDefault="0095515C" w:rsidP="002A2022">
            <w:pPr>
              <w:rPr>
                <w:rFonts w:cs="Times New Roman"/>
                <w:sz w:val="20"/>
                <w:szCs w:val="20"/>
              </w:rPr>
            </w:pPr>
            <w:r w:rsidRPr="00F7263B">
              <w:rPr>
                <w:rFonts w:cs="Times New Roman"/>
                <w:sz w:val="20"/>
                <w:szCs w:val="20"/>
              </w:rPr>
              <w:t>This indicator will be fulfilled when the regional audit entities, or their delegated agencies, which includes certified private audit firms, carry out</w:t>
            </w:r>
            <w:r w:rsidR="002A2022" w:rsidRPr="00F7263B">
              <w:rPr>
                <w:rFonts w:cs="Times New Roman"/>
                <w:sz w:val="20"/>
                <w:szCs w:val="20"/>
              </w:rPr>
              <w:t xml:space="preserve">and complete </w:t>
            </w:r>
            <w:r w:rsidRPr="00F7263B">
              <w:rPr>
                <w:rFonts w:cs="Times New Roman"/>
                <w:sz w:val="20"/>
                <w:szCs w:val="20"/>
              </w:rPr>
              <w:t xml:space="preserve">the financial audits of ULGs in their jurisdictions by January 7 of each year. </w:t>
            </w:r>
          </w:p>
        </w:tc>
        <w:tc>
          <w:tcPr>
            <w:tcW w:w="375" w:type="pct"/>
          </w:tcPr>
          <w:p w:rsidR="0095515C" w:rsidRPr="00F7263B" w:rsidRDefault="0095515C" w:rsidP="006E6935">
            <w:pPr>
              <w:rPr>
                <w:rFonts w:cs="Times New Roman"/>
                <w:sz w:val="20"/>
                <w:szCs w:val="20"/>
              </w:rPr>
            </w:pPr>
            <w:r w:rsidRPr="00F7263B">
              <w:rPr>
                <w:rFonts w:cs="Times New Roman"/>
                <w:sz w:val="20"/>
                <w:szCs w:val="20"/>
              </w:rPr>
              <w:t>Yes</w:t>
            </w:r>
          </w:p>
        </w:tc>
        <w:tc>
          <w:tcPr>
            <w:tcW w:w="650" w:type="pct"/>
          </w:tcPr>
          <w:p w:rsidR="0095515C" w:rsidRPr="00F7263B" w:rsidRDefault="0095515C" w:rsidP="006E6935">
            <w:pPr>
              <w:rPr>
                <w:rFonts w:cs="Times New Roman"/>
                <w:sz w:val="20"/>
                <w:szCs w:val="20"/>
              </w:rPr>
            </w:pPr>
            <w:r w:rsidRPr="00F7263B">
              <w:rPr>
                <w:rFonts w:cs="Times New Roman"/>
                <w:sz w:val="20"/>
                <w:szCs w:val="20"/>
              </w:rPr>
              <w:t>Annual performance assessment</w:t>
            </w:r>
          </w:p>
        </w:tc>
        <w:tc>
          <w:tcPr>
            <w:tcW w:w="935" w:type="pct"/>
          </w:tcPr>
          <w:p w:rsidR="0095515C" w:rsidRPr="00F7263B" w:rsidRDefault="0095515C" w:rsidP="006E6935">
            <w:pPr>
              <w:rPr>
                <w:rFonts w:cs="Times New Roman"/>
                <w:sz w:val="20"/>
                <w:szCs w:val="20"/>
              </w:rPr>
            </w:pPr>
            <w:r w:rsidRPr="00F7263B">
              <w:rPr>
                <w:rFonts w:cs="Times New Roman"/>
                <w:sz w:val="20"/>
                <w:szCs w:val="20"/>
              </w:rPr>
              <w:t>Same as above (DLIs 1,2, 3 and 4)</w:t>
            </w:r>
          </w:p>
          <w:p w:rsidR="0095515C" w:rsidRPr="00F7263B" w:rsidRDefault="0095515C" w:rsidP="006E6935">
            <w:pPr>
              <w:rPr>
                <w:rFonts w:eastAsiaTheme="majorEastAsia" w:cs="Times New Roman"/>
                <w:b/>
                <w:bCs/>
                <w:color w:val="4F81BD" w:themeColor="accent1"/>
                <w:sz w:val="20"/>
                <w:szCs w:val="20"/>
              </w:rPr>
            </w:pPr>
          </w:p>
        </w:tc>
        <w:tc>
          <w:tcPr>
            <w:tcW w:w="1531" w:type="pct"/>
          </w:tcPr>
          <w:p w:rsidR="0095515C" w:rsidRPr="00F7263B" w:rsidRDefault="0095515C" w:rsidP="007305E9">
            <w:pPr>
              <w:pStyle w:val="NormalWeb"/>
              <w:spacing w:before="2" w:after="2"/>
              <w:rPr>
                <w:rFonts w:ascii="Times New Roman" w:hAnsi="Times New Roman"/>
              </w:rPr>
            </w:pPr>
            <w:r w:rsidRPr="00F7263B">
              <w:rPr>
                <w:rFonts w:ascii="Times New Roman" w:hAnsi="Times New Roman"/>
              </w:rPr>
              <w:t>The</w:t>
            </w:r>
            <w:r w:rsidRPr="00F7263B">
              <w:rPr>
                <w:rFonts w:ascii="Times New Roman" w:hAnsi="Times New Roman"/>
                <w:lang w:val="en-GB"/>
              </w:rPr>
              <w:t xml:space="preserve"> private consulting/audit firm will verify the results against this indicator, following the same process as in the DLIs above. </w:t>
            </w: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t>6</w:t>
            </w:r>
          </w:p>
        </w:tc>
        <w:tc>
          <w:tcPr>
            <w:tcW w:w="516" w:type="pct"/>
          </w:tcPr>
          <w:p w:rsidR="0095515C" w:rsidRPr="00F7263B" w:rsidRDefault="0095515C" w:rsidP="004B7453">
            <w:pPr>
              <w:rPr>
                <w:rFonts w:cs="Times New Roman"/>
                <w:sz w:val="20"/>
                <w:szCs w:val="20"/>
              </w:rPr>
            </w:pPr>
            <w:r w:rsidRPr="00F7263B">
              <w:rPr>
                <w:rFonts w:cs="Times New Roman"/>
                <w:sz w:val="20"/>
                <w:szCs w:val="20"/>
              </w:rPr>
              <w:t>R</w:t>
            </w:r>
            <w:r w:rsidR="004B7453" w:rsidRPr="00F7263B">
              <w:rPr>
                <w:rFonts w:cs="Times New Roman"/>
                <w:sz w:val="20"/>
                <w:szCs w:val="20"/>
              </w:rPr>
              <w:t xml:space="preserve">EPAs </w:t>
            </w:r>
            <w:r w:rsidRPr="00F7263B">
              <w:rPr>
                <w:rFonts w:cs="Times New Roman"/>
                <w:sz w:val="20"/>
                <w:szCs w:val="20"/>
              </w:rPr>
              <w:t xml:space="preserve">review of ULG safeguards compliance in a timely fashion. </w:t>
            </w:r>
          </w:p>
        </w:tc>
        <w:tc>
          <w:tcPr>
            <w:tcW w:w="888" w:type="pct"/>
          </w:tcPr>
          <w:p w:rsidR="0095515C" w:rsidRPr="00F7263B" w:rsidRDefault="0095515C" w:rsidP="006E6935">
            <w:pPr>
              <w:rPr>
                <w:rFonts w:cs="Times New Roman"/>
                <w:sz w:val="20"/>
                <w:szCs w:val="20"/>
              </w:rPr>
            </w:pPr>
            <w:r w:rsidRPr="00F7263B">
              <w:rPr>
                <w:rFonts w:cs="Times New Roman"/>
                <w:sz w:val="20"/>
                <w:szCs w:val="20"/>
              </w:rPr>
              <w:t xml:space="preserve">This indicator will be fulfilled when the regional environmental protection agencies have carried out the safeguards reviews/audits of ULGs in their jurisdictions before the start of the annual performance assessment in each year. </w:t>
            </w:r>
          </w:p>
        </w:tc>
        <w:tc>
          <w:tcPr>
            <w:tcW w:w="375" w:type="pct"/>
          </w:tcPr>
          <w:p w:rsidR="0095515C" w:rsidRPr="00F7263B" w:rsidRDefault="0095515C" w:rsidP="006E6935">
            <w:pPr>
              <w:rPr>
                <w:rFonts w:cs="Times New Roman"/>
                <w:sz w:val="20"/>
                <w:szCs w:val="20"/>
              </w:rPr>
            </w:pPr>
            <w:r w:rsidRPr="00F7263B">
              <w:rPr>
                <w:rFonts w:cs="Times New Roman"/>
                <w:sz w:val="20"/>
                <w:szCs w:val="20"/>
              </w:rPr>
              <w:t>Yes</w:t>
            </w:r>
          </w:p>
        </w:tc>
        <w:tc>
          <w:tcPr>
            <w:tcW w:w="650" w:type="pct"/>
          </w:tcPr>
          <w:p w:rsidR="0095515C" w:rsidRPr="00F7263B" w:rsidRDefault="0095515C" w:rsidP="006E6935">
            <w:pPr>
              <w:rPr>
                <w:rFonts w:cs="Times New Roman"/>
                <w:sz w:val="20"/>
                <w:szCs w:val="20"/>
              </w:rPr>
            </w:pPr>
            <w:r w:rsidRPr="00F7263B">
              <w:rPr>
                <w:rFonts w:cs="Times New Roman"/>
                <w:sz w:val="20"/>
                <w:szCs w:val="20"/>
              </w:rPr>
              <w:t>Annual performance assessment</w:t>
            </w:r>
          </w:p>
        </w:tc>
        <w:tc>
          <w:tcPr>
            <w:tcW w:w="935" w:type="pct"/>
          </w:tcPr>
          <w:p w:rsidR="0095515C" w:rsidRPr="00F7263B" w:rsidRDefault="0095515C" w:rsidP="006E6935">
            <w:pPr>
              <w:rPr>
                <w:rFonts w:cs="Times New Roman"/>
                <w:sz w:val="20"/>
                <w:szCs w:val="20"/>
              </w:rPr>
            </w:pPr>
            <w:r w:rsidRPr="00F7263B">
              <w:rPr>
                <w:rFonts w:cs="Times New Roman"/>
                <w:sz w:val="20"/>
                <w:szCs w:val="20"/>
              </w:rPr>
              <w:t>Same as above (DLIs 1,2, 3, 4 and 5)</w:t>
            </w:r>
          </w:p>
          <w:p w:rsidR="0095515C" w:rsidRPr="00F7263B" w:rsidRDefault="0095515C" w:rsidP="006E6935">
            <w:pPr>
              <w:rPr>
                <w:rFonts w:cs="Times New Roman"/>
                <w:sz w:val="20"/>
                <w:szCs w:val="20"/>
              </w:rPr>
            </w:pPr>
          </w:p>
        </w:tc>
        <w:tc>
          <w:tcPr>
            <w:tcW w:w="1531" w:type="pct"/>
          </w:tcPr>
          <w:p w:rsidR="0095515C" w:rsidRPr="00F7263B" w:rsidRDefault="0095515C" w:rsidP="007305E9">
            <w:pPr>
              <w:rPr>
                <w:rFonts w:cs="Times New Roman"/>
                <w:sz w:val="20"/>
                <w:szCs w:val="20"/>
              </w:rPr>
            </w:pPr>
            <w:r w:rsidRPr="00F7263B">
              <w:rPr>
                <w:rFonts w:cs="Times New Roman"/>
                <w:sz w:val="20"/>
                <w:szCs w:val="20"/>
              </w:rPr>
              <w:t>The reputable private sector consulting/audit firm will verify the results against this indicator, following the same process as in the DLIs above.</w:t>
            </w: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t>7</w:t>
            </w:r>
          </w:p>
        </w:tc>
        <w:tc>
          <w:tcPr>
            <w:tcW w:w="516" w:type="pct"/>
          </w:tcPr>
          <w:p w:rsidR="0095515C" w:rsidRPr="00F7263B" w:rsidRDefault="0095515C" w:rsidP="007305E9">
            <w:pPr>
              <w:rPr>
                <w:rFonts w:cs="Times New Roman"/>
                <w:sz w:val="20"/>
                <w:szCs w:val="20"/>
              </w:rPr>
            </w:pPr>
            <w:r w:rsidRPr="00F7263B">
              <w:rPr>
                <w:rFonts w:cs="Times New Roman"/>
                <w:sz w:val="20"/>
                <w:szCs w:val="20"/>
              </w:rPr>
              <w:t xml:space="preserve">Regional </w:t>
            </w:r>
            <w:r w:rsidR="00AF33EE" w:rsidRPr="00F7263B">
              <w:rPr>
                <w:rFonts w:cs="Times New Roman"/>
                <w:sz w:val="20"/>
                <w:szCs w:val="20"/>
              </w:rPr>
              <w:t>r</w:t>
            </w:r>
            <w:r w:rsidR="004267F4" w:rsidRPr="00F7263B">
              <w:rPr>
                <w:rFonts w:cs="Times New Roman"/>
                <w:sz w:val="20"/>
                <w:szCs w:val="20"/>
              </w:rPr>
              <w:t xml:space="preserve">evenue </w:t>
            </w:r>
            <w:r w:rsidR="00AF33EE" w:rsidRPr="00F7263B">
              <w:rPr>
                <w:rFonts w:cs="Times New Roman"/>
                <w:sz w:val="20"/>
                <w:szCs w:val="20"/>
              </w:rPr>
              <w:t>a</w:t>
            </w:r>
            <w:r w:rsidR="004267F4" w:rsidRPr="00F7263B">
              <w:rPr>
                <w:rFonts w:cs="Times New Roman"/>
                <w:sz w:val="20"/>
                <w:szCs w:val="20"/>
              </w:rPr>
              <w:t xml:space="preserve">uthorities </w:t>
            </w:r>
            <w:r w:rsidRPr="00F7263B">
              <w:rPr>
                <w:rFonts w:cs="Times New Roman"/>
                <w:sz w:val="20"/>
                <w:szCs w:val="20"/>
              </w:rPr>
              <w:lastRenderedPageBreak/>
              <w:t>support ULG revenue mobilization</w:t>
            </w:r>
          </w:p>
        </w:tc>
        <w:tc>
          <w:tcPr>
            <w:tcW w:w="888" w:type="pct"/>
          </w:tcPr>
          <w:p w:rsidR="0095515C" w:rsidRPr="00F7263B" w:rsidRDefault="00EF7E27" w:rsidP="00E9566D">
            <w:pPr>
              <w:rPr>
                <w:rFonts w:cs="Times New Roman"/>
                <w:sz w:val="20"/>
                <w:szCs w:val="20"/>
              </w:rPr>
            </w:pPr>
            <w:r w:rsidRPr="00F7263B">
              <w:rPr>
                <w:rFonts w:cs="Times New Roman"/>
                <w:sz w:val="20"/>
                <w:szCs w:val="20"/>
              </w:rPr>
              <w:lastRenderedPageBreak/>
              <w:t xml:space="preserve">This indicator will be fulfilled when </w:t>
            </w:r>
            <w:r w:rsidR="00AF33EE" w:rsidRPr="00F7263B">
              <w:rPr>
                <w:rFonts w:cs="Times New Roman"/>
                <w:sz w:val="20"/>
                <w:szCs w:val="20"/>
              </w:rPr>
              <w:t xml:space="preserve"> Regional revenue authorities/ </w:t>
            </w:r>
            <w:r w:rsidRPr="00F7263B">
              <w:rPr>
                <w:rFonts w:cs="Times New Roman"/>
                <w:sz w:val="20"/>
                <w:szCs w:val="20"/>
              </w:rPr>
              <w:lastRenderedPageBreak/>
              <w:t xml:space="preserve">BOFEDs have held  consultations with the ULGs on tax rates and bands, with review of revenue enhancement plans and have updated the tariff proclamations for the ULGs </w:t>
            </w:r>
          </w:p>
        </w:tc>
        <w:tc>
          <w:tcPr>
            <w:tcW w:w="375" w:type="pct"/>
          </w:tcPr>
          <w:p w:rsidR="0095515C" w:rsidRPr="00F7263B" w:rsidRDefault="0095515C" w:rsidP="006E6935">
            <w:pPr>
              <w:rPr>
                <w:rFonts w:cs="Times New Roman"/>
                <w:sz w:val="20"/>
                <w:szCs w:val="20"/>
              </w:rPr>
            </w:pPr>
            <w:r w:rsidRPr="00F7263B">
              <w:rPr>
                <w:rFonts w:cs="Times New Roman"/>
                <w:sz w:val="20"/>
                <w:szCs w:val="20"/>
              </w:rPr>
              <w:lastRenderedPageBreak/>
              <w:t>Yes</w:t>
            </w:r>
          </w:p>
        </w:tc>
        <w:tc>
          <w:tcPr>
            <w:tcW w:w="650" w:type="pct"/>
          </w:tcPr>
          <w:p w:rsidR="0095515C" w:rsidRPr="00F7263B" w:rsidRDefault="0095515C" w:rsidP="006E6935">
            <w:pPr>
              <w:rPr>
                <w:rFonts w:cs="Times New Roman"/>
                <w:sz w:val="20"/>
                <w:szCs w:val="20"/>
              </w:rPr>
            </w:pPr>
            <w:r w:rsidRPr="00F7263B">
              <w:rPr>
                <w:rFonts w:cs="Times New Roman"/>
                <w:sz w:val="20"/>
                <w:szCs w:val="20"/>
              </w:rPr>
              <w:t>Annual performance assessment</w:t>
            </w:r>
          </w:p>
        </w:tc>
        <w:tc>
          <w:tcPr>
            <w:tcW w:w="935" w:type="pct"/>
          </w:tcPr>
          <w:p w:rsidR="0095515C" w:rsidRPr="00F7263B" w:rsidRDefault="0095515C" w:rsidP="006E6935">
            <w:pPr>
              <w:rPr>
                <w:rFonts w:cs="Times New Roman"/>
                <w:sz w:val="20"/>
                <w:szCs w:val="20"/>
              </w:rPr>
            </w:pPr>
            <w:r w:rsidRPr="00F7263B">
              <w:rPr>
                <w:rFonts w:cs="Times New Roman"/>
                <w:sz w:val="20"/>
                <w:szCs w:val="20"/>
              </w:rPr>
              <w:t>Same as above (DLIs 1,2, 3, 4, 5 and 6)</w:t>
            </w:r>
          </w:p>
          <w:p w:rsidR="0095515C" w:rsidRPr="00F7263B" w:rsidRDefault="0095515C" w:rsidP="006E6935">
            <w:pPr>
              <w:rPr>
                <w:rFonts w:cs="Times New Roman"/>
                <w:sz w:val="20"/>
                <w:szCs w:val="20"/>
              </w:rPr>
            </w:pPr>
          </w:p>
        </w:tc>
        <w:tc>
          <w:tcPr>
            <w:tcW w:w="1531" w:type="pct"/>
          </w:tcPr>
          <w:p w:rsidR="0095515C" w:rsidRPr="00F7263B" w:rsidRDefault="0095515C" w:rsidP="007305E9">
            <w:pPr>
              <w:rPr>
                <w:rFonts w:cs="Times New Roman"/>
                <w:sz w:val="20"/>
                <w:szCs w:val="20"/>
              </w:rPr>
            </w:pPr>
            <w:r w:rsidRPr="00F7263B">
              <w:rPr>
                <w:rFonts w:cs="Times New Roman"/>
                <w:sz w:val="20"/>
                <w:szCs w:val="20"/>
              </w:rPr>
              <w:t>The private consulting/audit firm will verify the results against this indicator, following the same process as in the DLIs above.</w:t>
            </w:r>
            <w:r w:rsidR="00EF7E27" w:rsidRPr="00F7263B">
              <w:rPr>
                <w:rFonts w:cs="Times New Roman"/>
                <w:sz w:val="20"/>
                <w:szCs w:val="20"/>
              </w:rPr>
              <w:t xml:space="preserve">The APA </w:t>
            </w:r>
            <w:r w:rsidR="00EF7E27" w:rsidRPr="00F7263B">
              <w:rPr>
                <w:rFonts w:cs="Times New Roman"/>
                <w:sz w:val="20"/>
                <w:szCs w:val="20"/>
              </w:rPr>
              <w:lastRenderedPageBreak/>
              <w:t xml:space="preserve">will review whether there have been consultations, documented with minutes, in the previous </w:t>
            </w:r>
            <w:r w:rsidR="00AF33EE" w:rsidRPr="00F7263B">
              <w:rPr>
                <w:rFonts w:cs="Times New Roman"/>
                <w:sz w:val="20"/>
                <w:szCs w:val="20"/>
              </w:rPr>
              <w:t>financial year</w:t>
            </w:r>
            <w:r w:rsidR="00EF7E27" w:rsidRPr="00F7263B">
              <w:rPr>
                <w:rFonts w:cs="Times New Roman"/>
                <w:sz w:val="20"/>
                <w:szCs w:val="20"/>
              </w:rPr>
              <w:t xml:space="preserve">. The assessments will be conducted as part of the third and the fifth APA, and regions will have to: </w:t>
            </w:r>
            <w:r w:rsidR="00AF33EE" w:rsidRPr="00F7263B">
              <w:rPr>
                <w:rFonts w:cs="Times New Roman"/>
                <w:sz w:val="20"/>
                <w:szCs w:val="20"/>
              </w:rPr>
              <w:t>(a)</w:t>
            </w:r>
            <w:r w:rsidR="00EF7E27" w:rsidRPr="00F7263B">
              <w:rPr>
                <w:rFonts w:cs="Times New Roman"/>
                <w:sz w:val="20"/>
                <w:szCs w:val="20"/>
              </w:rPr>
              <w:t xml:space="preserve"> complete the consultations,</w:t>
            </w:r>
            <w:r w:rsidR="00AF33EE" w:rsidRPr="00F7263B">
              <w:rPr>
                <w:rFonts w:cs="Times New Roman"/>
                <w:sz w:val="20"/>
                <w:szCs w:val="20"/>
              </w:rPr>
              <w:t>(b</w:t>
            </w:r>
            <w:r w:rsidR="00EF7E27" w:rsidRPr="00F7263B">
              <w:rPr>
                <w:rFonts w:cs="Times New Roman"/>
                <w:sz w:val="20"/>
                <w:szCs w:val="20"/>
              </w:rPr>
              <w:t xml:space="preserve">) reviewed the REPs with the ULGs, and </w:t>
            </w:r>
            <w:r w:rsidR="00AF33EE" w:rsidRPr="00F7263B">
              <w:rPr>
                <w:rFonts w:cs="Times New Roman"/>
                <w:sz w:val="20"/>
                <w:szCs w:val="20"/>
              </w:rPr>
              <w:t>(c</w:t>
            </w:r>
            <w:r w:rsidR="00EF7E27" w:rsidRPr="00F7263B">
              <w:rPr>
                <w:rFonts w:cs="Times New Roman"/>
                <w:sz w:val="20"/>
                <w:szCs w:val="20"/>
              </w:rPr>
              <w:t xml:space="preserve">) up-dated  the tariff proclamations prior to each of these APAs (all </w:t>
            </w:r>
            <w:r w:rsidR="00AF33EE" w:rsidRPr="00F7263B">
              <w:rPr>
                <w:rFonts w:cs="Times New Roman"/>
                <w:sz w:val="20"/>
                <w:szCs w:val="20"/>
              </w:rPr>
              <w:t>three</w:t>
            </w:r>
            <w:r w:rsidR="00EF7E27" w:rsidRPr="00F7263B">
              <w:rPr>
                <w:rFonts w:cs="Times New Roman"/>
                <w:sz w:val="20"/>
                <w:szCs w:val="20"/>
              </w:rPr>
              <w:t xml:space="preserve"> issues will have to be achieved in the previous </w:t>
            </w:r>
            <w:r w:rsidR="00AF33EE" w:rsidRPr="00F7263B">
              <w:rPr>
                <w:rFonts w:cs="Times New Roman"/>
                <w:sz w:val="20"/>
                <w:szCs w:val="20"/>
              </w:rPr>
              <w:t xml:space="preserve">financial year </w:t>
            </w:r>
            <w:r w:rsidR="00C9220A" w:rsidRPr="00F7263B">
              <w:rPr>
                <w:rFonts w:cs="Times New Roman"/>
                <w:sz w:val="20"/>
                <w:szCs w:val="20"/>
              </w:rPr>
              <w:t xml:space="preserve">to </w:t>
            </w:r>
            <w:r w:rsidR="00EF7E27" w:rsidRPr="00F7263B">
              <w:rPr>
                <w:rFonts w:cs="Times New Roman"/>
                <w:sz w:val="20"/>
                <w:szCs w:val="20"/>
              </w:rPr>
              <w:t xml:space="preserve">fulfil the conditions for the DLI). </w:t>
            </w: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lastRenderedPageBreak/>
              <w:t>8</w:t>
            </w:r>
          </w:p>
        </w:tc>
        <w:tc>
          <w:tcPr>
            <w:tcW w:w="516" w:type="pct"/>
          </w:tcPr>
          <w:p w:rsidR="0095515C" w:rsidRPr="00F7263B" w:rsidRDefault="002943F1" w:rsidP="007305E9">
            <w:pPr>
              <w:rPr>
                <w:rFonts w:cs="Times New Roman"/>
                <w:sz w:val="20"/>
                <w:szCs w:val="20"/>
              </w:rPr>
            </w:pPr>
            <w:r w:rsidRPr="00F7263B">
              <w:rPr>
                <w:rFonts w:cs="Times New Roman"/>
                <w:sz w:val="20"/>
                <w:szCs w:val="20"/>
              </w:rPr>
              <w:t>C</w:t>
            </w:r>
            <w:r w:rsidR="0095515C" w:rsidRPr="00F7263B">
              <w:rPr>
                <w:rFonts w:cs="Times New Roman"/>
                <w:sz w:val="20"/>
                <w:szCs w:val="20"/>
              </w:rPr>
              <w:t xml:space="preserve">ompletion of annual </w:t>
            </w:r>
            <w:r w:rsidR="00830508" w:rsidRPr="00F7263B">
              <w:rPr>
                <w:rFonts w:cs="Times New Roman"/>
                <w:sz w:val="20"/>
                <w:szCs w:val="20"/>
              </w:rPr>
              <w:t>MUDHCo</w:t>
            </w:r>
            <w:r w:rsidR="0095515C" w:rsidRPr="00F7263B">
              <w:rPr>
                <w:rFonts w:cs="Times New Roman"/>
                <w:sz w:val="20"/>
                <w:szCs w:val="20"/>
              </w:rPr>
              <w:t xml:space="preserve"> capacity building activities for Program ULGs, </w:t>
            </w:r>
            <w:r w:rsidR="00BD1B5F" w:rsidRPr="00F7263B">
              <w:rPr>
                <w:rFonts w:cs="Times New Roman"/>
                <w:sz w:val="20"/>
                <w:szCs w:val="20"/>
              </w:rPr>
              <w:t>regional government</w:t>
            </w:r>
            <w:r w:rsidR="0095515C" w:rsidRPr="00F7263B">
              <w:rPr>
                <w:rFonts w:cs="Times New Roman"/>
                <w:sz w:val="20"/>
                <w:szCs w:val="20"/>
              </w:rPr>
              <w:t>s and the ministry</w:t>
            </w:r>
            <w:r w:rsidR="008073B5" w:rsidRPr="00F7263B">
              <w:rPr>
                <w:rFonts w:cs="Times New Roman"/>
                <w:sz w:val="20"/>
                <w:szCs w:val="20"/>
              </w:rPr>
              <w:t xml:space="preserve">.  </w:t>
            </w:r>
          </w:p>
        </w:tc>
        <w:tc>
          <w:tcPr>
            <w:tcW w:w="888" w:type="pct"/>
          </w:tcPr>
          <w:p w:rsidR="0095515C" w:rsidRPr="00F7263B" w:rsidRDefault="0095515C" w:rsidP="006E6935">
            <w:pPr>
              <w:rPr>
                <w:rFonts w:cs="Times New Roman"/>
                <w:sz w:val="20"/>
                <w:szCs w:val="20"/>
              </w:rPr>
            </w:pPr>
            <w:r w:rsidRPr="00F7263B">
              <w:rPr>
                <w:rFonts w:cs="Times New Roman"/>
                <w:sz w:val="20"/>
                <w:szCs w:val="20"/>
              </w:rPr>
              <w:t xml:space="preserve">Achievement of this DLI will be determined on the basis of execution of activities specified in the </w:t>
            </w:r>
            <w:r w:rsidR="00830508" w:rsidRPr="00F7263B">
              <w:rPr>
                <w:rFonts w:cs="Times New Roman"/>
                <w:sz w:val="20"/>
                <w:szCs w:val="20"/>
              </w:rPr>
              <w:t>MUDHCo</w:t>
            </w:r>
            <w:r w:rsidRPr="00F7263B">
              <w:rPr>
                <w:rFonts w:cs="Times New Roman"/>
                <w:sz w:val="20"/>
                <w:szCs w:val="20"/>
              </w:rPr>
              <w:t xml:space="preserve"> capacity building plan for the federal, regional and urban local governments.</w:t>
            </w:r>
          </w:p>
        </w:tc>
        <w:tc>
          <w:tcPr>
            <w:tcW w:w="375" w:type="pct"/>
          </w:tcPr>
          <w:p w:rsidR="0095515C" w:rsidRPr="00F7263B" w:rsidRDefault="0095515C" w:rsidP="006E6935">
            <w:pPr>
              <w:rPr>
                <w:rFonts w:cs="Times New Roman"/>
                <w:sz w:val="20"/>
                <w:szCs w:val="20"/>
              </w:rPr>
            </w:pPr>
            <w:r w:rsidRPr="00F7263B">
              <w:rPr>
                <w:rFonts w:cs="Times New Roman"/>
                <w:sz w:val="20"/>
                <w:szCs w:val="20"/>
              </w:rPr>
              <w:t>Yes</w:t>
            </w:r>
          </w:p>
        </w:tc>
        <w:tc>
          <w:tcPr>
            <w:tcW w:w="650" w:type="pct"/>
          </w:tcPr>
          <w:p w:rsidR="0095515C" w:rsidRPr="00F7263B" w:rsidRDefault="0095515C" w:rsidP="006E6935">
            <w:pPr>
              <w:rPr>
                <w:rFonts w:cs="Times New Roman"/>
                <w:sz w:val="20"/>
                <w:szCs w:val="20"/>
              </w:rPr>
            </w:pPr>
            <w:r w:rsidRPr="00F7263B">
              <w:rPr>
                <w:rFonts w:cs="Times New Roman"/>
                <w:sz w:val="20"/>
                <w:szCs w:val="20"/>
              </w:rPr>
              <w:t xml:space="preserve">Comprehensive annual Program capacity building plan which will include TOR of capacity building, and details of activities planned, and staffing positions. </w:t>
            </w:r>
          </w:p>
        </w:tc>
        <w:tc>
          <w:tcPr>
            <w:tcW w:w="935" w:type="pct"/>
          </w:tcPr>
          <w:p w:rsidR="0095515C" w:rsidRPr="00F7263B" w:rsidRDefault="00276BC8" w:rsidP="006E6935">
            <w:pPr>
              <w:rPr>
                <w:rFonts w:cs="Times New Roman"/>
                <w:sz w:val="20"/>
                <w:szCs w:val="20"/>
              </w:rPr>
            </w:pPr>
            <w:r w:rsidRPr="00F7263B">
              <w:rPr>
                <w:rFonts w:cs="Times New Roman"/>
                <w:sz w:val="20"/>
                <w:szCs w:val="20"/>
              </w:rPr>
              <w:t>MUDHCo</w:t>
            </w:r>
            <w:r w:rsidR="0095515C" w:rsidRPr="00F7263B">
              <w:rPr>
                <w:rFonts w:cs="Times New Roman"/>
                <w:sz w:val="20"/>
                <w:szCs w:val="20"/>
              </w:rPr>
              <w:t xml:space="preserve"> provides information and documentation to the World Bank, which verifies.</w:t>
            </w:r>
          </w:p>
        </w:tc>
        <w:tc>
          <w:tcPr>
            <w:tcW w:w="1531" w:type="pct"/>
          </w:tcPr>
          <w:p w:rsidR="0095515C" w:rsidRPr="00F7263B" w:rsidRDefault="00276BC8" w:rsidP="006E6935">
            <w:pPr>
              <w:rPr>
                <w:rFonts w:cs="Times New Roman"/>
                <w:sz w:val="20"/>
                <w:szCs w:val="20"/>
              </w:rPr>
            </w:pPr>
            <w:r w:rsidRPr="00F7263B">
              <w:rPr>
                <w:rFonts w:cs="Times New Roman"/>
                <w:sz w:val="20"/>
                <w:szCs w:val="20"/>
              </w:rPr>
              <w:t>MUDHCo</w:t>
            </w:r>
            <w:r w:rsidR="0095515C" w:rsidRPr="00F7263B">
              <w:rPr>
                <w:rFonts w:cs="Times New Roman"/>
                <w:sz w:val="20"/>
                <w:szCs w:val="20"/>
              </w:rPr>
              <w:t xml:space="preserve"> will put in place an annual plan to build capacity of ULGs, </w:t>
            </w:r>
            <w:r w:rsidR="00BD1B5F" w:rsidRPr="00F7263B">
              <w:rPr>
                <w:rFonts w:cs="Times New Roman"/>
                <w:sz w:val="20"/>
                <w:szCs w:val="20"/>
              </w:rPr>
              <w:t>regional government</w:t>
            </w:r>
            <w:r w:rsidR="0095515C" w:rsidRPr="00F7263B">
              <w:rPr>
                <w:rFonts w:cs="Times New Roman"/>
                <w:sz w:val="20"/>
                <w:szCs w:val="20"/>
              </w:rPr>
              <w:t xml:space="preserve">s and the ministry. Among other things, the plan will specify the activity, its objective, the resources assigned and the implementation timeline. The template for the plan will be included in the Program </w:t>
            </w:r>
            <w:r w:rsidR="00311545" w:rsidRPr="00F7263B">
              <w:rPr>
                <w:rFonts w:cs="Times New Roman"/>
                <w:sz w:val="20"/>
                <w:szCs w:val="20"/>
              </w:rPr>
              <w:t>O</w:t>
            </w:r>
            <w:r w:rsidR="0095515C" w:rsidRPr="00F7263B">
              <w:rPr>
                <w:rFonts w:cs="Times New Roman"/>
                <w:sz w:val="20"/>
                <w:szCs w:val="20"/>
              </w:rPr>
              <w:t xml:space="preserve">perations </w:t>
            </w:r>
            <w:r w:rsidR="00311545" w:rsidRPr="00F7263B">
              <w:rPr>
                <w:rFonts w:cs="Times New Roman"/>
                <w:sz w:val="20"/>
                <w:szCs w:val="20"/>
              </w:rPr>
              <w:t>M</w:t>
            </w:r>
            <w:r w:rsidR="0095515C" w:rsidRPr="00F7263B">
              <w:rPr>
                <w:rFonts w:cs="Times New Roman"/>
                <w:sz w:val="20"/>
                <w:szCs w:val="20"/>
              </w:rPr>
              <w:t xml:space="preserve">anual. </w:t>
            </w:r>
          </w:p>
          <w:p w:rsidR="0095515C" w:rsidRPr="00F7263B" w:rsidRDefault="0095515C" w:rsidP="006E6935">
            <w:pPr>
              <w:rPr>
                <w:rFonts w:cs="Times New Roman"/>
                <w:sz w:val="20"/>
                <w:szCs w:val="20"/>
              </w:rPr>
            </w:pPr>
            <w:r w:rsidRPr="00F7263B">
              <w:rPr>
                <w:rFonts w:cs="Times New Roman"/>
                <w:sz w:val="20"/>
                <w:szCs w:val="20"/>
              </w:rPr>
              <w:t>60 days</w:t>
            </w:r>
            <w:r w:rsidR="00157692" w:rsidRPr="00F7263B">
              <w:rPr>
                <w:rFonts w:cs="Times New Roman"/>
                <w:sz w:val="20"/>
                <w:szCs w:val="20"/>
              </w:rPr>
              <w:t xml:space="preserve"> prior to</w:t>
            </w:r>
            <w:r w:rsidRPr="00F7263B">
              <w:rPr>
                <w:rFonts w:cs="Times New Roman"/>
                <w:sz w:val="20"/>
                <w:szCs w:val="20"/>
              </w:rPr>
              <w:t xml:space="preserve"> the beginning of the forthcoming fiscal year, </w:t>
            </w:r>
            <w:r w:rsidR="00276BC8" w:rsidRPr="00F7263B">
              <w:rPr>
                <w:rFonts w:cs="Times New Roman"/>
                <w:sz w:val="20"/>
                <w:szCs w:val="20"/>
              </w:rPr>
              <w:t>MUDHCo</w:t>
            </w:r>
            <w:r w:rsidRPr="00F7263B">
              <w:rPr>
                <w:rFonts w:cs="Times New Roman"/>
                <w:sz w:val="20"/>
                <w:szCs w:val="20"/>
              </w:rPr>
              <w:t xml:space="preserve"> will submit the plan to the World Bank</w:t>
            </w:r>
            <w:r w:rsidR="00157692" w:rsidRPr="00F7263B">
              <w:rPr>
                <w:rFonts w:cs="Times New Roman"/>
                <w:sz w:val="20"/>
                <w:szCs w:val="20"/>
              </w:rPr>
              <w:t>,</w:t>
            </w:r>
            <w:r w:rsidRPr="00F7263B">
              <w:rPr>
                <w:rFonts w:cs="Times New Roman"/>
                <w:sz w:val="20"/>
                <w:szCs w:val="20"/>
              </w:rPr>
              <w:t xml:space="preserve"> which will verify that the plan is in the agreed format and is satisfactory.</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r w:rsidRPr="00F7263B">
              <w:rPr>
                <w:rFonts w:cs="Times New Roman"/>
                <w:sz w:val="20"/>
                <w:szCs w:val="20"/>
              </w:rPr>
              <w:t xml:space="preserve">Within 30 days of the beginning of the fiscal year, </w:t>
            </w:r>
            <w:r w:rsidR="00276BC8" w:rsidRPr="00F7263B">
              <w:rPr>
                <w:rFonts w:cs="Times New Roman"/>
                <w:sz w:val="20"/>
                <w:szCs w:val="20"/>
              </w:rPr>
              <w:t>MUDHCo</w:t>
            </w:r>
            <w:r w:rsidRPr="00F7263B">
              <w:rPr>
                <w:rFonts w:cs="Times New Roman"/>
                <w:sz w:val="20"/>
                <w:szCs w:val="20"/>
              </w:rPr>
              <w:t xml:space="preserve"> will submit a report of the implementation of the annual capacity building plan for the previous year to the World Bank. World Bank will verify the extent to which the plan has been executed and determine the DLI amount to be disbursed.</w:t>
            </w:r>
          </w:p>
          <w:p w:rsidR="0095515C" w:rsidRPr="00F7263B" w:rsidRDefault="0095515C" w:rsidP="006E6935">
            <w:pPr>
              <w:rPr>
                <w:rFonts w:cs="Times New Roman"/>
                <w:sz w:val="20"/>
                <w:szCs w:val="20"/>
              </w:rPr>
            </w:pPr>
          </w:p>
          <w:p w:rsidR="0095515C" w:rsidRPr="00F7263B" w:rsidRDefault="00EF7E27" w:rsidP="006E6935">
            <w:pPr>
              <w:rPr>
                <w:rFonts w:cs="Times New Roman"/>
                <w:sz w:val="20"/>
                <w:szCs w:val="20"/>
              </w:rPr>
            </w:pPr>
            <w:r w:rsidRPr="00F7263B">
              <w:rPr>
                <w:rFonts w:cs="Times New Roman"/>
                <w:sz w:val="20"/>
                <w:szCs w:val="20"/>
              </w:rPr>
              <w:t xml:space="preserve">In the first Program year, the plan will include guideline/framework on municipal service delivery standards, job creation measurement, and land development and supply </w:t>
            </w:r>
          </w:p>
          <w:p w:rsidR="0095515C" w:rsidRPr="00F7263B" w:rsidRDefault="0095515C" w:rsidP="006E6935">
            <w:pPr>
              <w:rPr>
                <w:rFonts w:cs="Times New Roman"/>
                <w:sz w:val="20"/>
                <w:szCs w:val="20"/>
              </w:rPr>
            </w:pPr>
            <w:r w:rsidRPr="00F7263B">
              <w:rPr>
                <w:rFonts w:cs="Times New Roman"/>
                <w:sz w:val="20"/>
                <w:szCs w:val="20"/>
              </w:rPr>
              <w:t xml:space="preserve">In the second release (2015/16): The assessment will include the ECSU course delivered for 26 ULGs which will have been implemented before the end of 2014/15.  </w:t>
            </w:r>
          </w:p>
          <w:p w:rsidR="0095515C" w:rsidRPr="00F7263B" w:rsidRDefault="0095515C" w:rsidP="006E6935">
            <w:pPr>
              <w:rPr>
                <w:rFonts w:cs="Times New Roman"/>
                <w:sz w:val="20"/>
                <w:szCs w:val="20"/>
              </w:rPr>
            </w:pPr>
          </w:p>
        </w:tc>
      </w:tr>
      <w:tr w:rsidR="0095515C" w:rsidRPr="00F7263B">
        <w:tc>
          <w:tcPr>
            <w:tcW w:w="105" w:type="pct"/>
          </w:tcPr>
          <w:p w:rsidR="0095515C" w:rsidRPr="00F7263B" w:rsidRDefault="0095515C" w:rsidP="006E6935">
            <w:pPr>
              <w:rPr>
                <w:rFonts w:cs="Times New Roman"/>
                <w:sz w:val="20"/>
                <w:szCs w:val="20"/>
              </w:rPr>
            </w:pPr>
            <w:r w:rsidRPr="00F7263B">
              <w:rPr>
                <w:rFonts w:cs="Times New Roman"/>
                <w:sz w:val="20"/>
                <w:szCs w:val="20"/>
              </w:rPr>
              <w:lastRenderedPageBreak/>
              <w:t>9</w:t>
            </w:r>
          </w:p>
        </w:tc>
        <w:tc>
          <w:tcPr>
            <w:tcW w:w="516" w:type="pct"/>
          </w:tcPr>
          <w:p w:rsidR="0095515C" w:rsidRPr="00F7263B" w:rsidRDefault="0095515C" w:rsidP="006E6935">
            <w:pPr>
              <w:rPr>
                <w:rFonts w:cs="Times New Roman"/>
                <w:sz w:val="20"/>
                <w:szCs w:val="20"/>
              </w:rPr>
            </w:pPr>
            <w:r w:rsidRPr="00F7263B">
              <w:rPr>
                <w:rFonts w:cs="Times New Roman"/>
                <w:sz w:val="20"/>
                <w:szCs w:val="20"/>
              </w:rPr>
              <w:t>Timely completion ofProgram annual performance assessments (APA) and Value for the Money Audits (</w:t>
            </w:r>
            <w:r w:rsidR="00892250" w:rsidRPr="00F7263B">
              <w:rPr>
                <w:rFonts w:cs="Times New Roman"/>
                <w:sz w:val="20"/>
                <w:szCs w:val="20"/>
              </w:rPr>
              <w:t>value for money</w:t>
            </w:r>
            <w:r w:rsidRPr="00F7263B">
              <w:rPr>
                <w:rFonts w:cs="Times New Roman"/>
                <w:sz w:val="20"/>
                <w:szCs w:val="20"/>
              </w:rPr>
              <w:t>)</w:t>
            </w:r>
          </w:p>
          <w:p w:rsidR="0095515C" w:rsidRPr="00F7263B" w:rsidRDefault="0095515C" w:rsidP="006E6935">
            <w:pPr>
              <w:rPr>
                <w:rFonts w:cs="Times New Roman"/>
                <w:sz w:val="20"/>
                <w:szCs w:val="20"/>
              </w:rPr>
            </w:pPr>
          </w:p>
          <w:p w:rsidR="0095515C" w:rsidRPr="00F7263B" w:rsidRDefault="0095515C" w:rsidP="006E6935">
            <w:pPr>
              <w:rPr>
                <w:rFonts w:cs="Times New Roman"/>
                <w:sz w:val="20"/>
                <w:szCs w:val="20"/>
              </w:rPr>
            </w:pPr>
          </w:p>
        </w:tc>
        <w:tc>
          <w:tcPr>
            <w:tcW w:w="888" w:type="pct"/>
          </w:tcPr>
          <w:p w:rsidR="0095515C" w:rsidRPr="00F7263B" w:rsidRDefault="0095515C" w:rsidP="00157692">
            <w:pPr>
              <w:rPr>
                <w:rFonts w:cs="Times New Roman"/>
                <w:sz w:val="20"/>
                <w:szCs w:val="20"/>
              </w:rPr>
            </w:pPr>
            <w:r w:rsidRPr="00F7263B">
              <w:rPr>
                <w:rFonts w:cs="Times New Roman"/>
                <w:sz w:val="20"/>
                <w:szCs w:val="20"/>
              </w:rPr>
              <w:t xml:space="preserve">Achievement of this DLI will be determined on the basis of </w:t>
            </w:r>
            <w:r w:rsidR="00157692" w:rsidRPr="00F7263B">
              <w:rPr>
                <w:rFonts w:cs="Times New Roman"/>
                <w:sz w:val="20"/>
                <w:szCs w:val="20"/>
              </w:rPr>
              <w:t>completion of</w:t>
            </w:r>
            <w:r w:rsidRPr="00F7263B">
              <w:rPr>
                <w:rFonts w:cs="Times New Roman"/>
                <w:sz w:val="20"/>
                <w:szCs w:val="20"/>
              </w:rPr>
              <w:t xml:space="preserve"> APA by </w:t>
            </w:r>
            <w:r w:rsidR="000D21B2" w:rsidRPr="00F7263B">
              <w:rPr>
                <w:rFonts w:cs="Times New Roman"/>
                <w:sz w:val="20"/>
                <w:szCs w:val="20"/>
              </w:rPr>
              <w:t>June</w:t>
            </w:r>
            <w:r w:rsidRPr="00F7263B">
              <w:rPr>
                <w:rFonts w:cs="Times New Roman"/>
                <w:sz w:val="20"/>
                <w:szCs w:val="20"/>
              </w:rPr>
              <w:t xml:space="preserve"> 201</w:t>
            </w:r>
            <w:r w:rsidR="00C9220A" w:rsidRPr="00F7263B">
              <w:rPr>
                <w:rFonts w:cs="Times New Roman"/>
                <w:sz w:val="20"/>
                <w:szCs w:val="20"/>
              </w:rPr>
              <w:t>4</w:t>
            </w:r>
            <w:r w:rsidRPr="00F7263B">
              <w:rPr>
                <w:rFonts w:cs="Times New Roman"/>
                <w:sz w:val="20"/>
                <w:szCs w:val="20"/>
              </w:rPr>
              <w:t xml:space="preserve"> in the first Program year, and then by</w:t>
            </w:r>
            <w:r w:rsidR="00157692" w:rsidRPr="00F7263B">
              <w:rPr>
                <w:rFonts w:cs="Times New Roman"/>
                <w:sz w:val="20"/>
                <w:szCs w:val="20"/>
              </w:rPr>
              <w:t xml:space="preserve"> November with incorporation of the audit results inJanuary</w:t>
            </w:r>
            <w:r w:rsidRPr="00F7263B">
              <w:rPr>
                <w:rFonts w:cs="Times New Roman"/>
                <w:sz w:val="20"/>
                <w:szCs w:val="20"/>
              </w:rPr>
              <w:t xml:space="preserve"> of each year thereafter, by</w:t>
            </w:r>
            <w:r w:rsidR="00830508" w:rsidRPr="00F7263B">
              <w:rPr>
                <w:rFonts w:cs="Times New Roman"/>
                <w:sz w:val="20"/>
                <w:szCs w:val="20"/>
              </w:rPr>
              <w:t>MUDHCo</w:t>
            </w:r>
            <w:r w:rsidRPr="00F7263B">
              <w:rPr>
                <w:rFonts w:cs="Times New Roman"/>
                <w:sz w:val="20"/>
                <w:szCs w:val="20"/>
              </w:rPr>
              <w:t xml:space="preserve">. Starting in year three of the Program, </w:t>
            </w:r>
            <w:r w:rsidR="00830508" w:rsidRPr="00F7263B">
              <w:rPr>
                <w:rFonts w:cs="Times New Roman"/>
                <w:sz w:val="20"/>
                <w:szCs w:val="20"/>
              </w:rPr>
              <w:t>MUDHCo</w:t>
            </w:r>
            <w:r w:rsidRPr="00F7263B">
              <w:rPr>
                <w:rFonts w:cs="Times New Roman"/>
                <w:sz w:val="20"/>
                <w:szCs w:val="20"/>
              </w:rPr>
              <w:t xml:space="preserve"> will also launch the </w:t>
            </w:r>
            <w:r w:rsidR="00892250" w:rsidRPr="00F7263B">
              <w:rPr>
                <w:rFonts w:cs="Times New Roman"/>
                <w:sz w:val="20"/>
                <w:szCs w:val="20"/>
              </w:rPr>
              <w:t>value for money</w:t>
            </w:r>
            <w:r w:rsidRPr="00F7263B">
              <w:rPr>
                <w:rFonts w:cs="Times New Roman"/>
                <w:sz w:val="20"/>
                <w:szCs w:val="20"/>
              </w:rPr>
              <w:t xml:space="preserve"> audits, by August of each year to feed into the APA cycle.</w:t>
            </w:r>
          </w:p>
        </w:tc>
        <w:tc>
          <w:tcPr>
            <w:tcW w:w="375" w:type="pct"/>
          </w:tcPr>
          <w:p w:rsidR="0095515C" w:rsidRPr="00F7263B" w:rsidRDefault="0095515C" w:rsidP="006E6935">
            <w:pPr>
              <w:rPr>
                <w:rFonts w:cs="Times New Roman"/>
                <w:sz w:val="20"/>
                <w:szCs w:val="20"/>
              </w:rPr>
            </w:pPr>
            <w:r w:rsidRPr="00F7263B">
              <w:rPr>
                <w:rFonts w:cs="Times New Roman"/>
                <w:sz w:val="20"/>
                <w:szCs w:val="20"/>
              </w:rPr>
              <w:t>Yes</w:t>
            </w:r>
          </w:p>
        </w:tc>
        <w:tc>
          <w:tcPr>
            <w:tcW w:w="650" w:type="pct"/>
          </w:tcPr>
          <w:p w:rsidR="0095515C" w:rsidRPr="00F7263B" w:rsidRDefault="0095515C" w:rsidP="006E6935">
            <w:pPr>
              <w:rPr>
                <w:rFonts w:cs="Times New Roman"/>
                <w:sz w:val="20"/>
                <w:szCs w:val="20"/>
              </w:rPr>
            </w:pPr>
            <w:r w:rsidRPr="00F7263B">
              <w:rPr>
                <w:rFonts w:cs="Times New Roman"/>
                <w:sz w:val="20"/>
                <w:szCs w:val="20"/>
              </w:rPr>
              <w:t xml:space="preserve">Documentation showing that the APA, and later in the Program, the </w:t>
            </w:r>
            <w:r w:rsidR="00892250" w:rsidRPr="00F7263B">
              <w:rPr>
                <w:rFonts w:cs="Times New Roman"/>
                <w:sz w:val="20"/>
                <w:szCs w:val="20"/>
              </w:rPr>
              <w:t>value for money</w:t>
            </w:r>
            <w:r w:rsidRPr="00F7263B">
              <w:rPr>
                <w:rFonts w:cs="Times New Roman"/>
                <w:sz w:val="20"/>
                <w:szCs w:val="20"/>
              </w:rPr>
              <w:t xml:space="preserve">s have been launched and completed on time. </w:t>
            </w:r>
          </w:p>
        </w:tc>
        <w:tc>
          <w:tcPr>
            <w:tcW w:w="935" w:type="pct"/>
          </w:tcPr>
          <w:p w:rsidR="0095515C" w:rsidRPr="00F7263B" w:rsidRDefault="00276BC8" w:rsidP="006E6935">
            <w:pPr>
              <w:rPr>
                <w:rFonts w:cs="Times New Roman"/>
                <w:sz w:val="20"/>
                <w:szCs w:val="20"/>
              </w:rPr>
            </w:pPr>
            <w:r w:rsidRPr="00F7263B">
              <w:rPr>
                <w:rFonts w:cs="Times New Roman"/>
                <w:sz w:val="20"/>
                <w:szCs w:val="20"/>
              </w:rPr>
              <w:t>MUDHCo</w:t>
            </w:r>
            <w:r w:rsidR="0095515C" w:rsidRPr="00F7263B">
              <w:rPr>
                <w:rFonts w:cs="Times New Roman"/>
                <w:sz w:val="20"/>
                <w:szCs w:val="20"/>
              </w:rPr>
              <w:t xml:space="preserve"> provides information and documentation to the World Bank, which verifies. The Bank will have the right to join the APA and/or </w:t>
            </w:r>
            <w:r w:rsidR="00892250" w:rsidRPr="00F7263B">
              <w:rPr>
                <w:rFonts w:cs="Times New Roman"/>
                <w:sz w:val="20"/>
                <w:szCs w:val="20"/>
              </w:rPr>
              <w:t>value for money</w:t>
            </w:r>
            <w:r w:rsidR="0095515C" w:rsidRPr="00F7263B">
              <w:rPr>
                <w:rFonts w:cs="Times New Roman"/>
                <w:sz w:val="20"/>
                <w:szCs w:val="20"/>
              </w:rPr>
              <w:t xml:space="preserve"> audits in the field, as part of its implementation support. </w:t>
            </w:r>
          </w:p>
        </w:tc>
        <w:tc>
          <w:tcPr>
            <w:tcW w:w="1531" w:type="pct"/>
          </w:tcPr>
          <w:p w:rsidR="0095515C" w:rsidRPr="00F7263B" w:rsidRDefault="0095515C" w:rsidP="006E6935">
            <w:pPr>
              <w:rPr>
                <w:rFonts w:cs="Times New Roman"/>
                <w:sz w:val="20"/>
                <w:szCs w:val="20"/>
              </w:rPr>
            </w:pPr>
            <w:r w:rsidRPr="00F7263B">
              <w:rPr>
                <w:rFonts w:cs="Times New Roman"/>
                <w:sz w:val="20"/>
                <w:szCs w:val="20"/>
              </w:rPr>
              <w:t xml:space="preserve">World Bank will review the compliance of the timeliness of the APA and later of the </w:t>
            </w:r>
            <w:r w:rsidR="00892250" w:rsidRPr="00F7263B">
              <w:rPr>
                <w:rFonts w:cs="Times New Roman"/>
                <w:sz w:val="20"/>
                <w:szCs w:val="20"/>
              </w:rPr>
              <w:t>value for money</w:t>
            </w:r>
            <w:r w:rsidRPr="00F7263B">
              <w:rPr>
                <w:rFonts w:cs="Times New Roman"/>
                <w:sz w:val="20"/>
                <w:szCs w:val="20"/>
              </w:rPr>
              <w:t>, with the following timeline</w:t>
            </w:r>
            <w:r w:rsidR="00311545" w:rsidRPr="00F7263B">
              <w:rPr>
                <w:rFonts w:cs="Times New Roman"/>
                <w:sz w:val="20"/>
                <w:szCs w:val="20"/>
              </w:rPr>
              <w:t>:</w:t>
            </w:r>
          </w:p>
          <w:p w:rsidR="0095515C" w:rsidRPr="00F7263B" w:rsidRDefault="0095515C" w:rsidP="006E6935">
            <w:pPr>
              <w:rPr>
                <w:rFonts w:cs="Times New Roman"/>
                <w:b/>
                <w:sz w:val="20"/>
                <w:szCs w:val="20"/>
              </w:rPr>
            </w:pPr>
            <w:r w:rsidRPr="00F7263B">
              <w:rPr>
                <w:rFonts w:cs="Times New Roman"/>
                <w:b/>
                <w:sz w:val="20"/>
                <w:szCs w:val="20"/>
              </w:rPr>
              <w:t>APA</w:t>
            </w:r>
          </w:p>
          <w:p w:rsidR="0095515C" w:rsidRPr="00F7263B" w:rsidRDefault="0095515C" w:rsidP="006E6935">
            <w:pPr>
              <w:rPr>
                <w:rFonts w:cs="Times New Roman"/>
                <w:sz w:val="20"/>
                <w:szCs w:val="20"/>
              </w:rPr>
            </w:pPr>
            <w:r w:rsidRPr="00F7263B">
              <w:rPr>
                <w:rFonts w:cs="Times New Roman"/>
                <w:sz w:val="20"/>
                <w:szCs w:val="20"/>
              </w:rPr>
              <w:t>For Program year one</w:t>
            </w:r>
            <w:r w:rsidR="000D21B2" w:rsidRPr="00F7263B">
              <w:rPr>
                <w:rFonts w:cs="Times New Roman"/>
                <w:sz w:val="20"/>
                <w:szCs w:val="20"/>
              </w:rPr>
              <w:t>:</w:t>
            </w:r>
            <w:r w:rsidRPr="00F7263B">
              <w:rPr>
                <w:rFonts w:cs="Times New Roman"/>
                <w:sz w:val="20"/>
                <w:szCs w:val="20"/>
              </w:rPr>
              <w:t>completed by June 201</w:t>
            </w:r>
            <w:r w:rsidR="00C9220A" w:rsidRPr="00F7263B">
              <w:rPr>
                <w:rFonts w:cs="Times New Roman"/>
                <w:sz w:val="20"/>
                <w:szCs w:val="20"/>
              </w:rPr>
              <w:t>4</w:t>
            </w:r>
            <w:r w:rsidRPr="00F7263B">
              <w:rPr>
                <w:rFonts w:cs="Times New Roman"/>
                <w:sz w:val="20"/>
                <w:szCs w:val="20"/>
              </w:rPr>
              <w:t xml:space="preserve">. </w:t>
            </w:r>
          </w:p>
          <w:p w:rsidR="0095515C" w:rsidRPr="00F7263B" w:rsidRDefault="0095515C" w:rsidP="006E6935">
            <w:pPr>
              <w:rPr>
                <w:rFonts w:cs="Times New Roman"/>
                <w:sz w:val="20"/>
                <w:szCs w:val="20"/>
              </w:rPr>
            </w:pPr>
            <w:r w:rsidRPr="00F7263B">
              <w:rPr>
                <w:rFonts w:cs="Times New Roman"/>
                <w:sz w:val="20"/>
                <w:szCs w:val="20"/>
              </w:rPr>
              <w:t>For subsequent Program years</w:t>
            </w:r>
            <w:r w:rsidR="00311545" w:rsidRPr="00F7263B">
              <w:rPr>
                <w:rFonts w:cs="Times New Roman"/>
                <w:sz w:val="20"/>
                <w:szCs w:val="20"/>
              </w:rPr>
              <w:t>,</w:t>
            </w:r>
            <w:r w:rsidRPr="00F7263B">
              <w:rPr>
                <w:rFonts w:cs="Times New Roman"/>
                <w:sz w:val="20"/>
                <w:szCs w:val="20"/>
              </w:rPr>
              <w:t xml:space="preserve"> APA to be completed by November of the same year</w:t>
            </w:r>
            <w:r w:rsidR="00431C04" w:rsidRPr="00F7263B">
              <w:rPr>
                <w:rFonts w:cs="Times New Roman"/>
                <w:sz w:val="20"/>
                <w:szCs w:val="20"/>
              </w:rPr>
              <w:t xml:space="preserve"> with incorporation of audit results in January prior to the </w:t>
            </w:r>
            <w:r w:rsidR="00AF73B3" w:rsidRPr="00F7263B">
              <w:rPr>
                <w:rFonts w:cs="Times New Roman"/>
                <w:sz w:val="20"/>
                <w:szCs w:val="20"/>
              </w:rPr>
              <w:t xml:space="preserve">financial year </w:t>
            </w:r>
            <w:r w:rsidR="00431C04" w:rsidRPr="00F7263B">
              <w:rPr>
                <w:rFonts w:cs="Times New Roman"/>
                <w:sz w:val="20"/>
                <w:szCs w:val="20"/>
              </w:rPr>
              <w:t>for which the results will impact</w:t>
            </w:r>
            <w:r w:rsidRPr="00F7263B">
              <w:rPr>
                <w:rFonts w:cs="Times New Roman"/>
                <w:sz w:val="20"/>
                <w:szCs w:val="20"/>
              </w:rPr>
              <w:t xml:space="preserve">. </w:t>
            </w:r>
          </w:p>
          <w:p w:rsidR="00311545" w:rsidRPr="00F7263B" w:rsidRDefault="00311545" w:rsidP="006E6935">
            <w:pPr>
              <w:rPr>
                <w:rFonts w:cs="Times New Roman"/>
                <w:b/>
                <w:sz w:val="20"/>
                <w:szCs w:val="20"/>
              </w:rPr>
            </w:pPr>
          </w:p>
          <w:p w:rsidR="0095515C" w:rsidRPr="00F7263B" w:rsidRDefault="00311545" w:rsidP="006E6935">
            <w:pPr>
              <w:rPr>
                <w:rFonts w:cs="Times New Roman"/>
                <w:b/>
                <w:sz w:val="20"/>
                <w:szCs w:val="20"/>
              </w:rPr>
            </w:pPr>
            <w:r w:rsidRPr="00F7263B">
              <w:rPr>
                <w:rFonts w:cs="Times New Roman"/>
                <w:b/>
                <w:sz w:val="20"/>
                <w:szCs w:val="20"/>
              </w:rPr>
              <w:t xml:space="preserve">Value </w:t>
            </w:r>
            <w:r w:rsidR="00892250" w:rsidRPr="00F7263B">
              <w:rPr>
                <w:rFonts w:cs="Times New Roman"/>
                <w:b/>
                <w:sz w:val="20"/>
                <w:szCs w:val="20"/>
              </w:rPr>
              <w:t>for money</w:t>
            </w:r>
          </w:p>
          <w:p w:rsidR="0095515C" w:rsidRPr="00F7263B" w:rsidRDefault="0095515C" w:rsidP="006E6935">
            <w:pPr>
              <w:rPr>
                <w:rFonts w:cs="Times New Roman"/>
                <w:sz w:val="20"/>
                <w:szCs w:val="20"/>
              </w:rPr>
            </w:pPr>
            <w:r w:rsidRPr="00F7263B">
              <w:rPr>
                <w:rFonts w:cs="Times New Roman"/>
                <w:sz w:val="20"/>
                <w:szCs w:val="20"/>
              </w:rPr>
              <w:t xml:space="preserve">Starting on August 2015 to be completed by November 2015 and the same timeline thereafter for each year.  </w:t>
            </w:r>
          </w:p>
        </w:tc>
      </w:tr>
    </w:tbl>
    <w:p w:rsidR="004A08DC" w:rsidRPr="00F7263B" w:rsidRDefault="001D2940" w:rsidP="00254260">
      <w:pPr>
        <w:spacing w:after="60"/>
        <w:jc w:val="both"/>
        <w:rPr>
          <w:rFonts w:eastAsia="Times New Roman" w:cs="Times New Roman"/>
          <w:b/>
          <w:spacing w:val="4"/>
          <w:sz w:val="20"/>
          <w:szCs w:val="20"/>
        </w:rPr>
      </w:pPr>
      <w:r w:rsidRPr="00F7263B">
        <w:rPr>
          <w:rFonts w:cs="Times New Roman"/>
          <w:sz w:val="20"/>
          <w:szCs w:val="20"/>
        </w:rPr>
        <w:br w:type="page"/>
      </w:r>
      <w:bookmarkStart w:id="49" w:name="_Toc327359824"/>
      <w:r w:rsidR="004A08DC" w:rsidRPr="00F7263B">
        <w:rPr>
          <w:rFonts w:eastAsia="Times New Roman" w:cs="Times New Roman"/>
          <w:b/>
          <w:spacing w:val="4"/>
          <w:sz w:val="20"/>
          <w:szCs w:val="20"/>
        </w:rPr>
        <w:lastRenderedPageBreak/>
        <w:t>Bank Disbursement Table</w:t>
      </w:r>
      <w:bookmarkEnd w:id="49"/>
    </w:p>
    <w:tbl>
      <w:tblPr>
        <w:tblStyle w:val="TableGrid"/>
        <w:tblW w:w="14157" w:type="dxa"/>
        <w:tblInd w:w="-459" w:type="dxa"/>
        <w:tblLayout w:type="fixed"/>
        <w:tblLook w:val="04A0" w:firstRow="1" w:lastRow="0" w:firstColumn="1" w:lastColumn="0" w:noHBand="0" w:noVBand="1"/>
      </w:tblPr>
      <w:tblGrid>
        <w:gridCol w:w="567"/>
        <w:gridCol w:w="1276"/>
        <w:gridCol w:w="1064"/>
        <w:gridCol w:w="810"/>
        <w:gridCol w:w="900"/>
        <w:gridCol w:w="1260"/>
        <w:gridCol w:w="1080"/>
        <w:gridCol w:w="1800"/>
        <w:gridCol w:w="5400"/>
      </w:tblGrid>
      <w:tr w:rsidR="001A6EB7" w:rsidRPr="00F7263B" w:rsidTr="00254260">
        <w:trPr>
          <w:trHeight w:hRule="exact" w:val="847"/>
          <w:tblHeader/>
        </w:trPr>
        <w:tc>
          <w:tcPr>
            <w:tcW w:w="567" w:type="dxa"/>
            <w:vMerge w:val="restart"/>
            <w:shd w:val="clear" w:color="auto" w:fill="BFBFBF" w:themeFill="background1" w:themeFillShade="BF"/>
          </w:tcPr>
          <w:p w:rsidR="001A6EB7" w:rsidRPr="00F7263B" w:rsidRDefault="001A6EB7" w:rsidP="00F45E4C">
            <w:pPr>
              <w:pStyle w:val="MainParanoChapter-Ch3"/>
              <w:numPr>
                <w:ilvl w:val="0"/>
                <w:numId w:val="0"/>
              </w:numPr>
              <w:spacing w:before="0"/>
              <w:jc w:val="center"/>
              <w:rPr>
                <w:sz w:val="20"/>
                <w:szCs w:val="20"/>
              </w:rPr>
            </w:pPr>
            <w:bookmarkStart w:id="50" w:name="_Toc327359825"/>
            <w:r w:rsidRPr="00F7263B">
              <w:rPr>
                <w:sz w:val="20"/>
                <w:szCs w:val="20"/>
              </w:rPr>
              <w:t>#</w:t>
            </w:r>
            <w:bookmarkEnd w:id="50"/>
          </w:p>
        </w:tc>
        <w:tc>
          <w:tcPr>
            <w:tcW w:w="1276" w:type="dxa"/>
            <w:vMerge w:val="restart"/>
            <w:shd w:val="clear" w:color="auto" w:fill="BFBFBF" w:themeFill="background1" w:themeFillShade="BF"/>
            <w:vAlign w:val="center"/>
          </w:tcPr>
          <w:p w:rsidR="001A6EB7" w:rsidRPr="00F7263B" w:rsidRDefault="001A6EB7" w:rsidP="00F45E4C">
            <w:pPr>
              <w:pStyle w:val="MainParanoChapter-Ch3"/>
              <w:numPr>
                <w:ilvl w:val="0"/>
                <w:numId w:val="0"/>
              </w:numPr>
              <w:spacing w:before="0"/>
              <w:jc w:val="center"/>
              <w:rPr>
                <w:b/>
                <w:sz w:val="20"/>
                <w:szCs w:val="20"/>
              </w:rPr>
            </w:pPr>
            <w:bookmarkStart w:id="51" w:name="_Toc327359826"/>
            <w:r w:rsidRPr="00F7263B">
              <w:rPr>
                <w:b/>
                <w:sz w:val="20"/>
                <w:szCs w:val="20"/>
              </w:rPr>
              <w:t>DLI</w:t>
            </w:r>
            <w:bookmarkEnd w:id="51"/>
          </w:p>
        </w:tc>
        <w:tc>
          <w:tcPr>
            <w:tcW w:w="1064" w:type="dxa"/>
            <w:vMerge w:val="restart"/>
            <w:shd w:val="clear" w:color="auto" w:fill="BFBFBF" w:themeFill="background1" w:themeFillShade="BF"/>
          </w:tcPr>
          <w:p w:rsidR="001A6EB7" w:rsidRPr="00F7263B" w:rsidRDefault="001A6EB7" w:rsidP="00F45E4C">
            <w:pPr>
              <w:pStyle w:val="MainParanoChapter-Ch3"/>
              <w:numPr>
                <w:ilvl w:val="0"/>
                <w:numId w:val="0"/>
              </w:numPr>
              <w:spacing w:before="0"/>
              <w:jc w:val="center"/>
              <w:rPr>
                <w:b/>
                <w:sz w:val="20"/>
                <w:szCs w:val="20"/>
              </w:rPr>
            </w:pPr>
            <w:bookmarkStart w:id="52" w:name="_Toc327359827"/>
            <w:r w:rsidRPr="00F7263B">
              <w:rPr>
                <w:b/>
                <w:sz w:val="20"/>
                <w:szCs w:val="20"/>
              </w:rPr>
              <w:t xml:space="preserve">Bank financing allocated to the </w:t>
            </w:r>
            <w:bookmarkEnd w:id="52"/>
            <w:r w:rsidRPr="00F7263B">
              <w:rPr>
                <w:b/>
                <w:sz w:val="20"/>
                <w:szCs w:val="20"/>
              </w:rPr>
              <w:t>DLI (M US</w:t>
            </w:r>
            <w:r w:rsidR="00382E0F" w:rsidRPr="00F7263B">
              <w:rPr>
                <w:b/>
                <w:sz w:val="20"/>
                <w:szCs w:val="20"/>
              </w:rPr>
              <w:t>$</w:t>
            </w:r>
            <w:r w:rsidRPr="00F7263B">
              <w:rPr>
                <w:b/>
                <w:sz w:val="20"/>
                <w:szCs w:val="20"/>
              </w:rPr>
              <w:t>)</w:t>
            </w:r>
          </w:p>
          <w:p w:rsidR="001A6EB7" w:rsidRPr="00F7263B" w:rsidRDefault="001A6EB7" w:rsidP="00F45E4C">
            <w:pPr>
              <w:pStyle w:val="MainParanoChapter-Ch3"/>
              <w:numPr>
                <w:ilvl w:val="0"/>
                <w:numId w:val="0"/>
              </w:numPr>
              <w:spacing w:before="0"/>
              <w:jc w:val="center"/>
              <w:rPr>
                <w:b/>
                <w:sz w:val="20"/>
                <w:szCs w:val="20"/>
              </w:rPr>
            </w:pPr>
          </w:p>
        </w:tc>
        <w:tc>
          <w:tcPr>
            <w:tcW w:w="1710" w:type="dxa"/>
            <w:gridSpan w:val="2"/>
            <w:tcBorders>
              <w:bottom w:val="single" w:sz="4" w:space="0" w:color="auto"/>
            </w:tcBorders>
            <w:shd w:val="clear" w:color="auto" w:fill="BFBFBF" w:themeFill="background1" w:themeFillShade="BF"/>
          </w:tcPr>
          <w:p w:rsidR="001A6EB7" w:rsidRPr="00F7263B" w:rsidRDefault="001A6EB7" w:rsidP="00F45E4C">
            <w:pPr>
              <w:pStyle w:val="MainParanoChapter-Ch3"/>
              <w:numPr>
                <w:ilvl w:val="0"/>
                <w:numId w:val="0"/>
              </w:numPr>
              <w:spacing w:before="0"/>
              <w:jc w:val="center"/>
              <w:rPr>
                <w:b/>
                <w:sz w:val="20"/>
                <w:szCs w:val="20"/>
              </w:rPr>
            </w:pPr>
            <w:bookmarkStart w:id="53" w:name="_Toc327359828"/>
            <w:r w:rsidRPr="00F7263B">
              <w:rPr>
                <w:b/>
                <w:sz w:val="20"/>
                <w:szCs w:val="20"/>
              </w:rPr>
              <w:t>Of which Financing available for</w:t>
            </w:r>
            <w:bookmarkEnd w:id="53"/>
          </w:p>
        </w:tc>
        <w:tc>
          <w:tcPr>
            <w:tcW w:w="1260" w:type="dxa"/>
            <w:vMerge w:val="restart"/>
            <w:shd w:val="clear" w:color="auto" w:fill="BFBFBF" w:themeFill="background1" w:themeFillShade="BF"/>
          </w:tcPr>
          <w:p w:rsidR="001A6EB7" w:rsidRPr="00F7263B" w:rsidRDefault="001A6EB7" w:rsidP="00F45E4C">
            <w:pPr>
              <w:pStyle w:val="MainParanoChapter-Ch3"/>
              <w:numPr>
                <w:ilvl w:val="0"/>
                <w:numId w:val="0"/>
              </w:numPr>
              <w:spacing w:before="0"/>
              <w:jc w:val="center"/>
              <w:rPr>
                <w:b/>
                <w:sz w:val="20"/>
                <w:szCs w:val="20"/>
              </w:rPr>
            </w:pPr>
            <w:bookmarkStart w:id="54" w:name="_Toc327359829"/>
            <w:r w:rsidRPr="00F7263B">
              <w:rPr>
                <w:b/>
                <w:sz w:val="20"/>
                <w:szCs w:val="20"/>
              </w:rPr>
              <w:t>Deadline for DLI Achieve</w:t>
            </w:r>
            <w:r w:rsidR="006F0A69" w:rsidRPr="00F7263B">
              <w:rPr>
                <w:b/>
                <w:sz w:val="20"/>
                <w:szCs w:val="20"/>
              </w:rPr>
              <w:t>-</w:t>
            </w:r>
            <w:r w:rsidRPr="00F7263B">
              <w:rPr>
                <w:b/>
                <w:sz w:val="20"/>
                <w:szCs w:val="20"/>
              </w:rPr>
              <w:t>men</w:t>
            </w:r>
            <w:bookmarkEnd w:id="54"/>
            <w:r w:rsidRPr="00F7263B">
              <w:rPr>
                <w:b/>
                <w:sz w:val="20"/>
                <w:szCs w:val="20"/>
              </w:rPr>
              <w:t>t</w:t>
            </w:r>
          </w:p>
        </w:tc>
        <w:tc>
          <w:tcPr>
            <w:tcW w:w="1080" w:type="dxa"/>
            <w:vMerge w:val="restart"/>
            <w:shd w:val="clear" w:color="auto" w:fill="BFBFBF" w:themeFill="background1" w:themeFillShade="BF"/>
            <w:vAlign w:val="center"/>
          </w:tcPr>
          <w:p w:rsidR="001A6EB7" w:rsidRPr="00F7263B" w:rsidRDefault="001A6EB7" w:rsidP="00F45E4C">
            <w:pPr>
              <w:pStyle w:val="MainParanoChapter-Ch3"/>
              <w:numPr>
                <w:ilvl w:val="0"/>
                <w:numId w:val="0"/>
              </w:numPr>
              <w:spacing w:before="0"/>
              <w:jc w:val="center"/>
              <w:rPr>
                <w:b/>
                <w:sz w:val="20"/>
                <w:szCs w:val="20"/>
              </w:rPr>
            </w:pPr>
            <w:bookmarkStart w:id="55" w:name="_Toc327359830"/>
            <w:r w:rsidRPr="00F7263B">
              <w:rPr>
                <w:b/>
                <w:sz w:val="20"/>
                <w:szCs w:val="20"/>
              </w:rPr>
              <w:t xml:space="preserve">Minimum DLI value to be achieved to trigger disburse-ments of Bank Financing </w:t>
            </w:r>
            <w:bookmarkEnd w:id="55"/>
          </w:p>
        </w:tc>
        <w:tc>
          <w:tcPr>
            <w:tcW w:w="1800" w:type="dxa"/>
            <w:vMerge w:val="restart"/>
            <w:shd w:val="clear" w:color="auto" w:fill="BFBFBF" w:themeFill="background1" w:themeFillShade="BF"/>
          </w:tcPr>
          <w:p w:rsidR="001A6EB7" w:rsidRPr="00F7263B" w:rsidRDefault="001A6EB7" w:rsidP="00F45E4C">
            <w:pPr>
              <w:pStyle w:val="MainParanoChapter-Ch3"/>
              <w:numPr>
                <w:ilvl w:val="0"/>
                <w:numId w:val="0"/>
              </w:numPr>
              <w:spacing w:before="0"/>
              <w:jc w:val="center"/>
              <w:rPr>
                <w:b/>
                <w:sz w:val="20"/>
                <w:szCs w:val="20"/>
              </w:rPr>
            </w:pPr>
            <w:bookmarkStart w:id="56" w:name="_Toc327359831"/>
            <w:r w:rsidRPr="00F7263B">
              <w:rPr>
                <w:b/>
                <w:sz w:val="20"/>
                <w:szCs w:val="20"/>
              </w:rPr>
              <w:t>Maximum DLI value(s) expected to be achieved for Bank disburse-ments purposes</w:t>
            </w:r>
            <w:bookmarkEnd w:id="56"/>
          </w:p>
        </w:tc>
        <w:tc>
          <w:tcPr>
            <w:tcW w:w="5400" w:type="dxa"/>
            <w:vMerge w:val="restart"/>
            <w:shd w:val="clear" w:color="auto" w:fill="BFBFBF" w:themeFill="background1" w:themeFillShade="BF"/>
          </w:tcPr>
          <w:p w:rsidR="001A6EB7" w:rsidRPr="00F7263B" w:rsidRDefault="001A6EB7" w:rsidP="00F45E4C">
            <w:pPr>
              <w:pStyle w:val="MainParanoChapter-Ch3"/>
              <w:numPr>
                <w:ilvl w:val="0"/>
                <w:numId w:val="0"/>
              </w:numPr>
              <w:spacing w:before="0"/>
              <w:jc w:val="center"/>
              <w:rPr>
                <w:b/>
                <w:sz w:val="20"/>
                <w:szCs w:val="20"/>
              </w:rPr>
            </w:pPr>
            <w:bookmarkStart w:id="57" w:name="_Toc327359832"/>
            <w:r w:rsidRPr="00F7263B">
              <w:rPr>
                <w:b/>
                <w:sz w:val="20"/>
                <w:szCs w:val="20"/>
              </w:rPr>
              <w:t>Determination of Financing Amount to be disbursed against achieved and verified DLI values</w:t>
            </w:r>
            <w:bookmarkEnd w:id="57"/>
          </w:p>
        </w:tc>
      </w:tr>
      <w:tr w:rsidR="001A6EB7" w:rsidRPr="00F7263B" w:rsidTr="00254260">
        <w:trPr>
          <w:trHeight w:hRule="exact" w:val="1008"/>
          <w:tblHeader/>
        </w:trPr>
        <w:tc>
          <w:tcPr>
            <w:tcW w:w="567" w:type="dxa"/>
            <w:vMerge/>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276" w:type="dxa"/>
            <w:vMerge/>
          </w:tcPr>
          <w:p w:rsidR="001A6EB7" w:rsidRPr="00F7263B" w:rsidRDefault="001A6EB7" w:rsidP="00F45E4C">
            <w:pPr>
              <w:pStyle w:val="HEADINGP4RCHAPTER"/>
              <w:tabs>
                <w:tab w:val="left" w:pos="180"/>
                <w:tab w:val="center" w:pos="6624"/>
              </w:tabs>
              <w:spacing w:before="0" w:after="0"/>
              <w:jc w:val="left"/>
              <w:outlineLvl w:val="9"/>
              <w:rPr>
                <w:b w:val="0"/>
                <w:smallCaps w:val="0"/>
                <w:sz w:val="20"/>
                <w:szCs w:val="20"/>
              </w:rPr>
            </w:pPr>
          </w:p>
        </w:tc>
        <w:tc>
          <w:tcPr>
            <w:tcW w:w="1064" w:type="dxa"/>
            <w:vMerge/>
          </w:tcPr>
          <w:p w:rsidR="001A6EB7" w:rsidRPr="00F7263B" w:rsidRDefault="001A6EB7" w:rsidP="00F45E4C">
            <w:pPr>
              <w:pStyle w:val="HEADINGP4RCHAPTER"/>
              <w:tabs>
                <w:tab w:val="left" w:pos="180"/>
                <w:tab w:val="center" w:pos="6624"/>
              </w:tabs>
              <w:spacing w:before="0" w:after="0"/>
              <w:jc w:val="left"/>
              <w:outlineLvl w:val="9"/>
              <w:rPr>
                <w:b w:val="0"/>
                <w:smallCaps w:val="0"/>
                <w:sz w:val="20"/>
                <w:szCs w:val="20"/>
              </w:rPr>
            </w:pPr>
          </w:p>
        </w:tc>
        <w:tc>
          <w:tcPr>
            <w:tcW w:w="810" w:type="dxa"/>
            <w:shd w:val="clear" w:color="auto" w:fill="BFBFBF" w:themeFill="background1" w:themeFillShade="BF"/>
          </w:tcPr>
          <w:p w:rsidR="001A6EB7" w:rsidRPr="00F7263B" w:rsidRDefault="001A6EB7" w:rsidP="00F45E4C">
            <w:pPr>
              <w:pStyle w:val="MainParanoChapter-Ch3"/>
              <w:numPr>
                <w:ilvl w:val="0"/>
                <w:numId w:val="0"/>
              </w:numPr>
              <w:spacing w:before="0"/>
              <w:jc w:val="center"/>
              <w:rPr>
                <w:b/>
                <w:sz w:val="20"/>
                <w:szCs w:val="20"/>
              </w:rPr>
            </w:pPr>
            <w:bookmarkStart w:id="58" w:name="_Toc327359833"/>
            <w:r w:rsidRPr="00F7263B">
              <w:rPr>
                <w:b/>
                <w:sz w:val="20"/>
                <w:szCs w:val="20"/>
              </w:rPr>
              <w:t>Prior results</w:t>
            </w:r>
            <w:bookmarkEnd w:id="58"/>
          </w:p>
        </w:tc>
        <w:tc>
          <w:tcPr>
            <w:tcW w:w="900" w:type="dxa"/>
            <w:shd w:val="clear" w:color="auto" w:fill="BFBFBF" w:themeFill="background1" w:themeFillShade="BF"/>
          </w:tcPr>
          <w:p w:rsidR="001A6EB7" w:rsidRPr="00F7263B" w:rsidRDefault="001A6EB7" w:rsidP="00F45E4C">
            <w:pPr>
              <w:pStyle w:val="MainParanoChapter-Ch3"/>
              <w:numPr>
                <w:ilvl w:val="0"/>
                <w:numId w:val="0"/>
              </w:numPr>
              <w:spacing w:before="0"/>
              <w:jc w:val="center"/>
              <w:rPr>
                <w:b/>
                <w:sz w:val="20"/>
                <w:szCs w:val="20"/>
              </w:rPr>
            </w:pPr>
            <w:bookmarkStart w:id="59" w:name="_Toc327359834"/>
            <w:r w:rsidRPr="00F7263B">
              <w:rPr>
                <w:b/>
                <w:sz w:val="20"/>
                <w:szCs w:val="20"/>
              </w:rPr>
              <w:t>Advan</w:t>
            </w:r>
            <w:r w:rsidR="00311545" w:rsidRPr="00F7263B">
              <w:rPr>
                <w:b/>
                <w:sz w:val="20"/>
                <w:szCs w:val="20"/>
              </w:rPr>
              <w:t>-</w:t>
            </w:r>
            <w:r w:rsidRPr="00F7263B">
              <w:rPr>
                <w:b/>
                <w:sz w:val="20"/>
                <w:szCs w:val="20"/>
              </w:rPr>
              <w:t>ces</w:t>
            </w:r>
            <w:bookmarkEnd w:id="59"/>
          </w:p>
        </w:tc>
        <w:tc>
          <w:tcPr>
            <w:tcW w:w="1260" w:type="dxa"/>
            <w:vMerge/>
          </w:tcPr>
          <w:p w:rsidR="001A6EB7" w:rsidRPr="00F7263B" w:rsidRDefault="001A6EB7" w:rsidP="00F45E4C">
            <w:pPr>
              <w:pStyle w:val="HEADINGP4RCHAPTER"/>
              <w:tabs>
                <w:tab w:val="left" w:pos="180"/>
                <w:tab w:val="center" w:pos="6624"/>
              </w:tabs>
              <w:spacing w:before="0" w:after="0"/>
              <w:jc w:val="left"/>
              <w:outlineLvl w:val="9"/>
              <w:rPr>
                <w:b w:val="0"/>
                <w:smallCaps w:val="0"/>
                <w:sz w:val="20"/>
                <w:szCs w:val="20"/>
              </w:rPr>
            </w:pPr>
          </w:p>
        </w:tc>
        <w:tc>
          <w:tcPr>
            <w:tcW w:w="1080" w:type="dxa"/>
            <w:vMerge/>
          </w:tcPr>
          <w:p w:rsidR="001A6EB7" w:rsidRPr="00F7263B" w:rsidRDefault="001A6EB7" w:rsidP="00F45E4C">
            <w:pPr>
              <w:pStyle w:val="HEADINGP4RCHAPTER"/>
              <w:tabs>
                <w:tab w:val="left" w:pos="180"/>
                <w:tab w:val="center" w:pos="6624"/>
              </w:tabs>
              <w:spacing w:before="0" w:after="0"/>
              <w:jc w:val="left"/>
              <w:outlineLvl w:val="9"/>
              <w:rPr>
                <w:b w:val="0"/>
                <w:smallCaps w:val="0"/>
                <w:sz w:val="20"/>
                <w:szCs w:val="20"/>
              </w:rPr>
            </w:pPr>
          </w:p>
        </w:tc>
        <w:tc>
          <w:tcPr>
            <w:tcW w:w="1800" w:type="dxa"/>
            <w:vMerge/>
          </w:tcPr>
          <w:p w:rsidR="001A6EB7" w:rsidRPr="00F7263B" w:rsidRDefault="001A6EB7" w:rsidP="00F45E4C">
            <w:pPr>
              <w:pStyle w:val="HEADINGP4RCHAPTER"/>
              <w:tabs>
                <w:tab w:val="left" w:pos="180"/>
                <w:tab w:val="center" w:pos="6624"/>
              </w:tabs>
              <w:spacing w:before="0" w:after="0"/>
              <w:jc w:val="left"/>
              <w:outlineLvl w:val="9"/>
              <w:rPr>
                <w:b w:val="0"/>
                <w:smallCaps w:val="0"/>
                <w:sz w:val="20"/>
                <w:szCs w:val="20"/>
              </w:rPr>
            </w:pPr>
          </w:p>
        </w:tc>
        <w:tc>
          <w:tcPr>
            <w:tcW w:w="5400" w:type="dxa"/>
            <w:vMerge/>
          </w:tcPr>
          <w:p w:rsidR="001A6EB7" w:rsidRPr="00F7263B" w:rsidRDefault="001A6EB7" w:rsidP="00F45E4C">
            <w:pPr>
              <w:pStyle w:val="HEADINGP4RCHAPTER"/>
              <w:tabs>
                <w:tab w:val="left" w:pos="180"/>
                <w:tab w:val="center" w:pos="6624"/>
              </w:tabs>
              <w:spacing w:before="0" w:after="0"/>
              <w:jc w:val="left"/>
              <w:outlineLvl w:val="9"/>
              <w:rPr>
                <w:b w:val="0"/>
                <w:smallCaps w:val="0"/>
                <w:sz w:val="20"/>
                <w:szCs w:val="20"/>
              </w:rPr>
            </w:pPr>
          </w:p>
        </w:tc>
      </w:tr>
      <w:tr w:rsidR="001A6EB7" w:rsidRPr="00F7263B" w:rsidTr="00254260">
        <w:trPr>
          <w:trHeight w:val="665"/>
        </w:trPr>
        <w:tc>
          <w:tcPr>
            <w:tcW w:w="567" w:type="dxa"/>
            <w:vAlign w:val="center"/>
          </w:tcPr>
          <w:p w:rsidR="001A6EB7" w:rsidRPr="00F7263B" w:rsidRDefault="001A6EB7" w:rsidP="00F45E4C">
            <w:pPr>
              <w:pStyle w:val="MainParanoChapter-Ch3"/>
              <w:numPr>
                <w:ilvl w:val="0"/>
                <w:numId w:val="0"/>
              </w:numPr>
              <w:spacing w:before="0"/>
              <w:jc w:val="center"/>
              <w:rPr>
                <w:sz w:val="20"/>
                <w:szCs w:val="20"/>
              </w:rPr>
            </w:pPr>
            <w:r w:rsidRPr="00F7263B">
              <w:rPr>
                <w:sz w:val="20"/>
                <w:szCs w:val="20"/>
              </w:rPr>
              <w:t>1</w:t>
            </w:r>
          </w:p>
        </w:tc>
        <w:tc>
          <w:tcPr>
            <w:tcW w:w="1276" w:type="dxa"/>
            <w:vAlign w:val="center"/>
          </w:tcPr>
          <w:p w:rsidR="001A6EB7" w:rsidRPr="00F7263B" w:rsidRDefault="001A6EB7" w:rsidP="00F45E4C">
            <w:pPr>
              <w:rPr>
                <w:rFonts w:cs="Times New Roman"/>
                <w:sz w:val="20"/>
                <w:szCs w:val="20"/>
              </w:rPr>
            </w:pPr>
            <w:r w:rsidRPr="00F7263B">
              <w:rPr>
                <w:rFonts w:cs="Times New Roman"/>
                <w:sz w:val="20"/>
                <w:szCs w:val="20"/>
              </w:rPr>
              <w:t>ULGs have achieved Program minimum conditions in the annual performance assessment (PAM)</w:t>
            </w:r>
          </w:p>
        </w:tc>
        <w:tc>
          <w:tcPr>
            <w:tcW w:w="1064"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90</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0" w:name="_Toc333301265"/>
            <w:r w:rsidRPr="00F7263B">
              <w:rPr>
                <w:b w:val="0"/>
                <w:smallCaps w:val="0"/>
                <w:sz w:val="20"/>
                <w:szCs w:val="20"/>
              </w:rPr>
              <w:t>0</w:t>
            </w:r>
            <w:bookmarkEnd w:id="60"/>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1" w:name="_Toc333301266"/>
            <w:r w:rsidRPr="00F7263B">
              <w:rPr>
                <w:b w:val="0"/>
                <w:smallCaps w:val="0"/>
                <w:sz w:val="20"/>
                <w:szCs w:val="20"/>
              </w:rPr>
              <w:t>0</w:t>
            </w:r>
            <w:bookmarkEnd w:id="61"/>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2" w:name="_Toc333301267"/>
            <w:r w:rsidRPr="00F7263B">
              <w:rPr>
                <w:b w:val="0"/>
                <w:smallCaps w:val="0"/>
                <w:sz w:val="20"/>
                <w:szCs w:val="20"/>
              </w:rPr>
              <w:t>By Program completion</w:t>
            </w:r>
            <w:bookmarkEnd w:id="62"/>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3" w:name="_Toc333301268"/>
            <w:r w:rsidRPr="00F7263B">
              <w:rPr>
                <w:b w:val="0"/>
                <w:smallCaps w:val="0"/>
                <w:sz w:val="20"/>
                <w:szCs w:val="20"/>
              </w:rPr>
              <w:t>0</w:t>
            </w:r>
            <w:bookmarkEnd w:id="63"/>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44</w:t>
            </w:r>
          </w:p>
        </w:tc>
        <w:tc>
          <w:tcPr>
            <w:tcW w:w="5400" w:type="dxa"/>
            <w:vAlign w:val="center"/>
          </w:tcPr>
          <w:p w:rsidR="001A6EB7" w:rsidRPr="00F7263B" w:rsidRDefault="001A6EB7" w:rsidP="00F45E4C">
            <w:pPr>
              <w:pStyle w:val="MainParanoChapter-Ch3"/>
              <w:numPr>
                <w:ilvl w:val="0"/>
                <w:numId w:val="0"/>
              </w:numPr>
              <w:spacing w:before="0"/>
              <w:contextualSpacing/>
              <w:jc w:val="left"/>
              <w:rPr>
                <w:sz w:val="20"/>
                <w:szCs w:val="20"/>
              </w:rPr>
            </w:pPr>
            <w:r w:rsidRPr="00F7263B">
              <w:rPr>
                <w:sz w:val="20"/>
                <w:szCs w:val="20"/>
              </w:rPr>
              <w:t>Disbursement from the Bank is calculated on the basis of compliance of ULGs with minimum access conditions. (US$18 million per annum)</w:t>
            </w:r>
          </w:p>
          <w:p w:rsidR="001A6EB7" w:rsidRPr="00F7263B" w:rsidRDefault="001A6EB7" w:rsidP="00E9566D">
            <w:pPr>
              <w:pStyle w:val="MainParanoChapter-Ch3"/>
              <w:numPr>
                <w:ilvl w:val="0"/>
                <w:numId w:val="0"/>
              </w:numPr>
              <w:spacing w:before="0"/>
              <w:contextualSpacing/>
              <w:jc w:val="left"/>
              <w:rPr>
                <w:rFonts w:eastAsiaTheme="minorHAnsi"/>
                <w:sz w:val="20"/>
                <w:szCs w:val="20"/>
              </w:rPr>
            </w:pPr>
          </w:p>
          <w:p w:rsidR="001A6EB7" w:rsidRPr="00F7263B" w:rsidRDefault="001A6EB7" w:rsidP="00254260">
            <w:pPr>
              <w:pStyle w:val="MainParanoChapter-Ch3"/>
              <w:numPr>
                <w:ilvl w:val="0"/>
                <w:numId w:val="0"/>
              </w:numPr>
              <w:contextualSpacing/>
              <w:jc w:val="left"/>
              <w:rPr>
                <w:sz w:val="20"/>
                <w:szCs w:val="20"/>
              </w:rPr>
            </w:pPr>
            <w:r w:rsidRPr="00F7263B">
              <w:rPr>
                <w:sz w:val="20"/>
                <w:szCs w:val="20"/>
              </w:rPr>
              <w:t xml:space="preserve">Formula for disbursement from the Bank to </w:t>
            </w:r>
            <w:r w:rsidR="00830508" w:rsidRPr="00F7263B">
              <w:rPr>
                <w:sz w:val="20"/>
                <w:szCs w:val="20"/>
              </w:rPr>
              <w:t>government</w:t>
            </w:r>
            <w:r w:rsidRPr="00F7263B">
              <w:rPr>
                <w:sz w:val="20"/>
                <w:szCs w:val="20"/>
              </w:rPr>
              <w:t xml:space="preserve"> is: </w:t>
            </w:r>
          </w:p>
          <w:p w:rsidR="001A6EB7" w:rsidRPr="00F7263B" w:rsidRDefault="001A6EB7" w:rsidP="00254260">
            <w:pPr>
              <w:pStyle w:val="MainParanoChapter-Ch3"/>
              <w:numPr>
                <w:ilvl w:val="0"/>
                <w:numId w:val="59"/>
              </w:numPr>
              <w:contextualSpacing/>
              <w:jc w:val="left"/>
              <w:rPr>
                <w:sz w:val="20"/>
                <w:szCs w:val="20"/>
              </w:rPr>
            </w:pPr>
            <w:r w:rsidRPr="00F7263B">
              <w:rPr>
                <w:sz w:val="20"/>
                <w:szCs w:val="20"/>
              </w:rPr>
              <w:t>[total annual disbursement] = [total population in all minimum condition compliant ULGs] X [</w:t>
            </w:r>
            <w:r w:rsidR="008159C7" w:rsidRPr="00F7263B">
              <w:rPr>
                <w:sz w:val="20"/>
                <w:szCs w:val="20"/>
              </w:rPr>
              <w:t>US$</w:t>
            </w:r>
            <w:r w:rsidRPr="00F7263B">
              <w:rPr>
                <w:sz w:val="20"/>
                <w:szCs w:val="20"/>
              </w:rPr>
              <w:t>4.14]</w:t>
            </w:r>
          </w:p>
          <w:p w:rsidR="001A6EB7" w:rsidRPr="00F7263B" w:rsidRDefault="001A6EB7" w:rsidP="00254260">
            <w:pPr>
              <w:pStyle w:val="MainParanoChapter-Ch3"/>
              <w:numPr>
                <w:ilvl w:val="0"/>
                <w:numId w:val="0"/>
              </w:numPr>
              <w:ind w:left="360"/>
              <w:contextualSpacing/>
              <w:jc w:val="left"/>
              <w:rPr>
                <w:sz w:val="20"/>
                <w:szCs w:val="20"/>
              </w:rPr>
            </w:pPr>
          </w:p>
          <w:p w:rsidR="001A6EB7" w:rsidRPr="00F7263B" w:rsidRDefault="001A6EB7" w:rsidP="00254260">
            <w:pPr>
              <w:pStyle w:val="MainParanoChapter-Ch3"/>
              <w:numPr>
                <w:ilvl w:val="0"/>
                <w:numId w:val="0"/>
              </w:numPr>
              <w:contextualSpacing/>
              <w:jc w:val="left"/>
              <w:rPr>
                <w:rFonts w:eastAsiaTheme="minorHAnsi"/>
                <w:sz w:val="20"/>
                <w:szCs w:val="20"/>
              </w:rPr>
            </w:pPr>
            <w:r w:rsidRPr="00F7263B">
              <w:rPr>
                <w:rFonts w:eastAsiaTheme="minorHAnsi"/>
                <w:sz w:val="20"/>
                <w:szCs w:val="20"/>
              </w:rPr>
              <w:t xml:space="preserve">Formula for disbursement from </w:t>
            </w:r>
            <w:r w:rsidR="00830508" w:rsidRPr="00F7263B">
              <w:rPr>
                <w:rFonts w:eastAsiaTheme="minorHAnsi"/>
                <w:sz w:val="20"/>
                <w:szCs w:val="20"/>
              </w:rPr>
              <w:t>government</w:t>
            </w:r>
            <w:r w:rsidRPr="00F7263B">
              <w:rPr>
                <w:rFonts w:eastAsiaTheme="minorHAnsi"/>
                <w:sz w:val="20"/>
                <w:szCs w:val="20"/>
              </w:rPr>
              <w:t xml:space="preserve"> to ULGs is:</w:t>
            </w:r>
          </w:p>
          <w:p w:rsidR="006E7278" w:rsidRPr="00F7263B" w:rsidRDefault="001A6EB7" w:rsidP="00254260">
            <w:pPr>
              <w:pStyle w:val="MainParanoChapter-Ch3"/>
              <w:numPr>
                <w:ilvl w:val="0"/>
                <w:numId w:val="59"/>
              </w:numPr>
              <w:ind w:left="144" w:hanging="144"/>
              <w:contextualSpacing/>
              <w:jc w:val="left"/>
              <w:rPr>
                <w:sz w:val="20"/>
                <w:szCs w:val="20"/>
              </w:rPr>
            </w:pPr>
            <w:r w:rsidRPr="00F7263B">
              <w:rPr>
                <w:rFonts w:eastAsiaTheme="minorHAnsi"/>
                <w:sz w:val="20"/>
                <w:szCs w:val="20"/>
              </w:rPr>
              <w:t>[disbursement to each ULG] = [total population in that ULG] X [</w:t>
            </w:r>
            <w:r w:rsidR="008159C7" w:rsidRPr="00F7263B">
              <w:rPr>
                <w:rFonts w:eastAsiaTheme="minorHAnsi"/>
                <w:sz w:val="20"/>
                <w:szCs w:val="20"/>
              </w:rPr>
              <w:t>US$</w:t>
            </w:r>
            <w:r w:rsidRPr="00F7263B">
              <w:rPr>
                <w:rFonts w:eastAsiaTheme="minorHAnsi"/>
                <w:sz w:val="20"/>
                <w:szCs w:val="20"/>
              </w:rPr>
              <w:t>4.14], provided that the ULG has complied with the minimum conditions</w:t>
            </w:r>
            <w:r w:rsidR="00311545" w:rsidRPr="00F7263B">
              <w:rPr>
                <w:rFonts w:eastAsiaTheme="minorHAnsi"/>
                <w:sz w:val="20"/>
                <w:szCs w:val="20"/>
              </w:rPr>
              <w:t>.</w:t>
            </w:r>
          </w:p>
          <w:p w:rsidR="001A6EB7" w:rsidRPr="00F7263B" w:rsidRDefault="001A6EB7" w:rsidP="00F45E4C">
            <w:pPr>
              <w:pStyle w:val="MainParanoChapter-Ch3"/>
              <w:numPr>
                <w:ilvl w:val="0"/>
                <w:numId w:val="0"/>
              </w:numPr>
              <w:spacing w:before="0"/>
              <w:contextualSpacing/>
              <w:rPr>
                <w:sz w:val="20"/>
                <w:szCs w:val="20"/>
              </w:rPr>
            </w:pPr>
          </w:p>
          <w:p w:rsidR="001A6EB7" w:rsidRPr="00F7263B" w:rsidRDefault="001A6EB7" w:rsidP="00254260">
            <w:pPr>
              <w:pStyle w:val="MainParanoChapter-Ch3"/>
              <w:numPr>
                <w:ilvl w:val="0"/>
                <w:numId w:val="0"/>
              </w:numPr>
              <w:spacing w:before="0"/>
              <w:contextualSpacing/>
              <w:jc w:val="left"/>
              <w:rPr>
                <w:sz w:val="20"/>
                <w:szCs w:val="20"/>
              </w:rPr>
            </w:pPr>
            <w:r w:rsidRPr="00F7263B">
              <w:rPr>
                <w:sz w:val="20"/>
                <w:szCs w:val="20"/>
              </w:rPr>
              <w:t xml:space="preserve">Disbursement will be made provided that previous disbursements from </w:t>
            </w:r>
            <w:r w:rsidR="00830508" w:rsidRPr="00F7263B">
              <w:rPr>
                <w:sz w:val="20"/>
                <w:szCs w:val="20"/>
              </w:rPr>
              <w:t>government</w:t>
            </w:r>
            <w:r w:rsidRPr="00F7263B">
              <w:rPr>
                <w:sz w:val="20"/>
                <w:szCs w:val="20"/>
              </w:rPr>
              <w:t xml:space="preserve"> to ULGs have all been made.</w:t>
            </w:r>
          </w:p>
          <w:p w:rsidR="001A6EB7" w:rsidRPr="00F7263B" w:rsidRDefault="001A6EB7" w:rsidP="00F45E4C">
            <w:pPr>
              <w:pStyle w:val="MainParanoChapter-Ch3"/>
              <w:numPr>
                <w:ilvl w:val="0"/>
                <w:numId w:val="0"/>
              </w:numPr>
              <w:ind w:left="144"/>
              <w:contextualSpacing/>
              <w:rPr>
                <w:sz w:val="20"/>
                <w:szCs w:val="20"/>
              </w:rPr>
            </w:pPr>
          </w:p>
        </w:tc>
      </w:tr>
      <w:tr w:rsidR="001A6EB7" w:rsidRPr="00F7263B" w:rsidTr="00254260">
        <w:trPr>
          <w:trHeight w:val="665"/>
        </w:trPr>
        <w:tc>
          <w:tcPr>
            <w:tcW w:w="567" w:type="dxa"/>
            <w:vAlign w:val="center"/>
          </w:tcPr>
          <w:p w:rsidR="001A6EB7" w:rsidRPr="00F7263B" w:rsidRDefault="001A6EB7" w:rsidP="00F45E4C">
            <w:pPr>
              <w:pStyle w:val="MainParanoChapter-Ch3"/>
              <w:numPr>
                <w:ilvl w:val="0"/>
                <w:numId w:val="0"/>
              </w:numPr>
              <w:spacing w:before="0"/>
              <w:jc w:val="center"/>
              <w:rPr>
                <w:sz w:val="20"/>
                <w:szCs w:val="20"/>
              </w:rPr>
            </w:pPr>
            <w:r w:rsidRPr="00F7263B">
              <w:rPr>
                <w:sz w:val="20"/>
                <w:szCs w:val="20"/>
              </w:rPr>
              <w:t>2</w:t>
            </w:r>
          </w:p>
        </w:tc>
        <w:tc>
          <w:tcPr>
            <w:tcW w:w="1276" w:type="dxa"/>
            <w:vAlign w:val="center"/>
          </w:tcPr>
          <w:p w:rsidR="001A6EB7" w:rsidRPr="00F7263B" w:rsidRDefault="001A6EB7" w:rsidP="00E9566D">
            <w:pPr>
              <w:rPr>
                <w:rFonts w:cs="Times New Roman"/>
                <w:sz w:val="20"/>
                <w:szCs w:val="20"/>
              </w:rPr>
            </w:pPr>
            <w:r w:rsidRPr="00F7263B">
              <w:rPr>
                <w:rFonts w:cs="Times New Roman"/>
                <w:sz w:val="20"/>
                <w:szCs w:val="20"/>
              </w:rPr>
              <w:t>ULGs have strengthened institutional performanceas scored in the annual performance assessment</w:t>
            </w:r>
            <w:r w:rsidR="00311545" w:rsidRPr="00F7263B">
              <w:rPr>
                <w:rFonts w:cs="Times New Roman"/>
                <w:sz w:val="20"/>
                <w:szCs w:val="20"/>
                <w:vertAlign w:val="superscript"/>
              </w:rPr>
              <w:footnoteReference w:id="39"/>
            </w:r>
          </w:p>
        </w:tc>
        <w:tc>
          <w:tcPr>
            <w:tcW w:w="1064"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15</w:t>
            </w:r>
            <w:r w:rsidR="00640035" w:rsidRPr="00F7263B">
              <w:rPr>
                <w:b w:val="0"/>
                <w:smallCaps w:val="0"/>
                <w:sz w:val="20"/>
                <w:szCs w:val="20"/>
              </w:rPr>
              <w:t>8</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4" w:name="_Toc333301271"/>
            <w:r w:rsidRPr="00F7263B">
              <w:rPr>
                <w:b w:val="0"/>
                <w:smallCaps w:val="0"/>
                <w:sz w:val="20"/>
                <w:szCs w:val="20"/>
              </w:rPr>
              <w:t>0</w:t>
            </w:r>
            <w:bookmarkEnd w:id="64"/>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5" w:name="_Toc333301272"/>
            <w:r w:rsidRPr="00F7263B">
              <w:rPr>
                <w:b w:val="0"/>
                <w:smallCaps w:val="0"/>
                <w:sz w:val="20"/>
                <w:szCs w:val="20"/>
              </w:rPr>
              <w:t>0</w:t>
            </w:r>
            <w:bookmarkEnd w:id="65"/>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6" w:name="_Toc333301273"/>
            <w:r w:rsidRPr="00F7263B">
              <w:rPr>
                <w:b w:val="0"/>
                <w:smallCaps w:val="0"/>
                <w:sz w:val="20"/>
                <w:szCs w:val="20"/>
              </w:rPr>
              <w:t>By Program completion</w:t>
            </w:r>
            <w:bookmarkEnd w:id="66"/>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highlight w:val="yellow"/>
              </w:rPr>
            </w:pPr>
            <w:bookmarkStart w:id="67" w:name="_Toc333301274"/>
            <w:r w:rsidRPr="00F7263B">
              <w:rPr>
                <w:b w:val="0"/>
                <w:smallCaps w:val="0"/>
                <w:sz w:val="20"/>
                <w:szCs w:val="20"/>
              </w:rPr>
              <w:t>0</w:t>
            </w:r>
            <w:bookmarkEnd w:id="67"/>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68" w:name="_Toc333301275"/>
            <w:r w:rsidRPr="00F7263B">
              <w:rPr>
                <w:b w:val="0"/>
                <w:smallCaps w:val="0"/>
                <w:sz w:val="20"/>
                <w:szCs w:val="20"/>
              </w:rPr>
              <w:t>100</w:t>
            </w:r>
            <w:bookmarkEnd w:id="68"/>
          </w:p>
        </w:tc>
        <w:tc>
          <w:tcPr>
            <w:tcW w:w="5400" w:type="dxa"/>
          </w:tcPr>
          <w:p w:rsidR="001A6EB7" w:rsidRPr="00F7263B" w:rsidRDefault="001A6EB7" w:rsidP="00F45E4C">
            <w:pPr>
              <w:pStyle w:val="MainParanoChapter-Ch3"/>
              <w:numPr>
                <w:ilvl w:val="0"/>
                <w:numId w:val="0"/>
              </w:numPr>
              <w:spacing w:before="0"/>
              <w:contextualSpacing/>
              <w:rPr>
                <w:sz w:val="20"/>
                <w:szCs w:val="20"/>
              </w:rPr>
            </w:pPr>
            <w:r w:rsidRPr="00F7263B">
              <w:rPr>
                <w:rFonts w:eastAsiaTheme="minorHAnsi"/>
                <w:sz w:val="20"/>
                <w:szCs w:val="20"/>
              </w:rPr>
              <w:t xml:space="preserve">Disbursement from the Bank to </w:t>
            </w:r>
            <w:r w:rsidR="00830508" w:rsidRPr="00F7263B">
              <w:rPr>
                <w:rFonts w:eastAsiaTheme="minorHAnsi"/>
                <w:sz w:val="20"/>
                <w:szCs w:val="20"/>
              </w:rPr>
              <w:t>government</w:t>
            </w:r>
            <w:r w:rsidRPr="00F7263B">
              <w:rPr>
                <w:rFonts w:eastAsiaTheme="minorHAnsi"/>
                <w:sz w:val="20"/>
                <w:szCs w:val="20"/>
              </w:rPr>
              <w:t>will be determined as:</w:t>
            </w:r>
          </w:p>
          <w:p w:rsidR="001A6EB7" w:rsidRPr="00F7263B" w:rsidRDefault="001A6EB7" w:rsidP="00254260">
            <w:pPr>
              <w:pStyle w:val="HEADINGP4RCHAPTER"/>
              <w:numPr>
                <w:ilvl w:val="0"/>
                <w:numId w:val="58"/>
              </w:numPr>
              <w:tabs>
                <w:tab w:val="left" w:pos="180"/>
                <w:tab w:val="center" w:pos="6624"/>
              </w:tabs>
              <w:spacing w:before="0" w:after="0"/>
              <w:contextualSpacing/>
              <w:jc w:val="left"/>
              <w:outlineLvl w:val="9"/>
              <w:rPr>
                <w:b w:val="0"/>
                <w:smallCaps w:val="0"/>
                <w:sz w:val="20"/>
                <w:szCs w:val="20"/>
              </w:rPr>
            </w:pPr>
            <w:bookmarkStart w:id="69" w:name="_Toc333301277"/>
            <w:r w:rsidRPr="00F7263B">
              <w:rPr>
                <w:b w:val="0"/>
                <w:smallCaps w:val="0"/>
                <w:sz w:val="20"/>
                <w:szCs w:val="20"/>
              </w:rPr>
              <w:t>Compliance of ULGs with minimum access conditions measured (as above);</w:t>
            </w:r>
            <w:bookmarkEnd w:id="69"/>
          </w:p>
          <w:p w:rsidR="001A6EB7" w:rsidRPr="00F7263B" w:rsidRDefault="001A6EB7" w:rsidP="00254260">
            <w:pPr>
              <w:pStyle w:val="HEADINGP4RCHAPTER"/>
              <w:numPr>
                <w:ilvl w:val="0"/>
                <w:numId w:val="58"/>
              </w:numPr>
              <w:tabs>
                <w:tab w:val="left" w:pos="180"/>
                <w:tab w:val="center" w:pos="6624"/>
              </w:tabs>
              <w:spacing w:before="0" w:after="0"/>
              <w:contextualSpacing/>
              <w:jc w:val="left"/>
              <w:outlineLvl w:val="9"/>
              <w:rPr>
                <w:b w:val="0"/>
                <w:smallCaps w:val="0"/>
                <w:sz w:val="20"/>
                <w:szCs w:val="20"/>
              </w:rPr>
            </w:pPr>
            <w:bookmarkStart w:id="70" w:name="_Toc333301278"/>
            <w:r w:rsidRPr="00F7263B">
              <w:rPr>
                <w:b w:val="0"/>
                <w:smallCaps w:val="0"/>
                <w:sz w:val="20"/>
                <w:szCs w:val="20"/>
              </w:rPr>
              <w:t>Sum of scores of all ULG calculated (non-</w:t>
            </w:r>
            <w:r w:rsidR="00D81609" w:rsidRPr="00F7263B">
              <w:rPr>
                <w:b w:val="0"/>
                <w:smallCaps w:val="0"/>
                <w:sz w:val="20"/>
                <w:szCs w:val="20"/>
              </w:rPr>
              <w:t>minimum condition</w:t>
            </w:r>
            <w:r w:rsidRPr="00F7263B">
              <w:rPr>
                <w:b w:val="0"/>
                <w:smallCaps w:val="0"/>
                <w:sz w:val="20"/>
                <w:szCs w:val="20"/>
              </w:rPr>
              <w:t xml:space="preserve"> compliant ULGs are assigned a score of zero) and divided by 44 (note in the first 2014/15 only the previous ULGDP ULGs (18 ULGs) will get access to the funds and the adjusted amount for this will be divided between those 18 ULGs);</w:t>
            </w:r>
            <w:bookmarkEnd w:id="70"/>
          </w:p>
          <w:p w:rsidR="001A6EB7" w:rsidRPr="00F7263B" w:rsidRDefault="001A6EB7" w:rsidP="00254260">
            <w:pPr>
              <w:pStyle w:val="HEADINGP4RCHAPTER"/>
              <w:numPr>
                <w:ilvl w:val="0"/>
                <w:numId w:val="58"/>
              </w:numPr>
              <w:tabs>
                <w:tab w:val="left" w:pos="180"/>
                <w:tab w:val="center" w:pos="6624"/>
              </w:tabs>
              <w:spacing w:before="0" w:after="0"/>
              <w:contextualSpacing/>
              <w:jc w:val="left"/>
              <w:outlineLvl w:val="9"/>
              <w:rPr>
                <w:b w:val="0"/>
                <w:smallCaps w:val="0"/>
                <w:sz w:val="20"/>
                <w:szCs w:val="20"/>
              </w:rPr>
            </w:pPr>
            <w:bookmarkStart w:id="71" w:name="_Toc333301279"/>
            <w:r w:rsidRPr="00F7263B">
              <w:rPr>
                <w:b w:val="0"/>
                <w:smallCaps w:val="0"/>
                <w:sz w:val="20"/>
                <w:szCs w:val="20"/>
              </w:rPr>
              <w:t xml:space="preserve">A. If score equal to target for </w:t>
            </w:r>
            <w:r w:rsidR="00127A14" w:rsidRPr="00F7263B">
              <w:rPr>
                <w:b w:val="0"/>
                <w:smallCaps w:val="0"/>
                <w:sz w:val="20"/>
                <w:szCs w:val="20"/>
              </w:rPr>
              <w:t>financial year</w:t>
            </w:r>
            <w:r w:rsidRPr="00F7263B">
              <w:rPr>
                <w:b w:val="0"/>
                <w:smallCaps w:val="0"/>
                <w:sz w:val="20"/>
                <w:szCs w:val="20"/>
              </w:rPr>
              <w:t>, full allocation,</w:t>
            </w:r>
            <w:bookmarkEnd w:id="71"/>
          </w:p>
          <w:p w:rsidR="001A6EB7" w:rsidRPr="00F7263B" w:rsidRDefault="001A6EB7" w:rsidP="00254260">
            <w:pPr>
              <w:pStyle w:val="HEADINGP4RCHAPTER"/>
              <w:tabs>
                <w:tab w:val="left" w:pos="180"/>
                <w:tab w:val="center" w:pos="6624"/>
              </w:tabs>
              <w:spacing w:before="0" w:after="0"/>
              <w:ind w:left="540"/>
              <w:contextualSpacing/>
              <w:jc w:val="left"/>
              <w:outlineLvl w:val="9"/>
              <w:rPr>
                <w:b w:val="0"/>
                <w:smallCaps w:val="0"/>
                <w:sz w:val="20"/>
                <w:szCs w:val="20"/>
              </w:rPr>
            </w:pPr>
            <w:bookmarkStart w:id="72" w:name="_Toc333301280"/>
            <w:r w:rsidRPr="00F7263B">
              <w:rPr>
                <w:b w:val="0"/>
                <w:smallCaps w:val="0"/>
                <w:sz w:val="20"/>
                <w:szCs w:val="20"/>
              </w:rPr>
              <w:lastRenderedPageBreak/>
              <w:t xml:space="preserve">B. If score below target for </w:t>
            </w:r>
            <w:r w:rsidR="00127A14" w:rsidRPr="00F7263B">
              <w:rPr>
                <w:b w:val="0"/>
                <w:smallCaps w:val="0"/>
                <w:sz w:val="20"/>
                <w:szCs w:val="20"/>
              </w:rPr>
              <w:t>the financial year</w:t>
            </w:r>
            <w:r w:rsidRPr="00F7263B">
              <w:rPr>
                <w:b w:val="0"/>
                <w:smallCaps w:val="0"/>
                <w:sz w:val="20"/>
                <w:szCs w:val="20"/>
              </w:rPr>
              <w:t>, pro-rata reduction,</w:t>
            </w:r>
            <w:bookmarkEnd w:id="72"/>
          </w:p>
          <w:p w:rsidR="001A6EB7" w:rsidRPr="00F7263B" w:rsidRDefault="001A6EB7" w:rsidP="00254260">
            <w:pPr>
              <w:pStyle w:val="HEADINGP4RCHAPTER"/>
              <w:tabs>
                <w:tab w:val="left" w:pos="180"/>
                <w:tab w:val="center" w:pos="6624"/>
              </w:tabs>
              <w:spacing w:before="0" w:after="0"/>
              <w:ind w:left="540"/>
              <w:contextualSpacing/>
              <w:jc w:val="left"/>
              <w:outlineLvl w:val="9"/>
              <w:rPr>
                <w:b w:val="0"/>
                <w:smallCaps w:val="0"/>
                <w:sz w:val="20"/>
                <w:szCs w:val="20"/>
              </w:rPr>
            </w:pPr>
            <w:bookmarkStart w:id="73" w:name="_Toc333301281"/>
            <w:r w:rsidRPr="00F7263B">
              <w:rPr>
                <w:b w:val="0"/>
                <w:smallCaps w:val="0"/>
                <w:sz w:val="20"/>
                <w:szCs w:val="20"/>
              </w:rPr>
              <w:t xml:space="preserve">C. If score above target for </w:t>
            </w:r>
            <w:r w:rsidR="00127A14" w:rsidRPr="00F7263B">
              <w:rPr>
                <w:b w:val="0"/>
                <w:smallCaps w:val="0"/>
                <w:sz w:val="20"/>
                <w:szCs w:val="20"/>
              </w:rPr>
              <w:t>financial year</w:t>
            </w:r>
            <w:r w:rsidRPr="00F7263B">
              <w:rPr>
                <w:b w:val="0"/>
                <w:smallCaps w:val="0"/>
                <w:sz w:val="20"/>
                <w:szCs w:val="20"/>
              </w:rPr>
              <w:t>, pro-rata increase.</w:t>
            </w:r>
            <w:bookmarkEnd w:id="73"/>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 xml:space="preserve">Disbursement will be made provided that previous disbursements from </w:t>
            </w:r>
            <w:r w:rsidR="00830508" w:rsidRPr="00F7263B">
              <w:rPr>
                <w:b w:val="0"/>
                <w:smallCaps w:val="0"/>
                <w:sz w:val="20"/>
                <w:szCs w:val="20"/>
              </w:rPr>
              <w:t>government</w:t>
            </w:r>
            <w:r w:rsidRPr="00F7263B">
              <w:rPr>
                <w:b w:val="0"/>
                <w:smallCaps w:val="0"/>
                <w:sz w:val="20"/>
                <w:szCs w:val="20"/>
              </w:rPr>
              <w:t xml:space="preserve"> to ULGs have all been made.</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 xml:space="preserve">Disbursement from the </w:t>
            </w:r>
            <w:r w:rsidR="00830508" w:rsidRPr="00F7263B">
              <w:rPr>
                <w:b w:val="0"/>
                <w:smallCaps w:val="0"/>
                <w:sz w:val="20"/>
                <w:szCs w:val="20"/>
              </w:rPr>
              <w:t>government</w:t>
            </w:r>
            <w:r w:rsidRPr="00F7263B">
              <w:rPr>
                <w:b w:val="0"/>
                <w:smallCaps w:val="0"/>
                <w:sz w:val="20"/>
                <w:szCs w:val="20"/>
              </w:rPr>
              <w:t xml:space="preserve"> to ULGs will be determined as:</w:t>
            </w:r>
            <w:bookmarkStart w:id="74" w:name="_Toc333301283"/>
            <w:r w:rsidRPr="00F7263B">
              <w:rPr>
                <w:b w:val="0"/>
                <w:smallCaps w:val="0"/>
                <w:sz w:val="20"/>
                <w:szCs w:val="20"/>
              </w:rPr>
              <w:t xml:space="preserve"> Total disbursement amount (as calculated above) divided across compliant ULGs in accordance with population and score.</w:t>
            </w:r>
            <w:bookmarkEnd w:id="74"/>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 xml:space="preserve">Formula for disbursement from the Bank to </w:t>
            </w:r>
            <w:r w:rsidR="00B17200" w:rsidRPr="00F7263B">
              <w:rPr>
                <w:b w:val="0"/>
                <w:smallCaps w:val="0"/>
                <w:sz w:val="20"/>
                <w:szCs w:val="20"/>
              </w:rPr>
              <w:t>the government</w:t>
            </w:r>
            <w:r w:rsidRPr="00F7263B">
              <w:rPr>
                <w:b w:val="0"/>
                <w:smallCaps w:val="0"/>
                <w:sz w:val="20"/>
                <w:szCs w:val="20"/>
              </w:rPr>
              <w:t xml:space="preserve"> is:</w:t>
            </w:r>
          </w:p>
          <w:p w:rsidR="006E7278" w:rsidRPr="00F7263B" w:rsidRDefault="001A6EB7" w:rsidP="00254260">
            <w:pPr>
              <w:pStyle w:val="HEADINGP4RCHAPTER"/>
              <w:numPr>
                <w:ilvl w:val="0"/>
                <w:numId w:val="59"/>
              </w:numPr>
              <w:tabs>
                <w:tab w:val="center" w:pos="6624"/>
              </w:tabs>
              <w:spacing w:before="0" w:after="0"/>
              <w:contextualSpacing/>
              <w:jc w:val="left"/>
              <w:outlineLvl w:val="9"/>
              <w:rPr>
                <w:rFonts w:eastAsia="Times New Roman"/>
                <w:sz w:val="20"/>
                <w:szCs w:val="20"/>
              </w:rPr>
            </w:pPr>
            <w:r w:rsidRPr="00F7263B">
              <w:rPr>
                <w:b w:val="0"/>
                <w:smallCaps w:val="0"/>
                <w:sz w:val="20"/>
                <w:szCs w:val="20"/>
              </w:rPr>
              <w:t xml:space="preserve">[total annual disbursement] = [{sum of individual scores of all ULGs/44 (first year only 18 ULGs)*}/ {targetscore for the </w:t>
            </w:r>
            <w:r w:rsidR="00127A14" w:rsidRPr="00F7263B">
              <w:rPr>
                <w:b w:val="0"/>
                <w:smallCaps w:val="0"/>
                <w:sz w:val="20"/>
                <w:szCs w:val="20"/>
              </w:rPr>
              <w:t>financial year</w:t>
            </w:r>
            <w:r w:rsidRPr="00F7263B">
              <w:rPr>
                <w:b w:val="0"/>
                <w:smallCaps w:val="0"/>
                <w:sz w:val="20"/>
                <w:szCs w:val="20"/>
              </w:rPr>
              <w:t>}] X [target disbursement amount i.e. $3</w:t>
            </w:r>
            <w:r w:rsidR="00341F05" w:rsidRPr="00F7263B">
              <w:rPr>
                <w:b w:val="0"/>
                <w:smallCaps w:val="0"/>
                <w:sz w:val="20"/>
                <w:szCs w:val="20"/>
              </w:rPr>
              <w:t>4</w:t>
            </w:r>
            <w:r w:rsidR="00311545" w:rsidRPr="00F7263B">
              <w:rPr>
                <w:b w:val="0"/>
                <w:smallCaps w:val="0"/>
                <w:sz w:val="20"/>
                <w:szCs w:val="20"/>
              </w:rPr>
              <w:t>.</w:t>
            </w:r>
            <w:r w:rsidR="00341F05" w:rsidRPr="00F7263B">
              <w:rPr>
                <w:b w:val="0"/>
                <w:smallCaps w:val="0"/>
                <w:sz w:val="20"/>
                <w:szCs w:val="20"/>
              </w:rPr>
              <w:t>1</w:t>
            </w:r>
            <w:r w:rsidRPr="00F7263B">
              <w:rPr>
                <w:b w:val="0"/>
                <w:smallCaps w:val="0"/>
                <w:sz w:val="20"/>
                <w:szCs w:val="20"/>
              </w:rPr>
              <w:t>m</w:t>
            </w:r>
            <w:r w:rsidR="00311545" w:rsidRPr="00F7263B">
              <w:rPr>
                <w:b w:val="0"/>
                <w:smallCaps w:val="0"/>
                <w:sz w:val="20"/>
                <w:szCs w:val="20"/>
              </w:rPr>
              <w:t>illion</w:t>
            </w:r>
            <w:r w:rsidRPr="00F7263B">
              <w:rPr>
                <w:b w:val="0"/>
                <w:smallCaps w:val="0"/>
                <w:sz w:val="20"/>
                <w:szCs w:val="20"/>
              </w:rPr>
              <w:t xml:space="preserve"> for 44 ULGs from the 2015/16 and the following years (first </w:t>
            </w:r>
            <w:r w:rsidR="00311545" w:rsidRPr="00F7263B">
              <w:rPr>
                <w:b w:val="0"/>
                <w:smallCaps w:val="0"/>
                <w:sz w:val="20"/>
                <w:szCs w:val="20"/>
              </w:rPr>
              <w:t xml:space="preserve">financial year </w:t>
            </w:r>
            <w:r w:rsidRPr="00F7263B">
              <w:rPr>
                <w:b w:val="0"/>
                <w:smallCaps w:val="0"/>
                <w:sz w:val="20"/>
                <w:szCs w:val="20"/>
              </w:rPr>
              <w:t>only $2</w:t>
            </w:r>
            <w:r w:rsidR="00341F05" w:rsidRPr="00F7263B">
              <w:rPr>
                <w:b w:val="0"/>
                <w:smallCaps w:val="0"/>
                <w:sz w:val="20"/>
                <w:szCs w:val="20"/>
              </w:rPr>
              <w:t>1.8</w:t>
            </w:r>
            <w:r w:rsidRPr="00F7263B">
              <w:rPr>
                <w:b w:val="0"/>
                <w:smallCaps w:val="0"/>
                <w:sz w:val="20"/>
                <w:szCs w:val="20"/>
              </w:rPr>
              <w:t>m</w:t>
            </w:r>
            <w:r w:rsidR="00311545" w:rsidRPr="00F7263B">
              <w:rPr>
                <w:b w:val="0"/>
                <w:smallCaps w:val="0"/>
                <w:sz w:val="20"/>
                <w:szCs w:val="20"/>
              </w:rPr>
              <w:t>illion</w:t>
            </w:r>
            <w:r w:rsidRPr="00F7263B">
              <w:rPr>
                <w:b w:val="0"/>
                <w:smallCaps w:val="0"/>
                <w:sz w:val="20"/>
                <w:szCs w:val="20"/>
              </w:rPr>
              <w:t xml:space="preserve"> for the 18 ULGs)]</w:t>
            </w:r>
          </w:p>
          <w:p w:rsidR="001A6EB7" w:rsidRPr="00F7263B" w:rsidRDefault="001A6EB7" w:rsidP="00F45E4C">
            <w:pPr>
              <w:pStyle w:val="HEADINGP4RCHAPTER"/>
              <w:tabs>
                <w:tab w:val="left" w:pos="180"/>
                <w:tab w:val="center" w:pos="6624"/>
              </w:tabs>
              <w:spacing w:after="0"/>
              <w:contextualSpacing/>
              <w:jc w:val="both"/>
              <w:rPr>
                <w:b w:val="0"/>
                <w:smallCaps w:val="0"/>
                <w:sz w:val="20"/>
                <w:szCs w:val="20"/>
              </w:rPr>
            </w:pPr>
            <w:bookmarkStart w:id="75" w:name="_Toc333301284"/>
          </w:p>
          <w:p w:rsidR="001A6EB7" w:rsidRPr="00F7263B" w:rsidRDefault="001A6EB7" w:rsidP="006F68D4">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Performance targets for this DLI are:</w:t>
            </w:r>
          </w:p>
          <w:p w:rsidR="001A6EB7" w:rsidRPr="00F7263B" w:rsidRDefault="00311545" w:rsidP="00254260">
            <w:pPr>
              <w:pStyle w:val="BodyText1"/>
              <w:numPr>
                <w:ilvl w:val="0"/>
                <w:numId w:val="0"/>
              </w:numPr>
              <w:spacing w:after="0"/>
              <w:rPr>
                <w:b/>
                <w:smallCaps/>
                <w:sz w:val="20"/>
                <w:szCs w:val="20"/>
              </w:rPr>
            </w:pPr>
            <w:r w:rsidRPr="00F7263B">
              <w:rPr>
                <w:sz w:val="20"/>
                <w:szCs w:val="20"/>
              </w:rPr>
              <w:t>20</w:t>
            </w:r>
            <w:r w:rsidR="001A6EB7" w:rsidRPr="00F7263B">
              <w:rPr>
                <w:sz w:val="20"/>
                <w:szCs w:val="20"/>
              </w:rPr>
              <w:t>14/15: 60 points</w:t>
            </w:r>
          </w:p>
          <w:p w:rsidR="001A6EB7" w:rsidRPr="00F7263B" w:rsidRDefault="00311545" w:rsidP="00254260">
            <w:pPr>
              <w:pStyle w:val="BodyText1"/>
              <w:numPr>
                <w:ilvl w:val="0"/>
                <w:numId w:val="0"/>
              </w:numPr>
              <w:spacing w:after="0"/>
              <w:rPr>
                <w:b/>
                <w:smallCaps/>
                <w:sz w:val="20"/>
                <w:szCs w:val="20"/>
              </w:rPr>
            </w:pPr>
            <w:r w:rsidRPr="00F7263B">
              <w:rPr>
                <w:sz w:val="20"/>
                <w:szCs w:val="20"/>
              </w:rPr>
              <w:t>20</w:t>
            </w:r>
            <w:r w:rsidR="001A6EB7" w:rsidRPr="00F7263B">
              <w:rPr>
                <w:sz w:val="20"/>
                <w:szCs w:val="20"/>
              </w:rPr>
              <w:t>15/16: 65 points</w:t>
            </w:r>
          </w:p>
          <w:p w:rsidR="001A6EB7" w:rsidRPr="00F7263B" w:rsidRDefault="00311545" w:rsidP="00254260">
            <w:pPr>
              <w:pStyle w:val="BodyText1"/>
              <w:numPr>
                <w:ilvl w:val="0"/>
                <w:numId w:val="0"/>
              </w:numPr>
              <w:spacing w:after="0"/>
              <w:rPr>
                <w:b/>
                <w:smallCaps/>
                <w:sz w:val="20"/>
                <w:szCs w:val="20"/>
              </w:rPr>
            </w:pPr>
            <w:r w:rsidRPr="00F7263B">
              <w:rPr>
                <w:sz w:val="20"/>
                <w:szCs w:val="20"/>
              </w:rPr>
              <w:t>20</w:t>
            </w:r>
            <w:r w:rsidR="001A6EB7" w:rsidRPr="00F7263B">
              <w:rPr>
                <w:sz w:val="20"/>
                <w:szCs w:val="20"/>
              </w:rPr>
              <w:t>16/17: 70 points</w:t>
            </w:r>
          </w:p>
          <w:p w:rsidR="001A6EB7" w:rsidRPr="00F7263B" w:rsidRDefault="00311545" w:rsidP="00254260">
            <w:pPr>
              <w:pStyle w:val="BodyText1"/>
              <w:numPr>
                <w:ilvl w:val="0"/>
                <w:numId w:val="0"/>
              </w:numPr>
              <w:spacing w:after="0"/>
              <w:rPr>
                <w:b/>
                <w:smallCaps/>
                <w:sz w:val="20"/>
                <w:szCs w:val="20"/>
              </w:rPr>
            </w:pPr>
            <w:r w:rsidRPr="00F7263B">
              <w:rPr>
                <w:sz w:val="20"/>
                <w:szCs w:val="20"/>
              </w:rPr>
              <w:t>20</w:t>
            </w:r>
            <w:r w:rsidR="001A6EB7" w:rsidRPr="00F7263B">
              <w:rPr>
                <w:sz w:val="20"/>
                <w:szCs w:val="20"/>
              </w:rPr>
              <w:t>17/18: 75 points</w:t>
            </w:r>
          </w:p>
          <w:p w:rsidR="001A6EB7" w:rsidRPr="00F7263B" w:rsidRDefault="00311545" w:rsidP="00254260">
            <w:pPr>
              <w:pStyle w:val="BodyText1"/>
              <w:numPr>
                <w:ilvl w:val="0"/>
                <w:numId w:val="0"/>
              </w:numPr>
              <w:spacing w:after="0"/>
              <w:rPr>
                <w:b/>
                <w:smallCaps/>
                <w:sz w:val="20"/>
                <w:szCs w:val="20"/>
              </w:rPr>
            </w:pPr>
            <w:r w:rsidRPr="00F7263B">
              <w:rPr>
                <w:sz w:val="20"/>
                <w:szCs w:val="20"/>
              </w:rPr>
              <w:t>20</w:t>
            </w:r>
            <w:r w:rsidR="001A6EB7" w:rsidRPr="00F7263B">
              <w:rPr>
                <w:sz w:val="20"/>
                <w:szCs w:val="20"/>
              </w:rPr>
              <w:t>18/19: 80 points</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 xml:space="preserve">Formula for disbursement from </w:t>
            </w:r>
            <w:r w:rsidR="00830508" w:rsidRPr="00F7263B">
              <w:rPr>
                <w:b w:val="0"/>
                <w:smallCaps w:val="0"/>
                <w:sz w:val="20"/>
                <w:szCs w:val="20"/>
              </w:rPr>
              <w:t>government</w:t>
            </w:r>
            <w:r w:rsidRPr="00F7263B">
              <w:rPr>
                <w:b w:val="0"/>
                <w:smallCaps w:val="0"/>
                <w:sz w:val="20"/>
                <w:szCs w:val="20"/>
              </w:rPr>
              <w:t xml:space="preserve"> to ULGs in </w:t>
            </w:r>
            <w:r w:rsidRPr="00F7263B">
              <w:rPr>
                <w:smallCaps w:val="0"/>
                <w:sz w:val="20"/>
                <w:szCs w:val="20"/>
              </w:rPr>
              <w:t>2014/15</w:t>
            </w:r>
            <w:r w:rsidRPr="00F7263B">
              <w:rPr>
                <w:b w:val="0"/>
                <w:smallCaps w:val="0"/>
                <w:sz w:val="20"/>
                <w:szCs w:val="20"/>
              </w:rPr>
              <w:t xml:space="preserve"> is:</w:t>
            </w:r>
          </w:p>
          <w:p w:rsidR="006F0A69" w:rsidRPr="00F7263B" w:rsidRDefault="006F0A69" w:rsidP="00254260">
            <w:pPr>
              <w:pStyle w:val="HEADINGP4RCHAPTER"/>
              <w:tabs>
                <w:tab w:val="left" w:pos="180"/>
                <w:tab w:val="center" w:pos="6624"/>
              </w:tabs>
              <w:spacing w:before="0" w:after="0"/>
              <w:contextualSpacing/>
              <w:jc w:val="left"/>
              <w:outlineLvl w:val="9"/>
              <w:rPr>
                <w:b w:val="0"/>
                <w:smallCaps w:val="0"/>
                <w:sz w:val="20"/>
                <w:szCs w:val="20"/>
              </w:rPr>
            </w:pPr>
          </w:p>
          <w:p w:rsidR="006E7278" w:rsidRPr="00F7263B" w:rsidRDefault="001A6EB7" w:rsidP="00254260">
            <w:pPr>
              <w:pStyle w:val="HEADINGP4RCHAPTER"/>
              <w:numPr>
                <w:ilvl w:val="0"/>
                <w:numId w:val="59"/>
              </w:numPr>
              <w:tabs>
                <w:tab w:val="center" w:pos="6624"/>
              </w:tabs>
              <w:spacing w:before="0" w:after="0"/>
              <w:contextualSpacing/>
              <w:jc w:val="left"/>
              <w:outlineLvl w:val="9"/>
              <w:rPr>
                <w:rFonts w:eastAsia="Times New Roman"/>
                <w:b w:val="0"/>
                <w:smallCaps w:val="0"/>
                <w:sz w:val="20"/>
                <w:szCs w:val="20"/>
              </w:rPr>
            </w:pPr>
            <w:r w:rsidRPr="00F7263B">
              <w:rPr>
                <w:b w:val="0"/>
                <w:smallCaps w:val="0"/>
                <w:sz w:val="20"/>
                <w:szCs w:val="20"/>
              </w:rPr>
              <w:t xml:space="preserve">[disbursement to any ULG] = [population of ULG X </w:t>
            </w:r>
            <w:r w:rsidRPr="00F7263B">
              <w:rPr>
                <w:b w:val="0"/>
                <w:smallCaps w:val="0"/>
                <w:sz w:val="20"/>
                <w:szCs w:val="20"/>
              </w:rPr>
              <w:lastRenderedPageBreak/>
              <w:t xml:space="preserve">performance score of ULG] / [∑ (population of ULG 1-..18 X performance score of ULG 1-..18)] X [total disbursement amount for the </w:t>
            </w:r>
            <w:r w:rsidR="00127A14" w:rsidRPr="00F7263B">
              <w:rPr>
                <w:b w:val="0"/>
                <w:smallCaps w:val="0"/>
                <w:sz w:val="20"/>
                <w:szCs w:val="20"/>
              </w:rPr>
              <w:t>financial year</w:t>
            </w:r>
            <w:r w:rsidRPr="00F7263B">
              <w:rPr>
                <w:b w:val="0"/>
                <w:smallCaps w:val="0"/>
                <w:sz w:val="20"/>
                <w:szCs w:val="20"/>
              </w:rPr>
              <w:t>], providing that the ULG has complied with the minimum conditions</w:t>
            </w:r>
            <w:bookmarkEnd w:id="75"/>
            <w:r w:rsidRPr="00F7263B">
              <w:rPr>
                <w:b w:val="0"/>
                <w:smallCaps w:val="0"/>
                <w:sz w:val="20"/>
                <w:szCs w:val="20"/>
              </w:rPr>
              <w:t>.</w:t>
            </w:r>
          </w:p>
          <w:p w:rsidR="006F0A69" w:rsidRPr="00F7263B" w:rsidRDefault="006F0A69"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 xml:space="preserve">Formula for disbursement from </w:t>
            </w:r>
            <w:r w:rsidR="00830508" w:rsidRPr="00F7263B">
              <w:rPr>
                <w:b w:val="0"/>
                <w:smallCaps w:val="0"/>
                <w:sz w:val="20"/>
                <w:szCs w:val="20"/>
              </w:rPr>
              <w:t>government</w:t>
            </w:r>
            <w:r w:rsidRPr="00F7263B">
              <w:rPr>
                <w:b w:val="0"/>
                <w:smallCaps w:val="0"/>
                <w:sz w:val="20"/>
                <w:szCs w:val="20"/>
              </w:rPr>
              <w:t xml:space="preserve"> to ULGs in 2015/16 and following years is:</w:t>
            </w:r>
          </w:p>
          <w:p w:rsidR="006F0A69" w:rsidRPr="00F7263B" w:rsidRDefault="006F0A69" w:rsidP="00F45E4C">
            <w:pPr>
              <w:pStyle w:val="HEADINGP4RCHAPTER"/>
              <w:tabs>
                <w:tab w:val="left" w:pos="180"/>
                <w:tab w:val="center" w:pos="6624"/>
              </w:tabs>
              <w:spacing w:before="0" w:after="0"/>
              <w:contextualSpacing/>
              <w:jc w:val="both"/>
              <w:outlineLvl w:val="9"/>
              <w:rPr>
                <w:b w:val="0"/>
                <w:smallCaps w:val="0"/>
                <w:sz w:val="20"/>
                <w:szCs w:val="20"/>
              </w:rPr>
            </w:pPr>
          </w:p>
          <w:p w:rsidR="006E7278" w:rsidRPr="00F7263B" w:rsidRDefault="001A6EB7" w:rsidP="00254260">
            <w:pPr>
              <w:pStyle w:val="HEADINGP4RCHAPTER"/>
              <w:numPr>
                <w:ilvl w:val="0"/>
                <w:numId w:val="59"/>
              </w:numPr>
              <w:tabs>
                <w:tab w:val="center" w:pos="6624"/>
              </w:tabs>
              <w:spacing w:before="0" w:after="0"/>
              <w:contextualSpacing/>
              <w:jc w:val="left"/>
              <w:outlineLvl w:val="9"/>
              <w:rPr>
                <w:rFonts w:eastAsia="Times New Roman"/>
                <w:b w:val="0"/>
                <w:smallCaps w:val="0"/>
                <w:sz w:val="20"/>
                <w:szCs w:val="20"/>
              </w:rPr>
            </w:pPr>
            <w:r w:rsidRPr="00F7263B">
              <w:rPr>
                <w:b w:val="0"/>
                <w:smallCaps w:val="0"/>
                <w:sz w:val="20"/>
                <w:szCs w:val="20"/>
              </w:rPr>
              <w:t xml:space="preserve">[disbursement to any ULG] = [population of ULG X performance score of ULG] / [∑ (population of ULG 1-..44 X performance score of ULG 1-..44)] X [total disbursement amount for the </w:t>
            </w:r>
            <w:r w:rsidR="00127A14" w:rsidRPr="00F7263B">
              <w:rPr>
                <w:b w:val="0"/>
                <w:smallCaps w:val="0"/>
                <w:sz w:val="20"/>
                <w:szCs w:val="20"/>
              </w:rPr>
              <w:t>financial year</w:t>
            </w:r>
            <w:r w:rsidRPr="00F7263B">
              <w:rPr>
                <w:b w:val="0"/>
                <w:smallCaps w:val="0"/>
                <w:sz w:val="20"/>
                <w:szCs w:val="20"/>
              </w:rPr>
              <w:t>], providing that the ULGA has complied with the minimum conditions.</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w:t>
            </w:r>
            <w:r w:rsidR="006F0A69" w:rsidRPr="00F7263B">
              <w:rPr>
                <w:b w:val="0"/>
                <w:smallCaps w:val="0"/>
                <w:sz w:val="20"/>
                <w:szCs w:val="20"/>
              </w:rPr>
              <w:tab/>
            </w:r>
            <w:r w:rsidR="006F0A69" w:rsidRPr="00F7263B">
              <w:rPr>
                <w:b w:val="0"/>
                <w:i/>
                <w:smallCaps w:val="0"/>
                <w:sz w:val="20"/>
                <w:szCs w:val="20"/>
              </w:rPr>
              <w:t>Note:</w:t>
            </w:r>
            <w:r w:rsidRPr="00F7263B">
              <w:rPr>
                <w:b w:val="0"/>
                <w:smallCaps w:val="0"/>
                <w:sz w:val="20"/>
                <w:szCs w:val="20"/>
              </w:rPr>
              <w:t xml:space="preserve">For the new 26 ULGs, this DLI will only be applied from 2015/16 and the following </w:t>
            </w:r>
            <w:r w:rsidR="00127A14" w:rsidRPr="00F7263B">
              <w:rPr>
                <w:b w:val="0"/>
                <w:smallCaps w:val="0"/>
                <w:sz w:val="20"/>
                <w:szCs w:val="20"/>
              </w:rPr>
              <w:t>financial years</w:t>
            </w:r>
            <w:r w:rsidRPr="00F7263B">
              <w:rPr>
                <w:b w:val="0"/>
                <w:smallCaps w:val="0"/>
                <w:sz w:val="20"/>
                <w:szCs w:val="20"/>
              </w:rPr>
              <w:t>, hence amount to be distributed (US$2</w:t>
            </w:r>
            <w:r w:rsidR="00341F05" w:rsidRPr="00F7263B">
              <w:rPr>
                <w:b w:val="0"/>
                <w:smallCaps w:val="0"/>
                <w:sz w:val="20"/>
                <w:szCs w:val="20"/>
              </w:rPr>
              <w:t>1.8</w:t>
            </w:r>
            <w:r w:rsidRPr="00F7263B">
              <w:rPr>
                <w:b w:val="0"/>
                <w:smallCaps w:val="0"/>
                <w:sz w:val="20"/>
                <w:szCs w:val="20"/>
              </w:rPr>
              <w:t xml:space="preserve"> million in 2014/15) will only be allocated across the 18 ULGs </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tc>
      </w:tr>
      <w:tr w:rsidR="001A6EB7" w:rsidRPr="00F7263B" w:rsidTr="00254260">
        <w:trPr>
          <w:trHeight w:val="611"/>
        </w:trPr>
        <w:tc>
          <w:tcPr>
            <w:tcW w:w="567" w:type="dxa"/>
            <w:vAlign w:val="center"/>
          </w:tcPr>
          <w:p w:rsidR="001A6EB7" w:rsidRPr="00F7263B" w:rsidRDefault="001A6EB7" w:rsidP="00F45E4C">
            <w:pPr>
              <w:pStyle w:val="MainParanoChapter-Ch3"/>
              <w:numPr>
                <w:ilvl w:val="0"/>
                <w:numId w:val="0"/>
              </w:numPr>
              <w:spacing w:before="0"/>
              <w:jc w:val="left"/>
              <w:rPr>
                <w:sz w:val="20"/>
                <w:szCs w:val="20"/>
              </w:rPr>
            </w:pPr>
            <w:r w:rsidRPr="00F7263B">
              <w:rPr>
                <w:sz w:val="20"/>
                <w:szCs w:val="20"/>
              </w:rPr>
              <w:lastRenderedPageBreak/>
              <w:t>3</w:t>
            </w:r>
          </w:p>
        </w:tc>
        <w:tc>
          <w:tcPr>
            <w:tcW w:w="1276" w:type="dxa"/>
            <w:vAlign w:val="center"/>
          </w:tcPr>
          <w:p w:rsidR="001A6EB7" w:rsidRPr="00F7263B" w:rsidRDefault="001A6EB7" w:rsidP="00F45E4C">
            <w:pPr>
              <w:rPr>
                <w:rFonts w:cs="Times New Roman"/>
                <w:sz w:val="20"/>
                <w:szCs w:val="20"/>
              </w:rPr>
            </w:pPr>
            <w:r w:rsidRPr="00F7263B">
              <w:rPr>
                <w:rFonts w:cs="Times New Roman"/>
                <w:sz w:val="20"/>
                <w:szCs w:val="20"/>
              </w:rPr>
              <w:t xml:space="preserve">Local infrastruc-turetargets, maintenance and job creation as set out in the annual action plans are met by ULGs utilizing the Program </w:t>
            </w:r>
            <w:r w:rsidRPr="00F7263B">
              <w:rPr>
                <w:rFonts w:cs="Times New Roman"/>
                <w:sz w:val="20"/>
                <w:szCs w:val="20"/>
              </w:rPr>
              <w:lastRenderedPageBreak/>
              <w:t>funds</w:t>
            </w:r>
            <w:r w:rsidR="0030157D" w:rsidRPr="00F7263B">
              <w:rPr>
                <w:rStyle w:val="FootnoteReference"/>
                <w:rFonts w:cs="Times New Roman"/>
                <w:sz w:val="20"/>
                <w:szCs w:val="20"/>
              </w:rPr>
              <w:footnoteReference w:id="40"/>
            </w:r>
          </w:p>
          <w:p w:rsidR="001A6EB7" w:rsidRPr="00F7263B" w:rsidRDefault="001A6EB7" w:rsidP="00F45E4C">
            <w:pPr>
              <w:rPr>
                <w:rFonts w:cs="Times New Roman"/>
                <w:sz w:val="20"/>
                <w:szCs w:val="20"/>
              </w:rPr>
            </w:pPr>
          </w:p>
        </w:tc>
        <w:tc>
          <w:tcPr>
            <w:tcW w:w="1064" w:type="dxa"/>
            <w:vAlign w:val="center"/>
          </w:tcPr>
          <w:p w:rsidR="001A6EB7" w:rsidRPr="00F7263B" w:rsidRDefault="00D44F9F" w:rsidP="00F45E4C">
            <w:pPr>
              <w:pStyle w:val="HEADINGP4RCHAPTER"/>
              <w:tabs>
                <w:tab w:val="left" w:pos="180"/>
                <w:tab w:val="center" w:pos="6624"/>
              </w:tabs>
              <w:spacing w:before="0" w:after="0"/>
              <w:outlineLvl w:val="9"/>
              <w:rPr>
                <w:b w:val="0"/>
                <w:smallCaps w:val="0"/>
                <w:sz w:val="20"/>
                <w:szCs w:val="20"/>
              </w:rPr>
            </w:pPr>
            <w:bookmarkStart w:id="76" w:name="_Toc333301289"/>
            <w:r w:rsidRPr="00F7263B">
              <w:rPr>
                <w:b w:val="0"/>
                <w:smallCaps w:val="0"/>
                <w:sz w:val="20"/>
                <w:szCs w:val="20"/>
              </w:rPr>
              <w:lastRenderedPageBreak/>
              <w:t>75</w:t>
            </w:r>
            <w:bookmarkEnd w:id="76"/>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77" w:name="_Toc333301290"/>
            <w:r w:rsidRPr="00F7263B">
              <w:rPr>
                <w:b w:val="0"/>
                <w:smallCaps w:val="0"/>
                <w:sz w:val="20"/>
                <w:szCs w:val="20"/>
              </w:rPr>
              <w:t>0</w:t>
            </w:r>
            <w:bookmarkEnd w:id="77"/>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78" w:name="_Toc333301291"/>
            <w:r w:rsidRPr="00F7263B">
              <w:rPr>
                <w:b w:val="0"/>
                <w:smallCaps w:val="0"/>
                <w:sz w:val="20"/>
                <w:szCs w:val="20"/>
              </w:rPr>
              <w:t>0</w:t>
            </w:r>
            <w:bookmarkEnd w:id="78"/>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79" w:name="_Toc333301292"/>
            <w:r w:rsidRPr="00F7263B">
              <w:rPr>
                <w:b w:val="0"/>
                <w:smallCaps w:val="0"/>
                <w:sz w:val="20"/>
                <w:szCs w:val="20"/>
              </w:rPr>
              <w:t>By Program completion</w:t>
            </w:r>
            <w:bookmarkEnd w:id="79"/>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80" w:name="_Toc333301293"/>
            <w:r w:rsidRPr="00F7263B">
              <w:rPr>
                <w:b w:val="0"/>
                <w:smallCaps w:val="0"/>
                <w:sz w:val="20"/>
                <w:szCs w:val="20"/>
              </w:rPr>
              <w:t>0</w:t>
            </w:r>
            <w:bookmarkEnd w:id="80"/>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81" w:name="_Toc333301294"/>
            <w:r w:rsidRPr="00F7263B">
              <w:rPr>
                <w:b w:val="0"/>
                <w:smallCaps w:val="0"/>
                <w:sz w:val="20"/>
                <w:szCs w:val="20"/>
              </w:rPr>
              <w:t>100</w:t>
            </w:r>
            <w:bookmarkEnd w:id="81"/>
          </w:p>
        </w:tc>
        <w:tc>
          <w:tcPr>
            <w:tcW w:w="5400" w:type="dxa"/>
          </w:tcPr>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bookmarkStart w:id="82" w:name="_Toc333301295"/>
            <w:r w:rsidRPr="00F7263B">
              <w:rPr>
                <w:b w:val="0"/>
                <w:smallCaps w:val="0"/>
                <w:sz w:val="20"/>
                <w:szCs w:val="20"/>
              </w:rPr>
              <w:t xml:space="preserve">Disbursement from the </w:t>
            </w:r>
            <w:r w:rsidRPr="00F7263B">
              <w:rPr>
                <w:smallCaps w:val="0"/>
                <w:sz w:val="20"/>
                <w:szCs w:val="20"/>
              </w:rPr>
              <w:t xml:space="preserve">Bank to </w:t>
            </w:r>
            <w:r w:rsidR="00830508" w:rsidRPr="00F7263B">
              <w:rPr>
                <w:smallCaps w:val="0"/>
                <w:sz w:val="20"/>
                <w:szCs w:val="20"/>
              </w:rPr>
              <w:t>government</w:t>
            </w:r>
            <w:r w:rsidRPr="00F7263B">
              <w:rPr>
                <w:b w:val="0"/>
                <w:smallCaps w:val="0"/>
                <w:sz w:val="20"/>
                <w:szCs w:val="20"/>
              </w:rPr>
              <w:t xml:space="preserve"> will be determined as:</w:t>
            </w:r>
            <w:bookmarkEnd w:id="82"/>
          </w:p>
          <w:p w:rsidR="006F0A69" w:rsidRPr="00F7263B" w:rsidRDefault="006F0A69"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numPr>
                <w:ilvl w:val="0"/>
                <w:numId w:val="57"/>
              </w:numPr>
              <w:tabs>
                <w:tab w:val="center" w:pos="6624"/>
              </w:tabs>
              <w:spacing w:before="0" w:after="0"/>
              <w:ind w:left="342" w:hanging="270"/>
              <w:contextualSpacing/>
              <w:jc w:val="left"/>
              <w:outlineLvl w:val="9"/>
              <w:rPr>
                <w:b w:val="0"/>
                <w:smallCaps w:val="0"/>
                <w:sz w:val="20"/>
                <w:szCs w:val="20"/>
              </w:rPr>
            </w:pPr>
            <w:bookmarkStart w:id="83" w:name="_Toc333301296"/>
            <w:r w:rsidRPr="00F7263B">
              <w:rPr>
                <w:b w:val="0"/>
                <w:smallCaps w:val="0"/>
                <w:sz w:val="20"/>
                <w:szCs w:val="20"/>
              </w:rPr>
              <w:t>Compliance of ULGs with minimum access conditions measured (as above);</w:t>
            </w:r>
            <w:bookmarkEnd w:id="83"/>
          </w:p>
          <w:p w:rsidR="001A6EB7" w:rsidRPr="00F7263B" w:rsidRDefault="001A6EB7" w:rsidP="00254260">
            <w:pPr>
              <w:pStyle w:val="HEADINGP4RCHAPTER"/>
              <w:numPr>
                <w:ilvl w:val="0"/>
                <w:numId w:val="57"/>
              </w:numPr>
              <w:tabs>
                <w:tab w:val="center" w:pos="6624"/>
              </w:tabs>
              <w:spacing w:before="0" w:after="0"/>
              <w:ind w:left="342" w:hanging="270"/>
              <w:contextualSpacing/>
              <w:jc w:val="left"/>
              <w:outlineLvl w:val="9"/>
              <w:rPr>
                <w:b w:val="0"/>
                <w:smallCaps w:val="0"/>
                <w:sz w:val="20"/>
                <w:szCs w:val="20"/>
              </w:rPr>
            </w:pPr>
            <w:bookmarkStart w:id="84" w:name="_Toc333301297"/>
            <w:r w:rsidRPr="00F7263B">
              <w:rPr>
                <w:b w:val="0"/>
                <w:smallCaps w:val="0"/>
                <w:sz w:val="20"/>
                <w:szCs w:val="20"/>
              </w:rPr>
              <w:t>Sum of score of all ULGs calculated (non-</w:t>
            </w:r>
            <w:r w:rsidR="00D81609" w:rsidRPr="00F7263B">
              <w:rPr>
                <w:b w:val="0"/>
                <w:smallCaps w:val="0"/>
                <w:sz w:val="20"/>
                <w:szCs w:val="20"/>
              </w:rPr>
              <w:t>minimum condition</w:t>
            </w:r>
            <w:r w:rsidRPr="00F7263B">
              <w:rPr>
                <w:b w:val="0"/>
                <w:smallCaps w:val="0"/>
                <w:sz w:val="20"/>
                <w:szCs w:val="20"/>
              </w:rPr>
              <w:t xml:space="preserve"> compliant ULGs are assigned a score of zero) and divided by 18</w:t>
            </w:r>
            <w:bookmarkEnd w:id="84"/>
            <w:r w:rsidRPr="00F7263B">
              <w:rPr>
                <w:b w:val="0"/>
                <w:smallCaps w:val="0"/>
                <w:sz w:val="20"/>
                <w:szCs w:val="20"/>
              </w:rPr>
              <w:t xml:space="preserve"> (in the first 2014/15) and by 44 ULGs in 2015/16 and the following </w:t>
            </w:r>
            <w:r w:rsidR="00127A14" w:rsidRPr="00F7263B">
              <w:rPr>
                <w:b w:val="0"/>
                <w:smallCaps w:val="0"/>
                <w:sz w:val="20"/>
                <w:szCs w:val="20"/>
              </w:rPr>
              <w:t xml:space="preserve">financial years </w:t>
            </w:r>
            <w:r w:rsidRPr="00F7263B">
              <w:rPr>
                <w:b w:val="0"/>
                <w:smallCaps w:val="0"/>
                <w:sz w:val="20"/>
                <w:szCs w:val="20"/>
              </w:rPr>
              <w:t>(2015/16</w:t>
            </w:r>
            <w:r w:rsidR="00127A14" w:rsidRPr="00F7263B">
              <w:rPr>
                <w:b w:val="0"/>
                <w:smallCaps w:val="0"/>
                <w:sz w:val="20"/>
                <w:szCs w:val="20"/>
              </w:rPr>
              <w:t>–</w:t>
            </w:r>
            <w:r w:rsidRPr="00F7263B">
              <w:rPr>
                <w:b w:val="0"/>
                <w:smallCaps w:val="0"/>
                <w:sz w:val="20"/>
                <w:szCs w:val="20"/>
              </w:rPr>
              <w:t>2018/19).</w:t>
            </w:r>
          </w:p>
          <w:p w:rsidR="001A6EB7" w:rsidRPr="00F7263B" w:rsidRDefault="001A6EB7" w:rsidP="00254260">
            <w:pPr>
              <w:pStyle w:val="HEADINGP4RCHAPTER"/>
              <w:numPr>
                <w:ilvl w:val="0"/>
                <w:numId w:val="57"/>
              </w:numPr>
              <w:tabs>
                <w:tab w:val="center" w:pos="6624"/>
              </w:tabs>
              <w:spacing w:before="0" w:after="0"/>
              <w:ind w:left="342" w:hanging="270"/>
              <w:contextualSpacing/>
              <w:jc w:val="left"/>
              <w:outlineLvl w:val="9"/>
              <w:rPr>
                <w:b w:val="0"/>
                <w:smallCaps w:val="0"/>
                <w:sz w:val="20"/>
                <w:szCs w:val="20"/>
              </w:rPr>
            </w:pPr>
            <w:bookmarkStart w:id="85" w:name="_Toc333301298"/>
            <w:r w:rsidRPr="00F7263B">
              <w:rPr>
                <w:b w:val="0"/>
                <w:smallCaps w:val="0"/>
                <w:sz w:val="20"/>
                <w:szCs w:val="20"/>
              </w:rPr>
              <w:t xml:space="preserve">A. If score equal to target for </w:t>
            </w:r>
            <w:r w:rsidR="00127A14" w:rsidRPr="00F7263B">
              <w:rPr>
                <w:b w:val="0"/>
                <w:smallCaps w:val="0"/>
                <w:sz w:val="20"/>
                <w:szCs w:val="20"/>
              </w:rPr>
              <w:t>the financial year</w:t>
            </w:r>
            <w:r w:rsidRPr="00F7263B">
              <w:rPr>
                <w:b w:val="0"/>
                <w:smallCaps w:val="0"/>
                <w:sz w:val="20"/>
                <w:szCs w:val="20"/>
              </w:rPr>
              <w:t>, full allocation,</w:t>
            </w:r>
            <w:bookmarkEnd w:id="85"/>
          </w:p>
          <w:p w:rsidR="001A6EB7" w:rsidRPr="00F7263B" w:rsidRDefault="001A6EB7" w:rsidP="00254260">
            <w:pPr>
              <w:pStyle w:val="HEADINGP4RCHAPTER"/>
              <w:tabs>
                <w:tab w:val="center" w:pos="6624"/>
              </w:tabs>
              <w:spacing w:before="0" w:after="0"/>
              <w:ind w:left="342"/>
              <w:contextualSpacing/>
              <w:jc w:val="left"/>
              <w:outlineLvl w:val="9"/>
              <w:rPr>
                <w:b w:val="0"/>
                <w:smallCaps w:val="0"/>
                <w:sz w:val="20"/>
                <w:szCs w:val="20"/>
              </w:rPr>
            </w:pPr>
            <w:bookmarkStart w:id="86" w:name="_Toc333301299"/>
            <w:r w:rsidRPr="00F7263B">
              <w:rPr>
                <w:b w:val="0"/>
                <w:smallCaps w:val="0"/>
                <w:sz w:val="20"/>
                <w:szCs w:val="20"/>
              </w:rPr>
              <w:t xml:space="preserve">B. If score below target for </w:t>
            </w:r>
            <w:r w:rsidR="00127A14" w:rsidRPr="00F7263B">
              <w:rPr>
                <w:b w:val="0"/>
                <w:smallCaps w:val="0"/>
                <w:sz w:val="20"/>
                <w:szCs w:val="20"/>
              </w:rPr>
              <w:t>the financial year</w:t>
            </w:r>
            <w:r w:rsidRPr="00F7263B">
              <w:rPr>
                <w:b w:val="0"/>
                <w:smallCaps w:val="0"/>
                <w:sz w:val="20"/>
                <w:szCs w:val="20"/>
              </w:rPr>
              <w:t xml:space="preserve">, prorata </w:t>
            </w:r>
            <w:r w:rsidRPr="00F7263B">
              <w:rPr>
                <w:b w:val="0"/>
                <w:smallCaps w:val="0"/>
                <w:sz w:val="20"/>
                <w:szCs w:val="20"/>
              </w:rPr>
              <w:lastRenderedPageBreak/>
              <w:t>reduction,</w:t>
            </w:r>
            <w:bookmarkEnd w:id="86"/>
          </w:p>
          <w:p w:rsidR="001A6EB7" w:rsidRPr="00F7263B" w:rsidRDefault="001A6EB7" w:rsidP="00254260">
            <w:pPr>
              <w:pStyle w:val="HEADINGP4RCHAPTER"/>
              <w:tabs>
                <w:tab w:val="center" w:pos="6624"/>
              </w:tabs>
              <w:spacing w:before="0" w:after="0"/>
              <w:ind w:left="342"/>
              <w:contextualSpacing/>
              <w:jc w:val="left"/>
              <w:outlineLvl w:val="9"/>
              <w:rPr>
                <w:b w:val="0"/>
                <w:smallCaps w:val="0"/>
                <w:sz w:val="20"/>
                <w:szCs w:val="20"/>
              </w:rPr>
            </w:pPr>
            <w:bookmarkStart w:id="87" w:name="_Toc333301300"/>
            <w:r w:rsidRPr="00F7263B">
              <w:rPr>
                <w:b w:val="0"/>
                <w:smallCaps w:val="0"/>
                <w:sz w:val="20"/>
                <w:szCs w:val="20"/>
              </w:rPr>
              <w:t xml:space="preserve">C. If score above target for </w:t>
            </w:r>
            <w:r w:rsidR="00127A14" w:rsidRPr="00F7263B">
              <w:rPr>
                <w:b w:val="0"/>
                <w:smallCaps w:val="0"/>
                <w:sz w:val="20"/>
                <w:szCs w:val="20"/>
              </w:rPr>
              <w:t>the financial year</w:t>
            </w:r>
            <w:r w:rsidRPr="00F7263B">
              <w:rPr>
                <w:b w:val="0"/>
                <w:smallCaps w:val="0"/>
                <w:sz w:val="20"/>
                <w:szCs w:val="20"/>
              </w:rPr>
              <w:t>, pro-rata increase.</w:t>
            </w:r>
            <w:bookmarkEnd w:id="87"/>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bookmarkStart w:id="88" w:name="_Toc333301302"/>
            <w:r w:rsidRPr="00F7263B">
              <w:rPr>
                <w:b w:val="0"/>
                <w:smallCaps w:val="0"/>
                <w:sz w:val="20"/>
                <w:szCs w:val="20"/>
              </w:rPr>
              <w:t xml:space="preserve">Disbursement from the </w:t>
            </w:r>
            <w:r w:rsidR="00830508" w:rsidRPr="00F7263B">
              <w:rPr>
                <w:b w:val="0"/>
                <w:smallCaps w:val="0"/>
                <w:sz w:val="20"/>
                <w:szCs w:val="20"/>
              </w:rPr>
              <w:t>government</w:t>
            </w:r>
            <w:r w:rsidRPr="00F7263B">
              <w:rPr>
                <w:b w:val="0"/>
                <w:smallCaps w:val="0"/>
                <w:sz w:val="20"/>
                <w:szCs w:val="20"/>
              </w:rPr>
              <w:t xml:space="preserve"> to ULGswill be determined as: Total disbursement amount (as calculated above) divided across compliant ULGs in accordance with population and score.</w:t>
            </w:r>
            <w:bookmarkEnd w:id="88"/>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Formula for d</w:t>
            </w:r>
            <w:r w:rsidR="00B17200" w:rsidRPr="00F7263B">
              <w:rPr>
                <w:b w:val="0"/>
                <w:smallCaps w:val="0"/>
                <w:sz w:val="20"/>
                <w:szCs w:val="20"/>
              </w:rPr>
              <w:t>isbursement from the Bank to the government</w:t>
            </w:r>
            <w:r w:rsidRPr="00F7263B">
              <w:rPr>
                <w:b w:val="0"/>
                <w:smallCaps w:val="0"/>
                <w:sz w:val="20"/>
                <w:szCs w:val="20"/>
              </w:rPr>
              <w:t xml:space="preserve"> is:</w:t>
            </w:r>
          </w:p>
          <w:p w:rsidR="006F0A69" w:rsidRPr="00F7263B" w:rsidRDefault="006F0A69" w:rsidP="00F45E4C">
            <w:pPr>
              <w:pStyle w:val="HEADINGP4RCHAPTER"/>
              <w:tabs>
                <w:tab w:val="left" w:pos="180"/>
                <w:tab w:val="center" w:pos="6624"/>
              </w:tabs>
              <w:spacing w:before="0" w:after="0"/>
              <w:contextualSpacing/>
              <w:jc w:val="both"/>
              <w:outlineLvl w:val="9"/>
              <w:rPr>
                <w:b w:val="0"/>
                <w:smallCaps w:val="0"/>
                <w:sz w:val="20"/>
                <w:szCs w:val="20"/>
              </w:rPr>
            </w:pPr>
          </w:p>
          <w:p w:rsidR="006E7278" w:rsidRPr="00F7263B" w:rsidRDefault="001A6EB7" w:rsidP="00254260">
            <w:pPr>
              <w:pStyle w:val="HEADINGP4RCHAPTER"/>
              <w:numPr>
                <w:ilvl w:val="0"/>
                <w:numId w:val="59"/>
              </w:numPr>
              <w:tabs>
                <w:tab w:val="center" w:pos="6624"/>
              </w:tabs>
              <w:spacing w:before="0" w:after="0"/>
              <w:contextualSpacing/>
              <w:jc w:val="left"/>
              <w:outlineLvl w:val="9"/>
              <w:rPr>
                <w:rFonts w:eastAsia="Times New Roman"/>
                <w:sz w:val="20"/>
                <w:szCs w:val="20"/>
              </w:rPr>
            </w:pPr>
            <w:r w:rsidRPr="00F7263B">
              <w:rPr>
                <w:b w:val="0"/>
                <w:smallCaps w:val="0"/>
                <w:sz w:val="20"/>
                <w:szCs w:val="20"/>
              </w:rPr>
              <w:t xml:space="preserve">[total annual disbursement] = [{sum of individual scores of all ULGs/44 (first year only 18 ULGs)*}/ {targetscore for the </w:t>
            </w:r>
            <w:r w:rsidR="00127A14" w:rsidRPr="00F7263B">
              <w:rPr>
                <w:b w:val="0"/>
                <w:smallCaps w:val="0"/>
                <w:sz w:val="20"/>
                <w:szCs w:val="20"/>
              </w:rPr>
              <w:t>financial year</w:t>
            </w:r>
            <w:r w:rsidRPr="00F7263B">
              <w:rPr>
                <w:b w:val="0"/>
                <w:smallCaps w:val="0"/>
                <w:sz w:val="20"/>
                <w:szCs w:val="20"/>
              </w:rPr>
              <w:t>}] X [target disbursement amount i.e. $</w:t>
            </w:r>
            <w:r w:rsidR="00431C04" w:rsidRPr="00F7263B">
              <w:rPr>
                <w:b w:val="0"/>
                <w:smallCaps w:val="0"/>
                <w:sz w:val="20"/>
                <w:szCs w:val="20"/>
              </w:rPr>
              <w:t>1</w:t>
            </w:r>
            <w:r w:rsidR="00D44F9F" w:rsidRPr="00F7263B">
              <w:rPr>
                <w:b w:val="0"/>
                <w:smallCaps w:val="0"/>
                <w:sz w:val="20"/>
                <w:szCs w:val="20"/>
              </w:rPr>
              <w:t>6.2</w:t>
            </w:r>
            <w:r w:rsidRPr="00F7263B">
              <w:rPr>
                <w:b w:val="0"/>
                <w:smallCaps w:val="0"/>
                <w:sz w:val="20"/>
                <w:szCs w:val="20"/>
              </w:rPr>
              <w:t xml:space="preserve">m for 44 ULGs from the 2015/16 and the following years (first </w:t>
            </w:r>
            <w:r w:rsidR="00127A14" w:rsidRPr="00F7263B">
              <w:rPr>
                <w:b w:val="0"/>
                <w:smallCaps w:val="0"/>
                <w:sz w:val="20"/>
                <w:szCs w:val="20"/>
              </w:rPr>
              <w:t>financial year</w:t>
            </w:r>
            <w:r w:rsidRPr="00F7263B">
              <w:rPr>
                <w:b w:val="0"/>
                <w:smallCaps w:val="0"/>
                <w:sz w:val="20"/>
                <w:szCs w:val="20"/>
              </w:rPr>
              <w:t xml:space="preserve">, the amount is: </w:t>
            </w:r>
            <w:r w:rsidR="007B030D" w:rsidRPr="00F7263B">
              <w:rPr>
                <w:b w:val="0"/>
                <w:smallCaps w:val="0"/>
                <w:sz w:val="20"/>
                <w:szCs w:val="20"/>
              </w:rPr>
              <w:t>US</w:t>
            </w:r>
            <w:r w:rsidRPr="00F7263B">
              <w:rPr>
                <w:b w:val="0"/>
                <w:smallCaps w:val="0"/>
                <w:sz w:val="20"/>
                <w:szCs w:val="20"/>
              </w:rPr>
              <w:t>$</w:t>
            </w:r>
            <w:r w:rsidR="00D44F9F" w:rsidRPr="00F7263B">
              <w:rPr>
                <w:b w:val="0"/>
                <w:smallCaps w:val="0"/>
                <w:sz w:val="20"/>
                <w:szCs w:val="20"/>
              </w:rPr>
              <w:t>10.3</w:t>
            </w:r>
            <w:r w:rsidRPr="00F7263B">
              <w:rPr>
                <w:b w:val="0"/>
                <w:smallCaps w:val="0"/>
                <w:sz w:val="20"/>
                <w:szCs w:val="20"/>
              </w:rPr>
              <w:t>m</w:t>
            </w:r>
            <w:r w:rsidR="00127A14" w:rsidRPr="00F7263B">
              <w:rPr>
                <w:b w:val="0"/>
                <w:smallCaps w:val="0"/>
                <w:sz w:val="20"/>
                <w:szCs w:val="20"/>
              </w:rPr>
              <w:t>illion</w:t>
            </w:r>
            <w:r w:rsidRPr="00F7263B">
              <w:rPr>
                <w:b w:val="0"/>
                <w:smallCaps w:val="0"/>
                <w:sz w:val="20"/>
                <w:szCs w:val="20"/>
              </w:rPr>
              <w:t xml:space="preserve"> for the 18 ULGs)]</w:t>
            </w:r>
          </w:p>
          <w:p w:rsidR="001A6EB7" w:rsidRPr="00F7263B" w:rsidRDefault="001A6EB7" w:rsidP="00F45E4C">
            <w:pPr>
              <w:pStyle w:val="HEADINGP4RCHAPTER"/>
              <w:tabs>
                <w:tab w:val="left" w:pos="180"/>
                <w:tab w:val="center" w:pos="6624"/>
              </w:tabs>
              <w:spacing w:after="0"/>
              <w:contextualSpacing/>
              <w:jc w:val="both"/>
              <w:rPr>
                <w:b w:val="0"/>
                <w:smallCaps w:val="0"/>
                <w:sz w:val="20"/>
                <w:szCs w:val="20"/>
              </w:rPr>
            </w:pPr>
          </w:p>
          <w:p w:rsidR="001A6EB7" w:rsidRPr="00F7263B" w:rsidRDefault="001A6EB7" w:rsidP="006F68D4">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Performance targets for this DLI are:</w:t>
            </w:r>
          </w:p>
          <w:p w:rsidR="001A6EB7" w:rsidRPr="00F7263B" w:rsidRDefault="00127A14" w:rsidP="006F68D4">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20</w:t>
            </w:r>
            <w:r w:rsidR="001A6EB7" w:rsidRPr="00F7263B">
              <w:rPr>
                <w:b w:val="0"/>
                <w:smallCaps w:val="0"/>
                <w:sz w:val="20"/>
                <w:szCs w:val="20"/>
              </w:rPr>
              <w:t>15</w:t>
            </w:r>
            <w:r w:rsidRPr="00F7263B">
              <w:rPr>
                <w:b w:val="0"/>
                <w:smallCaps w:val="0"/>
                <w:sz w:val="20"/>
                <w:szCs w:val="20"/>
              </w:rPr>
              <w:t>/16</w:t>
            </w:r>
            <w:r w:rsidR="001A6EB7" w:rsidRPr="00F7263B">
              <w:rPr>
                <w:b w:val="0"/>
                <w:smallCaps w:val="0"/>
                <w:sz w:val="20"/>
                <w:szCs w:val="20"/>
              </w:rPr>
              <w:t xml:space="preserve">: 60 points </w:t>
            </w:r>
          </w:p>
          <w:p w:rsidR="001A6EB7" w:rsidRPr="00F7263B" w:rsidRDefault="00127A14" w:rsidP="006F68D4">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20</w:t>
            </w:r>
            <w:r w:rsidR="001A6EB7" w:rsidRPr="00F7263B">
              <w:rPr>
                <w:b w:val="0"/>
                <w:smallCaps w:val="0"/>
                <w:sz w:val="20"/>
                <w:szCs w:val="20"/>
              </w:rPr>
              <w:t>16</w:t>
            </w:r>
            <w:r w:rsidRPr="00F7263B">
              <w:rPr>
                <w:b w:val="0"/>
                <w:smallCaps w:val="0"/>
                <w:sz w:val="20"/>
                <w:szCs w:val="20"/>
              </w:rPr>
              <w:t>/17</w:t>
            </w:r>
            <w:r w:rsidR="001A6EB7" w:rsidRPr="00F7263B">
              <w:rPr>
                <w:b w:val="0"/>
                <w:smallCaps w:val="0"/>
                <w:sz w:val="20"/>
                <w:szCs w:val="20"/>
              </w:rPr>
              <w:t>: 65 points</w:t>
            </w:r>
          </w:p>
          <w:p w:rsidR="001A6EB7" w:rsidRPr="00F7263B" w:rsidRDefault="00127A14" w:rsidP="006F68D4">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20</w:t>
            </w:r>
            <w:r w:rsidR="001A6EB7" w:rsidRPr="00F7263B">
              <w:rPr>
                <w:b w:val="0"/>
                <w:smallCaps w:val="0"/>
                <w:sz w:val="20"/>
                <w:szCs w:val="20"/>
              </w:rPr>
              <w:t>17</w:t>
            </w:r>
            <w:r w:rsidRPr="00F7263B">
              <w:rPr>
                <w:b w:val="0"/>
                <w:smallCaps w:val="0"/>
                <w:sz w:val="20"/>
                <w:szCs w:val="20"/>
              </w:rPr>
              <w:t>/18</w:t>
            </w:r>
            <w:r w:rsidR="001A6EB7" w:rsidRPr="00F7263B">
              <w:rPr>
                <w:b w:val="0"/>
                <w:smallCaps w:val="0"/>
                <w:sz w:val="20"/>
                <w:szCs w:val="20"/>
              </w:rPr>
              <w:t>: 70 points</w:t>
            </w:r>
          </w:p>
          <w:p w:rsidR="001A6EB7" w:rsidRPr="00F7263B" w:rsidRDefault="00127A14" w:rsidP="00F45E4C">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20</w:t>
            </w:r>
            <w:r w:rsidR="001A6EB7" w:rsidRPr="00F7263B">
              <w:rPr>
                <w:b w:val="0"/>
                <w:smallCaps w:val="0"/>
                <w:sz w:val="20"/>
                <w:szCs w:val="20"/>
              </w:rPr>
              <w:t>18</w:t>
            </w:r>
            <w:r w:rsidRPr="00F7263B">
              <w:rPr>
                <w:b w:val="0"/>
                <w:smallCaps w:val="0"/>
                <w:sz w:val="20"/>
                <w:szCs w:val="20"/>
              </w:rPr>
              <w:t>/19</w:t>
            </w:r>
            <w:r w:rsidR="001A6EB7" w:rsidRPr="00F7263B">
              <w:rPr>
                <w:b w:val="0"/>
                <w:smallCaps w:val="0"/>
                <w:sz w:val="20"/>
                <w:szCs w:val="20"/>
              </w:rPr>
              <w:t>: 75 points</w:t>
            </w:r>
          </w:p>
          <w:p w:rsidR="001A6EB7" w:rsidRPr="00F7263B" w:rsidRDefault="00127A14" w:rsidP="00F45E4C">
            <w:pPr>
              <w:pStyle w:val="HEADINGP4RCHAPTER"/>
              <w:tabs>
                <w:tab w:val="left" w:pos="180"/>
                <w:tab w:val="center" w:pos="6624"/>
              </w:tabs>
              <w:spacing w:before="0" w:after="0"/>
              <w:contextualSpacing/>
              <w:jc w:val="both"/>
              <w:outlineLvl w:val="9"/>
              <w:rPr>
                <w:b w:val="0"/>
                <w:smallCaps w:val="0"/>
                <w:sz w:val="20"/>
                <w:szCs w:val="20"/>
              </w:rPr>
            </w:pPr>
            <w:r w:rsidRPr="00F7263B">
              <w:rPr>
                <w:b w:val="0"/>
                <w:smallCaps w:val="0"/>
                <w:sz w:val="20"/>
                <w:szCs w:val="20"/>
              </w:rPr>
              <w:t>20</w:t>
            </w:r>
            <w:r w:rsidR="001A6EB7" w:rsidRPr="00F7263B">
              <w:rPr>
                <w:b w:val="0"/>
                <w:smallCaps w:val="0"/>
                <w:sz w:val="20"/>
                <w:szCs w:val="20"/>
              </w:rPr>
              <w:t>19</w:t>
            </w:r>
            <w:r w:rsidRPr="00F7263B">
              <w:rPr>
                <w:b w:val="0"/>
                <w:smallCaps w:val="0"/>
                <w:sz w:val="20"/>
                <w:szCs w:val="20"/>
              </w:rPr>
              <w:t>/20</w:t>
            </w:r>
            <w:r w:rsidR="001A6EB7" w:rsidRPr="00F7263B">
              <w:rPr>
                <w:b w:val="0"/>
                <w:smallCaps w:val="0"/>
                <w:sz w:val="20"/>
                <w:szCs w:val="20"/>
              </w:rPr>
              <w:t>: 80 points</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 xml:space="preserve">Formula for disbursement from </w:t>
            </w:r>
            <w:r w:rsidR="00830508" w:rsidRPr="00F7263B">
              <w:rPr>
                <w:b w:val="0"/>
                <w:smallCaps w:val="0"/>
                <w:sz w:val="20"/>
                <w:szCs w:val="20"/>
              </w:rPr>
              <w:t>government</w:t>
            </w:r>
            <w:r w:rsidRPr="00F7263B">
              <w:rPr>
                <w:b w:val="0"/>
                <w:smallCaps w:val="0"/>
                <w:sz w:val="20"/>
                <w:szCs w:val="20"/>
              </w:rPr>
              <w:t xml:space="preserve"> to ULGs in 2014/15 is:</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6E7278" w:rsidRPr="00F7263B" w:rsidRDefault="001A6EB7" w:rsidP="00254260">
            <w:pPr>
              <w:pStyle w:val="HEADINGP4RCHAPTER"/>
              <w:numPr>
                <w:ilvl w:val="0"/>
                <w:numId w:val="59"/>
              </w:numPr>
              <w:tabs>
                <w:tab w:val="center" w:pos="6624"/>
              </w:tabs>
              <w:spacing w:before="0" w:after="0"/>
              <w:contextualSpacing/>
              <w:jc w:val="left"/>
              <w:outlineLvl w:val="9"/>
              <w:rPr>
                <w:rFonts w:eastAsia="Times New Roman"/>
                <w:b w:val="0"/>
                <w:smallCaps w:val="0"/>
                <w:sz w:val="20"/>
                <w:szCs w:val="20"/>
              </w:rPr>
            </w:pPr>
            <w:r w:rsidRPr="00F7263B">
              <w:rPr>
                <w:b w:val="0"/>
                <w:smallCaps w:val="0"/>
                <w:sz w:val="20"/>
                <w:szCs w:val="20"/>
              </w:rPr>
              <w:t xml:space="preserve">[disbursement to any ULG] = [population of ULG X </w:t>
            </w:r>
            <w:r w:rsidRPr="00F7263B">
              <w:rPr>
                <w:b w:val="0"/>
                <w:smallCaps w:val="0"/>
                <w:sz w:val="20"/>
                <w:szCs w:val="20"/>
              </w:rPr>
              <w:lastRenderedPageBreak/>
              <w:t xml:space="preserve">performance score of ULG] / [∑ (population of ULG 1-..18 X performance score of ULG 1-..18)] X [total disbursement amount for the </w:t>
            </w:r>
            <w:r w:rsidR="00127A14" w:rsidRPr="00F7263B">
              <w:rPr>
                <w:b w:val="0"/>
                <w:smallCaps w:val="0"/>
                <w:sz w:val="20"/>
                <w:szCs w:val="20"/>
              </w:rPr>
              <w:t>financial year</w:t>
            </w:r>
            <w:r w:rsidRPr="00F7263B">
              <w:rPr>
                <w:b w:val="0"/>
                <w:smallCaps w:val="0"/>
                <w:sz w:val="20"/>
                <w:szCs w:val="20"/>
              </w:rPr>
              <w:t>], providing that the ULG has complied with the minimum conditions.</w:t>
            </w:r>
          </w:p>
          <w:p w:rsidR="001A6EB7" w:rsidRPr="00F7263B" w:rsidRDefault="001A6EB7" w:rsidP="00F45E4C">
            <w:pPr>
              <w:pStyle w:val="HEADINGP4RCHAPTER"/>
              <w:tabs>
                <w:tab w:val="left" w:pos="180"/>
                <w:tab w:val="center" w:pos="6624"/>
              </w:tabs>
              <w:spacing w:before="0" w:after="0"/>
              <w:ind w:left="144"/>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 xml:space="preserve">Formula for disbursement from </w:t>
            </w:r>
            <w:r w:rsidR="00830508" w:rsidRPr="00F7263B">
              <w:rPr>
                <w:b w:val="0"/>
                <w:smallCaps w:val="0"/>
                <w:sz w:val="20"/>
                <w:szCs w:val="20"/>
              </w:rPr>
              <w:t>government</w:t>
            </w:r>
            <w:r w:rsidRPr="00F7263B">
              <w:rPr>
                <w:b w:val="0"/>
                <w:smallCaps w:val="0"/>
                <w:sz w:val="20"/>
                <w:szCs w:val="20"/>
              </w:rPr>
              <w:t xml:space="preserve"> to ULGs in 2015/16 and following years is:</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6E7278" w:rsidRPr="00F7263B" w:rsidRDefault="001A6EB7" w:rsidP="00254260">
            <w:pPr>
              <w:pStyle w:val="HEADINGP4RCHAPTER"/>
              <w:numPr>
                <w:ilvl w:val="0"/>
                <w:numId w:val="59"/>
              </w:numPr>
              <w:tabs>
                <w:tab w:val="center" w:pos="6624"/>
              </w:tabs>
              <w:spacing w:before="0" w:after="0"/>
              <w:contextualSpacing/>
              <w:jc w:val="left"/>
              <w:outlineLvl w:val="9"/>
              <w:rPr>
                <w:rFonts w:eastAsia="Times New Roman"/>
                <w:b w:val="0"/>
                <w:smallCaps w:val="0"/>
                <w:sz w:val="20"/>
                <w:szCs w:val="20"/>
              </w:rPr>
            </w:pPr>
            <w:r w:rsidRPr="00F7263B">
              <w:rPr>
                <w:b w:val="0"/>
                <w:smallCaps w:val="0"/>
                <w:sz w:val="20"/>
                <w:szCs w:val="20"/>
              </w:rPr>
              <w:t xml:space="preserve">[disbursement to any ULG] = [population of ULG X performance score of ULG] / [∑ (population of ULG 1-..44 X performance score of ULG 1-..44)] X [total disbursement amount for the </w:t>
            </w:r>
            <w:r w:rsidR="00AF73B3" w:rsidRPr="00F7263B">
              <w:rPr>
                <w:b w:val="0"/>
                <w:smallCaps w:val="0"/>
                <w:sz w:val="20"/>
                <w:szCs w:val="20"/>
              </w:rPr>
              <w:t>financial year</w:t>
            </w:r>
            <w:r w:rsidRPr="00F7263B">
              <w:rPr>
                <w:b w:val="0"/>
                <w:smallCaps w:val="0"/>
                <w:sz w:val="20"/>
                <w:szCs w:val="20"/>
              </w:rPr>
              <w:t>], providing that the ULGA has complied with the minimum conditions.</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w:t>
            </w:r>
            <w:r w:rsidR="006F0A69" w:rsidRPr="00F7263B">
              <w:rPr>
                <w:b w:val="0"/>
                <w:smallCaps w:val="0"/>
                <w:sz w:val="20"/>
                <w:szCs w:val="20"/>
              </w:rPr>
              <w:tab/>
            </w:r>
            <w:r w:rsidRPr="00F7263B">
              <w:rPr>
                <w:b w:val="0"/>
                <w:smallCaps w:val="0"/>
                <w:sz w:val="20"/>
                <w:szCs w:val="20"/>
              </w:rPr>
              <w:t>Note: For the new 26 ULGs, this DLI will only be applied from2015/16, hence amount to be distributed (US$</w:t>
            </w:r>
            <w:r w:rsidR="00D44F9F" w:rsidRPr="00F7263B">
              <w:rPr>
                <w:b w:val="0"/>
                <w:smallCaps w:val="0"/>
                <w:sz w:val="20"/>
                <w:szCs w:val="20"/>
              </w:rPr>
              <w:t>10.3</w:t>
            </w:r>
            <w:r w:rsidRPr="00F7263B">
              <w:rPr>
                <w:b w:val="0"/>
                <w:smallCaps w:val="0"/>
                <w:sz w:val="20"/>
                <w:szCs w:val="20"/>
              </w:rPr>
              <w:t xml:space="preserve"> million in 2014/15) will only be allocated across the 18 ULGs</w:t>
            </w:r>
            <w:r w:rsidR="00127A14" w:rsidRPr="00F7263B">
              <w:rPr>
                <w:b w:val="0"/>
                <w:smallCaps w:val="0"/>
                <w:sz w:val="20"/>
                <w:szCs w:val="20"/>
              </w:rPr>
              <w:t>.</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p w:rsidR="001A6EB7" w:rsidRPr="00F7263B" w:rsidRDefault="001A6EB7" w:rsidP="00254260">
            <w:pPr>
              <w:pStyle w:val="HEADINGP4RCHAPTER"/>
              <w:tabs>
                <w:tab w:val="left" w:pos="180"/>
                <w:tab w:val="center" w:pos="6624"/>
              </w:tabs>
              <w:spacing w:before="0" w:after="0"/>
              <w:contextualSpacing/>
              <w:jc w:val="left"/>
              <w:outlineLvl w:val="9"/>
              <w:rPr>
                <w:b w:val="0"/>
                <w:smallCaps w:val="0"/>
                <w:sz w:val="20"/>
                <w:szCs w:val="20"/>
              </w:rPr>
            </w:pPr>
            <w:r w:rsidRPr="00F7263B">
              <w:rPr>
                <w:b w:val="0"/>
                <w:smallCaps w:val="0"/>
                <w:sz w:val="20"/>
                <w:szCs w:val="20"/>
              </w:rPr>
              <w:t xml:space="preserve">Disbursement will be made provided that previous disbursements from </w:t>
            </w:r>
            <w:r w:rsidR="00830508" w:rsidRPr="00F7263B">
              <w:rPr>
                <w:b w:val="0"/>
                <w:smallCaps w:val="0"/>
                <w:sz w:val="20"/>
                <w:szCs w:val="20"/>
              </w:rPr>
              <w:t>government</w:t>
            </w:r>
            <w:r w:rsidRPr="00F7263B">
              <w:rPr>
                <w:b w:val="0"/>
                <w:smallCaps w:val="0"/>
                <w:sz w:val="20"/>
                <w:szCs w:val="20"/>
              </w:rPr>
              <w:t xml:space="preserve"> to ULGs have all been made.</w:t>
            </w:r>
          </w:p>
          <w:p w:rsidR="001A6EB7" w:rsidRPr="00F7263B" w:rsidRDefault="001A6EB7" w:rsidP="00F45E4C">
            <w:pPr>
              <w:pStyle w:val="HEADINGP4RCHAPTER"/>
              <w:tabs>
                <w:tab w:val="left" w:pos="180"/>
                <w:tab w:val="center" w:pos="6624"/>
              </w:tabs>
              <w:spacing w:before="0" w:after="0"/>
              <w:contextualSpacing/>
              <w:jc w:val="both"/>
              <w:outlineLvl w:val="9"/>
              <w:rPr>
                <w:b w:val="0"/>
                <w:smallCaps w:val="0"/>
                <w:sz w:val="20"/>
                <w:szCs w:val="20"/>
              </w:rPr>
            </w:pPr>
          </w:p>
        </w:tc>
      </w:tr>
      <w:tr w:rsidR="001A6EB7" w:rsidRPr="00F7263B" w:rsidTr="00254260">
        <w:trPr>
          <w:trHeight w:val="611"/>
        </w:trPr>
        <w:tc>
          <w:tcPr>
            <w:tcW w:w="567" w:type="dxa"/>
            <w:vAlign w:val="center"/>
          </w:tcPr>
          <w:p w:rsidR="001A6EB7" w:rsidRPr="00F7263B" w:rsidRDefault="001A6EB7" w:rsidP="00F45E4C">
            <w:pPr>
              <w:pStyle w:val="MainParanoChapter-Ch3"/>
              <w:numPr>
                <w:ilvl w:val="0"/>
                <w:numId w:val="0"/>
              </w:numPr>
              <w:spacing w:before="0"/>
              <w:jc w:val="left"/>
              <w:rPr>
                <w:sz w:val="20"/>
                <w:szCs w:val="20"/>
              </w:rPr>
            </w:pPr>
            <w:r w:rsidRPr="00F7263B">
              <w:rPr>
                <w:sz w:val="20"/>
                <w:szCs w:val="20"/>
              </w:rPr>
              <w:lastRenderedPageBreak/>
              <w:t>4</w:t>
            </w:r>
          </w:p>
        </w:tc>
        <w:tc>
          <w:tcPr>
            <w:tcW w:w="1276" w:type="dxa"/>
            <w:vAlign w:val="center"/>
          </w:tcPr>
          <w:p w:rsidR="001A6EB7" w:rsidRPr="00F7263B" w:rsidRDefault="001A6EB7" w:rsidP="00EA181A">
            <w:pPr>
              <w:rPr>
                <w:rFonts w:cs="Times New Roman"/>
                <w:sz w:val="20"/>
                <w:szCs w:val="20"/>
              </w:rPr>
            </w:pPr>
            <w:r w:rsidRPr="00F7263B">
              <w:rPr>
                <w:rFonts w:cs="Times New Roman"/>
                <w:sz w:val="20"/>
                <w:szCs w:val="20"/>
              </w:rPr>
              <w:t xml:space="preserve">Regional </w:t>
            </w:r>
            <w:r w:rsidR="00EA181A" w:rsidRPr="00F7263B">
              <w:rPr>
                <w:rFonts w:cs="Times New Roman"/>
                <w:sz w:val="20"/>
                <w:szCs w:val="20"/>
              </w:rPr>
              <w:t>capacity building</w:t>
            </w:r>
            <w:r w:rsidRPr="00F7263B">
              <w:rPr>
                <w:rFonts w:cs="Times New Roman"/>
                <w:sz w:val="20"/>
                <w:szCs w:val="20"/>
              </w:rPr>
              <w:t xml:space="preserve"> and support teams in place and support urban service delivery</w:t>
            </w:r>
          </w:p>
        </w:tc>
        <w:tc>
          <w:tcPr>
            <w:tcW w:w="1064" w:type="dxa"/>
            <w:vAlign w:val="center"/>
          </w:tcPr>
          <w:p w:rsidR="001A6EB7" w:rsidRPr="00F7263B" w:rsidRDefault="0089183A"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13</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89" w:name="_Toc333301308"/>
            <w:r w:rsidRPr="00F7263B">
              <w:rPr>
                <w:b w:val="0"/>
                <w:smallCaps w:val="0"/>
                <w:sz w:val="20"/>
                <w:szCs w:val="20"/>
              </w:rPr>
              <w:t>0</w:t>
            </w:r>
            <w:bookmarkEnd w:id="89"/>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90" w:name="_Toc333301309"/>
            <w:r w:rsidRPr="00F7263B">
              <w:rPr>
                <w:b w:val="0"/>
                <w:smallCaps w:val="0"/>
                <w:sz w:val="20"/>
                <w:szCs w:val="20"/>
              </w:rPr>
              <w:t>0</w:t>
            </w:r>
            <w:bookmarkEnd w:id="90"/>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highlight w:val="yellow"/>
              </w:rPr>
            </w:pPr>
            <w:bookmarkStart w:id="91" w:name="_Toc333301312"/>
            <w:r w:rsidRPr="00F7263B">
              <w:rPr>
                <w:b w:val="0"/>
                <w:smallCaps w:val="0"/>
                <w:sz w:val="20"/>
                <w:szCs w:val="20"/>
              </w:rPr>
              <w:t>X</w:t>
            </w:r>
            <w:bookmarkEnd w:id="91"/>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bookmarkStart w:id="92" w:name="_Toc333301313"/>
            <w:r w:rsidRPr="00F7263B">
              <w:rPr>
                <w:b w:val="0"/>
                <w:smallCaps w:val="0"/>
                <w:sz w:val="20"/>
                <w:szCs w:val="20"/>
              </w:rPr>
              <w:t>18 ULGAs</w:t>
            </w:r>
            <w:bookmarkEnd w:id="92"/>
          </w:p>
        </w:tc>
        <w:tc>
          <w:tcPr>
            <w:tcW w:w="5400" w:type="dxa"/>
          </w:tcPr>
          <w:p w:rsidR="001A6EB7" w:rsidRPr="00F7263B" w:rsidRDefault="001A6EB7" w:rsidP="00F45E4C">
            <w:pPr>
              <w:rPr>
                <w:sz w:val="20"/>
                <w:szCs w:val="20"/>
              </w:rPr>
            </w:pPr>
            <w:r w:rsidRPr="00F7263B">
              <w:rPr>
                <w:sz w:val="20"/>
                <w:szCs w:val="20"/>
              </w:rPr>
              <w:t xml:space="preserve">US$ </w:t>
            </w:r>
            <w:r w:rsidR="00D44F9F" w:rsidRPr="00F7263B">
              <w:rPr>
                <w:sz w:val="20"/>
                <w:szCs w:val="20"/>
              </w:rPr>
              <w:t>2</w:t>
            </w:r>
            <w:r w:rsidRPr="00F7263B">
              <w:rPr>
                <w:sz w:val="20"/>
                <w:szCs w:val="20"/>
              </w:rPr>
              <w:t>,</w:t>
            </w:r>
            <w:r w:rsidR="0089183A" w:rsidRPr="00F7263B">
              <w:rPr>
                <w:sz w:val="20"/>
                <w:szCs w:val="20"/>
              </w:rPr>
              <w:t>6</w:t>
            </w:r>
            <w:r w:rsidRPr="00F7263B">
              <w:rPr>
                <w:sz w:val="20"/>
                <w:szCs w:val="20"/>
              </w:rPr>
              <w:t>00,000 per year provided that conditions are fulfilled.</w:t>
            </w:r>
          </w:p>
          <w:p w:rsidR="001A6EB7" w:rsidRPr="00F7263B" w:rsidRDefault="001A6EB7" w:rsidP="00F45E4C">
            <w:pPr>
              <w:rPr>
                <w:sz w:val="20"/>
                <w:szCs w:val="20"/>
              </w:rPr>
            </w:pPr>
          </w:p>
          <w:p w:rsidR="001A6EB7" w:rsidRPr="00F7263B" w:rsidRDefault="001A6EB7" w:rsidP="00F45E4C">
            <w:pPr>
              <w:rPr>
                <w:sz w:val="20"/>
                <w:szCs w:val="20"/>
              </w:rPr>
            </w:pPr>
            <w:r w:rsidRPr="00F7263B">
              <w:rPr>
                <w:sz w:val="20"/>
                <w:szCs w:val="20"/>
                <w:u w:val="single"/>
              </w:rPr>
              <w:t>First year release for 2014/15</w:t>
            </w:r>
            <w:r w:rsidRPr="00F7263B">
              <w:rPr>
                <w:sz w:val="20"/>
                <w:szCs w:val="20"/>
              </w:rPr>
              <w:t xml:space="preserve">: Condition for release is the work-plan and TOR for the </w:t>
            </w:r>
            <w:r w:rsidRPr="00F7263B">
              <w:rPr>
                <w:b/>
                <w:smallCaps/>
                <w:sz w:val="20"/>
                <w:szCs w:val="20"/>
              </w:rPr>
              <w:t xml:space="preserve">4 </w:t>
            </w:r>
            <w:r w:rsidRPr="00F7263B">
              <w:rPr>
                <w:b/>
                <w:sz w:val="20"/>
                <w:szCs w:val="20"/>
              </w:rPr>
              <w:t>regional support teams</w:t>
            </w:r>
            <w:r w:rsidRPr="00F7263B">
              <w:rPr>
                <w:sz w:val="20"/>
                <w:szCs w:val="20"/>
              </w:rPr>
              <w:t xml:space="preserve"> 40 staff/4 X 10 staff for the core positions defined in the OM, in place as per TOR (before the start of 2014/15), checked by APA).</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u w:val="single"/>
              </w:rPr>
              <w:t>Second disbursement year (2015/16):</w:t>
            </w:r>
            <w:r w:rsidRPr="00F7263B">
              <w:rPr>
                <w:sz w:val="20"/>
                <w:szCs w:val="20"/>
              </w:rPr>
              <w:t xml:space="preserve"> Teams are in place and operating. Minimum 80% of the staff in place: 100% allocation, 50</w:t>
            </w:r>
            <w:r w:rsidR="00127A14" w:rsidRPr="00F7263B">
              <w:rPr>
                <w:sz w:val="20"/>
                <w:szCs w:val="20"/>
              </w:rPr>
              <w:t>–</w:t>
            </w:r>
            <w:r w:rsidRPr="00F7263B">
              <w:rPr>
                <w:sz w:val="20"/>
                <w:szCs w:val="20"/>
              </w:rPr>
              <w:t xml:space="preserve">80%: 50% allocation, less than 50%: No allocation. Additional condition is that the region has adopted service </w:t>
            </w:r>
            <w:r w:rsidRPr="00F7263B">
              <w:rPr>
                <w:sz w:val="20"/>
                <w:szCs w:val="20"/>
              </w:rPr>
              <w:lastRenderedPageBreak/>
              <w:t xml:space="preserve">delivery standards (as issued by </w:t>
            </w:r>
            <w:r w:rsidR="00276BC8" w:rsidRPr="00F7263B">
              <w:rPr>
                <w:sz w:val="20"/>
                <w:szCs w:val="20"/>
              </w:rPr>
              <w:t>MUDHCo</w:t>
            </w:r>
            <w:r w:rsidRPr="00F7263B">
              <w:rPr>
                <w:sz w:val="20"/>
                <w:szCs w:val="20"/>
              </w:rPr>
              <w:t xml:space="preserve">),* and issued those for the cities, and provided guidance in implementation (reports). (Documented by APA review October 2014). </w:t>
            </w:r>
          </w:p>
          <w:p w:rsidR="001A6EB7" w:rsidRPr="00F7263B" w:rsidRDefault="001A6EB7" w:rsidP="00F45E4C">
            <w:pPr>
              <w:framePr w:hSpace="141" w:wrap="around" w:vAnchor="text" w:hAnchor="text" w:xAlign="right" w:y="1"/>
              <w:suppressOverlap/>
              <w:rPr>
                <w:sz w:val="20"/>
                <w:szCs w:val="20"/>
              </w:rPr>
            </w:pPr>
          </w:p>
          <w:p w:rsidR="006F0A69" w:rsidRPr="00F7263B" w:rsidRDefault="001A6EB7" w:rsidP="00F45E4C">
            <w:pPr>
              <w:framePr w:hSpace="141" w:wrap="around" w:vAnchor="text" w:hAnchor="text" w:xAlign="right" w:y="1"/>
              <w:suppressOverlap/>
              <w:rPr>
                <w:sz w:val="20"/>
                <w:szCs w:val="20"/>
              </w:rPr>
            </w:pPr>
            <w:r w:rsidRPr="00F7263B">
              <w:rPr>
                <w:sz w:val="20"/>
                <w:szCs w:val="20"/>
                <w:u w:val="single"/>
              </w:rPr>
              <w:t>Third disbursement (2016/17):</w:t>
            </w:r>
            <w:r w:rsidRPr="00F7263B">
              <w:rPr>
                <w:sz w:val="20"/>
                <w:szCs w:val="20"/>
              </w:rPr>
              <w:t xml:space="preserve">  Teams are in place (minimum 80 % of the staff), and review of execution rate in 2014/15 (more than 80 % of planned activities implemented = full allocation 60</w:t>
            </w:r>
            <w:r w:rsidR="006F0A69" w:rsidRPr="00F7263B">
              <w:rPr>
                <w:sz w:val="20"/>
                <w:szCs w:val="20"/>
              </w:rPr>
              <w:t>–</w:t>
            </w:r>
            <w:r w:rsidRPr="00F7263B">
              <w:rPr>
                <w:sz w:val="20"/>
                <w:szCs w:val="20"/>
              </w:rPr>
              <w:t xml:space="preserve">80 = 50%, less than 50% = no allocation). </w:t>
            </w:r>
          </w:p>
          <w:p w:rsidR="006F0A69" w:rsidRPr="00F7263B" w:rsidRDefault="006F0A69"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 xml:space="preserve">*Note that it is an additional condition for disbursement that the region has adopted service delivery standards (as issued by </w:t>
            </w:r>
            <w:r w:rsidR="00276BC8" w:rsidRPr="00F7263B">
              <w:rPr>
                <w:sz w:val="20"/>
                <w:szCs w:val="20"/>
              </w:rPr>
              <w:t>MUDHCo</w:t>
            </w:r>
            <w:r w:rsidRPr="00F7263B">
              <w:rPr>
                <w:sz w:val="20"/>
                <w:szCs w:val="20"/>
              </w:rPr>
              <w:t>), and issued those for the cities, and provided guidance in implementation as well as monitoring (report). Documented by APA October 2015.</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 xml:space="preserve">Similar for following years. </w:t>
            </w:r>
          </w:p>
          <w:p w:rsidR="001A6EB7" w:rsidRPr="00F7263B" w:rsidRDefault="001A6EB7" w:rsidP="00F45E4C">
            <w:pPr>
              <w:framePr w:hSpace="141" w:wrap="around" w:vAnchor="text" w:hAnchor="text" w:xAlign="right" w:y="1"/>
              <w:suppressOverlap/>
              <w:rPr>
                <w:i/>
                <w:sz w:val="20"/>
                <w:szCs w:val="20"/>
              </w:rPr>
            </w:pPr>
          </w:p>
          <w:p w:rsidR="001A6EB7" w:rsidRPr="00F7263B" w:rsidRDefault="001A6EB7" w:rsidP="00254260">
            <w:pPr>
              <w:framePr w:hSpace="141" w:wrap="around" w:vAnchor="text" w:hAnchor="text" w:xAlign="right" w:y="1"/>
              <w:tabs>
                <w:tab w:val="left" w:pos="222"/>
              </w:tabs>
              <w:suppressOverlap/>
              <w:rPr>
                <w:sz w:val="20"/>
                <w:szCs w:val="20"/>
              </w:rPr>
            </w:pPr>
            <w:r w:rsidRPr="00F7263B">
              <w:rPr>
                <w:sz w:val="20"/>
                <w:szCs w:val="20"/>
              </w:rPr>
              <w:t>*</w:t>
            </w:r>
            <w:r w:rsidR="006F0A69" w:rsidRPr="00F7263B">
              <w:rPr>
                <w:sz w:val="20"/>
                <w:szCs w:val="20"/>
              </w:rPr>
              <w:tab/>
            </w:r>
            <w:r w:rsidRPr="00F7263B">
              <w:rPr>
                <w:sz w:val="20"/>
                <w:szCs w:val="20"/>
              </w:rPr>
              <w:t xml:space="preserve">This condition is only valid if </w:t>
            </w:r>
            <w:r w:rsidR="00276BC8" w:rsidRPr="00F7263B">
              <w:rPr>
                <w:sz w:val="20"/>
                <w:szCs w:val="20"/>
              </w:rPr>
              <w:t>MUDHCo</w:t>
            </w:r>
            <w:r w:rsidRPr="00F7263B">
              <w:rPr>
                <w:sz w:val="20"/>
                <w:szCs w:val="20"/>
              </w:rPr>
              <w:t xml:space="preserve"> has issued the service delivery standards to the regions. </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Calibrated according to number of teams with the required composition and activity level.</w:t>
            </w:r>
          </w:p>
          <w:p w:rsidR="001A6EB7" w:rsidRPr="00F7263B" w:rsidRDefault="001A6EB7" w:rsidP="00F45E4C">
            <w:pPr>
              <w:pStyle w:val="HEADINGP4RCHAPTER"/>
              <w:tabs>
                <w:tab w:val="left" w:pos="180"/>
                <w:tab w:val="center" w:pos="6624"/>
              </w:tabs>
              <w:spacing w:before="0" w:after="0"/>
              <w:jc w:val="both"/>
              <w:outlineLvl w:val="9"/>
              <w:rPr>
                <w:b w:val="0"/>
                <w:smallCaps w:val="0"/>
                <w:sz w:val="20"/>
                <w:szCs w:val="20"/>
              </w:rPr>
            </w:pPr>
          </w:p>
        </w:tc>
      </w:tr>
      <w:tr w:rsidR="001A6EB7" w:rsidRPr="00F7263B" w:rsidTr="00254260">
        <w:trPr>
          <w:trHeight w:val="530"/>
        </w:trPr>
        <w:tc>
          <w:tcPr>
            <w:tcW w:w="567" w:type="dxa"/>
            <w:vAlign w:val="center"/>
          </w:tcPr>
          <w:p w:rsidR="001A6EB7" w:rsidRPr="00F7263B" w:rsidRDefault="001A6EB7" w:rsidP="00F45E4C">
            <w:pPr>
              <w:pStyle w:val="MainParanoChapter-Ch3"/>
              <w:numPr>
                <w:ilvl w:val="0"/>
                <w:numId w:val="0"/>
              </w:numPr>
              <w:spacing w:before="0"/>
              <w:jc w:val="left"/>
              <w:rPr>
                <w:sz w:val="20"/>
                <w:szCs w:val="20"/>
              </w:rPr>
            </w:pPr>
            <w:r w:rsidRPr="00F7263B">
              <w:rPr>
                <w:sz w:val="20"/>
                <w:szCs w:val="20"/>
              </w:rPr>
              <w:lastRenderedPageBreak/>
              <w:t>5</w:t>
            </w:r>
          </w:p>
        </w:tc>
        <w:tc>
          <w:tcPr>
            <w:tcW w:w="1276" w:type="dxa"/>
            <w:vAlign w:val="center"/>
          </w:tcPr>
          <w:p w:rsidR="001A6EB7" w:rsidRPr="00F7263B" w:rsidRDefault="001A6EB7" w:rsidP="00F45E4C">
            <w:pPr>
              <w:rPr>
                <w:rFonts w:cs="Times New Roman"/>
                <w:sz w:val="20"/>
                <w:szCs w:val="20"/>
              </w:rPr>
            </w:pPr>
            <w:r w:rsidRPr="00F7263B">
              <w:rPr>
                <w:rFonts w:cs="Times New Roman"/>
                <w:sz w:val="20"/>
                <w:szCs w:val="20"/>
              </w:rPr>
              <w:t>Regional government audit (ORAG) carry out ULG audits on time</w:t>
            </w:r>
          </w:p>
        </w:tc>
        <w:tc>
          <w:tcPr>
            <w:tcW w:w="1064" w:type="dxa"/>
            <w:vAlign w:val="center"/>
          </w:tcPr>
          <w:p w:rsidR="001A6EB7" w:rsidRPr="00F7263B" w:rsidRDefault="00AF185B"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7</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5400" w:type="dxa"/>
          </w:tcPr>
          <w:p w:rsidR="001A6EB7" w:rsidRPr="00F7263B" w:rsidRDefault="001A6EB7" w:rsidP="00F45E4C">
            <w:pPr>
              <w:framePr w:hSpace="141" w:wrap="around" w:vAnchor="text" w:hAnchor="text" w:xAlign="right" w:y="1"/>
              <w:suppressOverlap/>
              <w:rPr>
                <w:sz w:val="20"/>
                <w:szCs w:val="20"/>
              </w:rPr>
            </w:pPr>
            <w:r w:rsidRPr="00F7263B">
              <w:rPr>
                <w:b/>
                <w:sz w:val="20"/>
                <w:szCs w:val="20"/>
              </w:rPr>
              <w:t>Audit</w:t>
            </w:r>
            <w:r w:rsidRPr="00F7263B">
              <w:rPr>
                <w:sz w:val="20"/>
                <w:szCs w:val="20"/>
              </w:rPr>
              <w:t xml:space="preserve"> (US$</w:t>
            </w:r>
            <w:r w:rsidR="00AF185B" w:rsidRPr="00F7263B">
              <w:rPr>
                <w:sz w:val="20"/>
                <w:szCs w:val="20"/>
              </w:rPr>
              <w:t>7</w:t>
            </w:r>
            <w:r w:rsidRPr="00F7263B">
              <w:rPr>
                <w:sz w:val="20"/>
                <w:szCs w:val="20"/>
              </w:rPr>
              <w:t>,000,000)/ 5 years= US$1,</w:t>
            </w:r>
            <w:r w:rsidR="00AF185B" w:rsidRPr="00F7263B">
              <w:rPr>
                <w:sz w:val="20"/>
                <w:szCs w:val="20"/>
              </w:rPr>
              <w:t>4</w:t>
            </w:r>
            <w:r w:rsidRPr="00F7263B">
              <w:rPr>
                <w:sz w:val="20"/>
                <w:szCs w:val="20"/>
              </w:rPr>
              <w:t>00,000 per year</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Disbursement calibrated in a manner where each region receives US$</w:t>
            </w:r>
            <w:r w:rsidR="00AF185B" w:rsidRPr="00F7263B">
              <w:rPr>
                <w:sz w:val="20"/>
                <w:szCs w:val="20"/>
              </w:rPr>
              <w:t>31,818</w:t>
            </w:r>
            <w:r w:rsidRPr="00F7263B">
              <w:rPr>
                <w:sz w:val="20"/>
                <w:szCs w:val="20"/>
              </w:rPr>
              <w:t xml:space="preserve"> per ULG, for which the audit has been made for the accounts of the previous </w:t>
            </w:r>
            <w:r w:rsidR="006F0A69" w:rsidRPr="00F7263B">
              <w:rPr>
                <w:sz w:val="20"/>
                <w:szCs w:val="20"/>
              </w:rPr>
              <w:t>financial year</w:t>
            </w:r>
            <w:r w:rsidRPr="00F7263B">
              <w:rPr>
                <w:sz w:val="20"/>
                <w:szCs w:val="20"/>
              </w:rPr>
              <w:t xml:space="preserve">. If a region has covered 7 ULGs in a timely fashion, it will be allocated 7 X </w:t>
            </w:r>
            <w:r w:rsidR="007B030D" w:rsidRPr="00F7263B">
              <w:rPr>
                <w:sz w:val="20"/>
                <w:szCs w:val="20"/>
              </w:rPr>
              <w:t>US$</w:t>
            </w:r>
            <w:r w:rsidR="00AF185B" w:rsidRPr="00F7263B">
              <w:rPr>
                <w:sz w:val="20"/>
                <w:szCs w:val="20"/>
              </w:rPr>
              <w:t>31,818</w:t>
            </w:r>
            <w:r w:rsidRPr="00F7263B">
              <w:rPr>
                <w:sz w:val="20"/>
                <w:szCs w:val="20"/>
              </w:rPr>
              <w:t>.</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 xml:space="preserve">The timeliness of audit is reviewed and verified by the APA teams in January each year, with implications for the allocations </w:t>
            </w:r>
            <w:r w:rsidRPr="00F7263B">
              <w:rPr>
                <w:sz w:val="20"/>
                <w:szCs w:val="20"/>
              </w:rPr>
              <w:lastRenderedPageBreak/>
              <w:t xml:space="preserve">for the following </w:t>
            </w:r>
            <w:r w:rsidR="005C0705" w:rsidRPr="00F7263B">
              <w:rPr>
                <w:sz w:val="20"/>
                <w:szCs w:val="20"/>
              </w:rPr>
              <w:t>financial year</w:t>
            </w:r>
            <w:r w:rsidRPr="00F7263B">
              <w:rPr>
                <w:sz w:val="20"/>
                <w:szCs w:val="20"/>
              </w:rPr>
              <w:t xml:space="preserve">. </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 xml:space="preserve">Amount of funds is calibrated in accordance with number of timely audit in the regions (timely audit means that the final audit report is issued no later than January 7 after the </w:t>
            </w:r>
            <w:r w:rsidR="005C0705" w:rsidRPr="00F7263B">
              <w:rPr>
                <w:sz w:val="20"/>
                <w:szCs w:val="20"/>
              </w:rPr>
              <w:t>financial year</w:t>
            </w:r>
            <w:r w:rsidRPr="00F7263B">
              <w:rPr>
                <w:sz w:val="20"/>
                <w:szCs w:val="20"/>
              </w:rPr>
              <w:t xml:space="preserve"> for which the audit concerns. </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pStyle w:val="HEADINGP4RCHAPTER"/>
              <w:tabs>
                <w:tab w:val="left" w:pos="180"/>
                <w:tab w:val="center" w:pos="6624"/>
              </w:tabs>
              <w:spacing w:before="0" w:after="0"/>
              <w:jc w:val="both"/>
              <w:outlineLvl w:val="9"/>
              <w:rPr>
                <w:b w:val="0"/>
                <w:smallCaps w:val="0"/>
                <w:sz w:val="20"/>
                <w:szCs w:val="20"/>
              </w:rPr>
            </w:pPr>
          </w:p>
        </w:tc>
      </w:tr>
      <w:tr w:rsidR="001A6EB7" w:rsidRPr="00F7263B" w:rsidTr="00254260">
        <w:trPr>
          <w:trHeight w:val="530"/>
        </w:trPr>
        <w:tc>
          <w:tcPr>
            <w:tcW w:w="567" w:type="dxa"/>
            <w:vAlign w:val="center"/>
          </w:tcPr>
          <w:p w:rsidR="001A6EB7" w:rsidRPr="00F7263B" w:rsidRDefault="001A6EB7" w:rsidP="00F45E4C">
            <w:pPr>
              <w:pStyle w:val="MainParanoChapter-Ch3"/>
              <w:numPr>
                <w:ilvl w:val="0"/>
                <w:numId w:val="0"/>
              </w:numPr>
              <w:spacing w:before="0"/>
              <w:jc w:val="left"/>
              <w:rPr>
                <w:sz w:val="20"/>
                <w:szCs w:val="20"/>
              </w:rPr>
            </w:pPr>
            <w:r w:rsidRPr="00F7263B">
              <w:rPr>
                <w:sz w:val="20"/>
                <w:szCs w:val="20"/>
              </w:rPr>
              <w:lastRenderedPageBreak/>
              <w:t>6</w:t>
            </w:r>
          </w:p>
        </w:tc>
        <w:tc>
          <w:tcPr>
            <w:tcW w:w="1276" w:type="dxa"/>
            <w:vAlign w:val="center"/>
          </w:tcPr>
          <w:p w:rsidR="001A6EB7" w:rsidRPr="00F7263B" w:rsidRDefault="001A6EB7" w:rsidP="00F45E4C">
            <w:pPr>
              <w:rPr>
                <w:rFonts w:cs="Times New Roman"/>
                <w:sz w:val="20"/>
                <w:szCs w:val="20"/>
              </w:rPr>
            </w:pPr>
            <w:r w:rsidRPr="00F7263B">
              <w:rPr>
                <w:rFonts w:cs="Times New Roman"/>
                <w:sz w:val="20"/>
                <w:szCs w:val="20"/>
              </w:rPr>
              <w:t>Regional environmental protection agencies (REPA) review of ULG safeguards compliance in timely fashion</w:t>
            </w:r>
          </w:p>
        </w:tc>
        <w:tc>
          <w:tcPr>
            <w:tcW w:w="1064" w:type="dxa"/>
            <w:vAlign w:val="center"/>
          </w:tcPr>
          <w:p w:rsidR="001A6EB7" w:rsidRPr="00F7263B" w:rsidRDefault="00BD7FDC"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6</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0</w:t>
            </w:r>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0</w:t>
            </w:r>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5400" w:type="dxa"/>
          </w:tcPr>
          <w:p w:rsidR="001A6EB7" w:rsidRPr="00F7263B" w:rsidRDefault="001A6EB7" w:rsidP="00F45E4C">
            <w:pPr>
              <w:rPr>
                <w:sz w:val="20"/>
                <w:szCs w:val="20"/>
              </w:rPr>
            </w:pPr>
            <w:r w:rsidRPr="00F7263B">
              <w:rPr>
                <w:b/>
                <w:sz w:val="20"/>
                <w:szCs w:val="20"/>
              </w:rPr>
              <w:t>Environmental and social safeguards</w:t>
            </w:r>
            <w:r w:rsidRPr="00F7263B">
              <w:rPr>
                <w:sz w:val="20"/>
                <w:szCs w:val="20"/>
              </w:rPr>
              <w:t xml:space="preserve"> audit and reviews:  US$</w:t>
            </w:r>
            <w:r w:rsidR="00BD7FDC" w:rsidRPr="00F7263B">
              <w:rPr>
                <w:sz w:val="20"/>
                <w:szCs w:val="20"/>
              </w:rPr>
              <w:t>6</w:t>
            </w:r>
            <w:r w:rsidRPr="00F7263B">
              <w:rPr>
                <w:sz w:val="20"/>
                <w:szCs w:val="20"/>
              </w:rPr>
              <w:t>,000,000 / 5 years=</w:t>
            </w:r>
            <w:r w:rsidR="006F0A69" w:rsidRPr="00F7263B">
              <w:rPr>
                <w:sz w:val="20"/>
                <w:szCs w:val="20"/>
              </w:rPr>
              <w:t xml:space="preserve"> US$</w:t>
            </w:r>
            <w:r w:rsidRPr="00F7263B">
              <w:rPr>
                <w:sz w:val="20"/>
                <w:szCs w:val="20"/>
              </w:rPr>
              <w:t>1,</w:t>
            </w:r>
            <w:r w:rsidR="00BD7FDC" w:rsidRPr="00F7263B">
              <w:rPr>
                <w:sz w:val="20"/>
                <w:szCs w:val="20"/>
              </w:rPr>
              <w:t>2</w:t>
            </w:r>
            <w:r w:rsidRPr="00F7263B">
              <w:rPr>
                <w:sz w:val="20"/>
                <w:szCs w:val="20"/>
              </w:rPr>
              <w:t xml:space="preserve">00,000 per year: </w:t>
            </w:r>
          </w:p>
          <w:p w:rsidR="001A6EB7" w:rsidRPr="00F7263B" w:rsidRDefault="001A6EB7" w:rsidP="00F45E4C">
            <w:pPr>
              <w:rPr>
                <w:sz w:val="20"/>
                <w:szCs w:val="20"/>
              </w:rPr>
            </w:pPr>
          </w:p>
          <w:p w:rsidR="001A6EB7" w:rsidRPr="00F7263B" w:rsidRDefault="001A6EB7" w:rsidP="00F45E4C">
            <w:pPr>
              <w:rPr>
                <w:sz w:val="20"/>
                <w:szCs w:val="20"/>
              </w:rPr>
            </w:pPr>
            <w:r w:rsidRPr="00F7263B">
              <w:rPr>
                <w:sz w:val="20"/>
                <w:szCs w:val="20"/>
              </w:rPr>
              <w:t>Disbursement calibrated in a manner where the disbursement is:  US$2</w:t>
            </w:r>
            <w:r w:rsidR="00BD7FDC" w:rsidRPr="00F7263B">
              <w:rPr>
                <w:sz w:val="20"/>
                <w:szCs w:val="20"/>
              </w:rPr>
              <w:t>7</w:t>
            </w:r>
            <w:r w:rsidRPr="00F7263B">
              <w:rPr>
                <w:sz w:val="20"/>
                <w:szCs w:val="20"/>
              </w:rPr>
              <w:t>,</w:t>
            </w:r>
            <w:r w:rsidR="00BD7FDC" w:rsidRPr="00F7263B">
              <w:rPr>
                <w:sz w:val="20"/>
                <w:szCs w:val="20"/>
              </w:rPr>
              <w:t>273</w:t>
            </w:r>
            <w:r w:rsidRPr="00F7263B">
              <w:rPr>
                <w:sz w:val="20"/>
                <w:szCs w:val="20"/>
              </w:rPr>
              <w:t xml:space="preserve"> per ULG for which the region has performed timely review/audit and approval of safeguard documents and review of implementation capacity for environmental and social mitigation and monitoring measures for CIP and environmental and social audit (annual).</w:t>
            </w:r>
          </w:p>
          <w:p w:rsidR="001A6EB7" w:rsidRPr="00F7263B" w:rsidRDefault="001A6EB7" w:rsidP="00F45E4C">
            <w:pPr>
              <w:pStyle w:val="HEADINGP4RCHAPTER"/>
              <w:tabs>
                <w:tab w:val="left" w:pos="180"/>
                <w:tab w:val="center" w:pos="6624"/>
              </w:tabs>
              <w:spacing w:before="0" w:after="0"/>
              <w:jc w:val="both"/>
              <w:outlineLvl w:val="9"/>
              <w:rPr>
                <w:b w:val="0"/>
                <w:smallCaps w:val="0"/>
                <w:sz w:val="20"/>
                <w:szCs w:val="20"/>
              </w:rPr>
            </w:pPr>
          </w:p>
          <w:p w:rsidR="001A6EB7" w:rsidRPr="00F7263B" w:rsidRDefault="001A6EB7" w:rsidP="00F45E4C">
            <w:pPr>
              <w:pStyle w:val="HEADINGP4RCHAPTER"/>
              <w:tabs>
                <w:tab w:val="left" w:pos="180"/>
                <w:tab w:val="center" w:pos="6624"/>
              </w:tabs>
              <w:spacing w:before="0" w:after="0"/>
              <w:jc w:val="both"/>
              <w:outlineLvl w:val="9"/>
              <w:rPr>
                <w:b w:val="0"/>
                <w:smallCaps w:val="0"/>
                <w:sz w:val="20"/>
                <w:szCs w:val="20"/>
              </w:rPr>
            </w:pPr>
            <w:r w:rsidRPr="00F7263B">
              <w:rPr>
                <w:b w:val="0"/>
                <w:smallCaps w:val="0"/>
                <w:sz w:val="20"/>
                <w:szCs w:val="20"/>
              </w:rPr>
              <w:t>If a region has conducted timely audit of 6 ULGs, the allocation will be 6 X US$2</w:t>
            </w:r>
            <w:r w:rsidR="00BD7FDC" w:rsidRPr="00F7263B">
              <w:rPr>
                <w:b w:val="0"/>
                <w:smallCaps w:val="0"/>
                <w:sz w:val="20"/>
                <w:szCs w:val="20"/>
              </w:rPr>
              <w:t>7</w:t>
            </w:r>
            <w:r w:rsidRPr="00F7263B">
              <w:rPr>
                <w:b w:val="0"/>
                <w:smallCaps w:val="0"/>
                <w:sz w:val="20"/>
                <w:szCs w:val="20"/>
              </w:rPr>
              <w:t>,</w:t>
            </w:r>
            <w:r w:rsidR="00BD7FDC" w:rsidRPr="00F7263B">
              <w:rPr>
                <w:b w:val="0"/>
                <w:smallCaps w:val="0"/>
                <w:sz w:val="20"/>
                <w:szCs w:val="20"/>
              </w:rPr>
              <w:t>273</w:t>
            </w:r>
            <w:r w:rsidRPr="00F7263B">
              <w:rPr>
                <w:b w:val="0"/>
                <w:smallCaps w:val="0"/>
                <w:sz w:val="20"/>
                <w:szCs w:val="20"/>
              </w:rPr>
              <w:t>.</w:t>
            </w:r>
          </w:p>
        </w:tc>
      </w:tr>
      <w:tr w:rsidR="001A6EB7" w:rsidRPr="00F7263B" w:rsidTr="00254260">
        <w:trPr>
          <w:trHeight w:val="530"/>
        </w:trPr>
        <w:tc>
          <w:tcPr>
            <w:tcW w:w="567" w:type="dxa"/>
            <w:vAlign w:val="center"/>
          </w:tcPr>
          <w:p w:rsidR="001A6EB7" w:rsidRPr="00F7263B" w:rsidRDefault="001A6EB7" w:rsidP="00F45E4C">
            <w:pPr>
              <w:pStyle w:val="MainParanoChapter-Ch3"/>
              <w:numPr>
                <w:ilvl w:val="0"/>
                <w:numId w:val="0"/>
              </w:numPr>
              <w:spacing w:before="0"/>
              <w:jc w:val="left"/>
              <w:rPr>
                <w:sz w:val="20"/>
                <w:szCs w:val="20"/>
              </w:rPr>
            </w:pPr>
            <w:r w:rsidRPr="00F7263B">
              <w:rPr>
                <w:sz w:val="20"/>
                <w:szCs w:val="20"/>
              </w:rPr>
              <w:t xml:space="preserve">7. </w:t>
            </w:r>
          </w:p>
        </w:tc>
        <w:tc>
          <w:tcPr>
            <w:tcW w:w="1276" w:type="dxa"/>
            <w:vAlign w:val="center"/>
          </w:tcPr>
          <w:p w:rsidR="001A6EB7" w:rsidRPr="00F7263B" w:rsidRDefault="001A6EB7" w:rsidP="004267F4">
            <w:pPr>
              <w:rPr>
                <w:rFonts w:cs="Times New Roman"/>
                <w:sz w:val="20"/>
                <w:szCs w:val="20"/>
              </w:rPr>
            </w:pPr>
            <w:r w:rsidRPr="00F7263B">
              <w:rPr>
                <w:rFonts w:cs="Times New Roman"/>
                <w:sz w:val="20"/>
                <w:szCs w:val="20"/>
              </w:rPr>
              <w:t xml:space="preserve">Regional </w:t>
            </w:r>
            <w:r w:rsidR="004267F4" w:rsidRPr="00F7263B">
              <w:rPr>
                <w:rFonts w:cs="Times New Roman"/>
                <w:sz w:val="20"/>
                <w:szCs w:val="20"/>
              </w:rPr>
              <w:t>Revenue Authorities</w:t>
            </w:r>
            <w:r w:rsidRPr="00F7263B">
              <w:rPr>
                <w:rFonts w:cs="Times New Roman"/>
                <w:sz w:val="20"/>
                <w:szCs w:val="20"/>
              </w:rPr>
              <w:t xml:space="preserve"> support ULG revenue mobilization</w:t>
            </w:r>
          </w:p>
        </w:tc>
        <w:tc>
          <w:tcPr>
            <w:tcW w:w="1064" w:type="dxa"/>
            <w:vAlign w:val="center"/>
          </w:tcPr>
          <w:p w:rsidR="001A6EB7" w:rsidRPr="00F7263B" w:rsidRDefault="00BD7FDC"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4</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0</w:t>
            </w:r>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0</w:t>
            </w:r>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5400" w:type="dxa"/>
          </w:tcPr>
          <w:p w:rsidR="00C9483C" w:rsidRPr="00F7263B" w:rsidRDefault="00C9483C" w:rsidP="00C9483C">
            <w:pPr>
              <w:rPr>
                <w:sz w:val="20"/>
                <w:szCs w:val="20"/>
              </w:rPr>
            </w:pPr>
            <w:r w:rsidRPr="00F7263B">
              <w:rPr>
                <w:sz w:val="20"/>
                <w:szCs w:val="20"/>
              </w:rPr>
              <w:t>US$</w:t>
            </w:r>
            <w:r w:rsidR="00BD7FDC" w:rsidRPr="00F7263B">
              <w:rPr>
                <w:sz w:val="20"/>
                <w:szCs w:val="20"/>
              </w:rPr>
              <w:t>4</w:t>
            </w:r>
            <w:r w:rsidRPr="00F7263B">
              <w:rPr>
                <w:sz w:val="20"/>
                <w:szCs w:val="20"/>
              </w:rPr>
              <w:t>,000,000 /2 times (third and the fifth year) = US$</w:t>
            </w:r>
            <w:r w:rsidR="00BD7FDC" w:rsidRPr="00F7263B">
              <w:rPr>
                <w:sz w:val="20"/>
                <w:szCs w:val="20"/>
              </w:rPr>
              <w:t>2</w:t>
            </w:r>
            <w:r w:rsidRPr="00F7263B">
              <w:rPr>
                <w:sz w:val="20"/>
                <w:szCs w:val="20"/>
              </w:rPr>
              <w:t>,</w:t>
            </w:r>
            <w:r w:rsidR="00BD7FDC" w:rsidRPr="00F7263B">
              <w:rPr>
                <w:sz w:val="20"/>
                <w:szCs w:val="20"/>
              </w:rPr>
              <w:t>0</w:t>
            </w:r>
            <w:r w:rsidRPr="00F7263B">
              <w:rPr>
                <w:sz w:val="20"/>
                <w:szCs w:val="20"/>
              </w:rPr>
              <w:t>00,000 per time for 2016/17 and 2018/19).</w:t>
            </w:r>
          </w:p>
          <w:p w:rsidR="00C9483C" w:rsidRPr="00F7263B" w:rsidRDefault="00C9483C" w:rsidP="00C9483C">
            <w:pPr>
              <w:rPr>
                <w:rFonts w:cs="Times New Roman"/>
                <w:sz w:val="20"/>
                <w:szCs w:val="20"/>
              </w:rPr>
            </w:pPr>
          </w:p>
          <w:p w:rsidR="00C9483C" w:rsidRPr="00F7263B" w:rsidRDefault="00C9483C" w:rsidP="00C9483C">
            <w:pPr>
              <w:rPr>
                <w:rFonts w:cs="Times New Roman"/>
                <w:sz w:val="20"/>
                <w:szCs w:val="20"/>
              </w:rPr>
            </w:pPr>
            <w:r w:rsidRPr="00F7263B">
              <w:rPr>
                <w:rFonts w:cs="Times New Roman"/>
                <w:sz w:val="20"/>
                <w:szCs w:val="20"/>
              </w:rPr>
              <w:t xml:space="preserve">Disbursements are made according to the number of ULGs where regions have conducted consultative review with ULGs of municipal revenues/tariff/tax rates and bands, and </w:t>
            </w:r>
            <w:r w:rsidR="006F0A69" w:rsidRPr="00F7263B">
              <w:rPr>
                <w:rFonts w:cs="Times New Roman"/>
                <w:sz w:val="20"/>
                <w:szCs w:val="20"/>
              </w:rPr>
              <w:t>revenue enhancement plans</w:t>
            </w:r>
            <w:r w:rsidRPr="00F7263B">
              <w:rPr>
                <w:rFonts w:cs="Times New Roman"/>
                <w:sz w:val="20"/>
                <w:szCs w:val="20"/>
              </w:rPr>
              <w:t xml:space="preserve">, and up-dated tariff proclamations with consultation and decisions recorded in regional council minutes in the year prior to the APA: </w:t>
            </w:r>
          </w:p>
          <w:p w:rsidR="00C9483C" w:rsidRPr="00F7263B" w:rsidRDefault="00C9483C" w:rsidP="00C9483C">
            <w:pPr>
              <w:rPr>
                <w:sz w:val="20"/>
                <w:szCs w:val="20"/>
              </w:rPr>
            </w:pPr>
          </w:p>
          <w:p w:rsidR="00C9483C" w:rsidRPr="00F7263B" w:rsidRDefault="00C9483C" w:rsidP="00F45E4C">
            <w:pPr>
              <w:rPr>
                <w:sz w:val="20"/>
                <w:szCs w:val="20"/>
              </w:rPr>
            </w:pPr>
            <w:r w:rsidRPr="00F7263B">
              <w:rPr>
                <w:sz w:val="20"/>
                <w:szCs w:val="20"/>
              </w:rPr>
              <w:t>Disbursement calibrated as US$</w:t>
            </w:r>
            <w:r w:rsidR="002F633B" w:rsidRPr="00F7263B">
              <w:rPr>
                <w:sz w:val="20"/>
                <w:szCs w:val="20"/>
              </w:rPr>
              <w:t>44</w:t>
            </w:r>
            <w:r w:rsidR="00AF73B3" w:rsidRPr="00F7263B">
              <w:rPr>
                <w:sz w:val="20"/>
                <w:szCs w:val="20"/>
              </w:rPr>
              <w:t>,</w:t>
            </w:r>
            <w:r w:rsidR="002F633B" w:rsidRPr="00F7263B">
              <w:rPr>
                <w:sz w:val="20"/>
                <w:szCs w:val="20"/>
              </w:rPr>
              <w:t>455</w:t>
            </w:r>
            <w:r w:rsidRPr="00F7263B">
              <w:rPr>
                <w:sz w:val="20"/>
                <w:szCs w:val="20"/>
              </w:rPr>
              <w:t xml:space="preserve"> per ULG where conditions are fulfilled.</w:t>
            </w:r>
          </w:p>
          <w:p w:rsidR="00C9483C" w:rsidRPr="00F7263B" w:rsidRDefault="00C9483C" w:rsidP="00F45E4C">
            <w:pPr>
              <w:rPr>
                <w:sz w:val="20"/>
                <w:szCs w:val="20"/>
              </w:rPr>
            </w:pPr>
          </w:p>
          <w:p w:rsidR="001A6EB7" w:rsidRPr="00F7263B" w:rsidRDefault="001A6EB7" w:rsidP="00C9483C">
            <w:pPr>
              <w:rPr>
                <w:b/>
                <w:smallCaps/>
                <w:sz w:val="20"/>
                <w:szCs w:val="20"/>
              </w:rPr>
            </w:pPr>
          </w:p>
        </w:tc>
      </w:tr>
      <w:tr w:rsidR="001A6EB7" w:rsidRPr="00F7263B" w:rsidTr="00254260">
        <w:trPr>
          <w:trHeight w:val="530"/>
        </w:trPr>
        <w:tc>
          <w:tcPr>
            <w:tcW w:w="567" w:type="dxa"/>
            <w:vAlign w:val="center"/>
          </w:tcPr>
          <w:p w:rsidR="001A6EB7" w:rsidRPr="00F7263B" w:rsidRDefault="001A6EB7" w:rsidP="00F45E4C">
            <w:pPr>
              <w:pStyle w:val="MainParanoChapter-Ch3"/>
              <w:numPr>
                <w:ilvl w:val="0"/>
                <w:numId w:val="0"/>
              </w:numPr>
              <w:spacing w:before="0"/>
              <w:jc w:val="left"/>
              <w:rPr>
                <w:sz w:val="20"/>
                <w:szCs w:val="20"/>
              </w:rPr>
            </w:pPr>
            <w:r w:rsidRPr="00F7263B">
              <w:rPr>
                <w:sz w:val="20"/>
                <w:szCs w:val="20"/>
              </w:rPr>
              <w:lastRenderedPageBreak/>
              <w:t xml:space="preserve">8. </w:t>
            </w:r>
          </w:p>
        </w:tc>
        <w:tc>
          <w:tcPr>
            <w:tcW w:w="1276" w:type="dxa"/>
            <w:vAlign w:val="center"/>
          </w:tcPr>
          <w:p w:rsidR="001A6EB7" w:rsidRPr="00F7263B" w:rsidRDefault="001A6EB7" w:rsidP="00F45E4C">
            <w:pPr>
              <w:rPr>
                <w:rFonts w:cs="Times New Roman"/>
                <w:sz w:val="20"/>
                <w:szCs w:val="20"/>
              </w:rPr>
            </w:pPr>
            <w:r w:rsidRPr="00F7263B">
              <w:rPr>
                <w:rFonts w:cs="Times New Roman"/>
                <w:sz w:val="20"/>
                <w:szCs w:val="20"/>
              </w:rPr>
              <w:t xml:space="preserve">Completion of annual </w:t>
            </w:r>
            <w:r w:rsidR="00830508" w:rsidRPr="00F7263B">
              <w:rPr>
                <w:rFonts w:cs="Times New Roman"/>
                <w:sz w:val="20"/>
                <w:szCs w:val="20"/>
              </w:rPr>
              <w:t>MUDHCo</w:t>
            </w:r>
            <w:r w:rsidR="0065739F" w:rsidRPr="00F7263B">
              <w:rPr>
                <w:rFonts w:cs="Times New Roman"/>
                <w:sz w:val="20"/>
                <w:szCs w:val="20"/>
              </w:rPr>
              <w:t>Capacity building</w:t>
            </w:r>
            <w:r w:rsidRPr="00F7263B">
              <w:rPr>
                <w:rFonts w:cs="Times New Roman"/>
                <w:sz w:val="20"/>
                <w:szCs w:val="20"/>
              </w:rPr>
              <w:t xml:space="preserve"> activities for Program ULGs, </w:t>
            </w:r>
            <w:r w:rsidR="00BD1B5F" w:rsidRPr="00F7263B">
              <w:rPr>
                <w:rFonts w:cs="Times New Roman"/>
                <w:sz w:val="20"/>
                <w:szCs w:val="20"/>
              </w:rPr>
              <w:t>regional government</w:t>
            </w:r>
            <w:r w:rsidRPr="00F7263B">
              <w:rPr>
                <w:rFonts w:cs="Times New Roman"/>
                <w:sz w:val="20"/>
                <w:szCs w:val="20"/>
              </w:rPr>
              <w:t>s, and the ministry</w:t>
            </w:r>
          </w:p>
        </w:tc>
        <w:tc>
          <w:tcPr>
            <w:tcW w:w="1064" w:type="dxa"/>
            <w:vAlign w:val="center"/>
          </w:tcPr>
          <w:p w:rsidR="001A6EB7" w:rsidRPr="00F7263B" w:rsidRDefault="0029060B"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22</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5400" w:type="dxa"/>
          </w:tcPr>
          <w:p w:rsidR="001A6EB7" w:rsidRPr="00F7263B" w:rsidRDefault="0029060B" w:rsidP="00F45E4C">
            <w:pPr>
              <w:rPr>
                <w:sz w:val="20"/>
                <w:szCs w:val="20"/>
              </w:rPr>
            </w:pPr>
            <w:r w:rsidRPr="00F7263B">
              <w:rPr>
                <w:sz w:val="20"/>
                <w:szCs w:val="20"/>
              </w:rPr>
              <w:t>22</w:t>
            </w:r>
            <w:r w:rsidR="001A6EB7" w:rsidRPr="00F7263B">
              <w:rPr>
                <w:sz w:val="20"/>
                <w:szCs w:val="20"/>
              </w:rPr>
              <w:t xml:space="preserve"> million /5 years= US$</w:t>
            </w:r>
            <w:r w:rsidRPr="00F7263B">
              <w:rPr>
                <w:sz w:val="20"/>
                <w:szCs w:val="20"/>
              </w:rPr>
              <w:t>4</w:t>
            </w:r>
            <w:r w:rsidR="001A6EB7" w:rsidRPr="00F7263B">
              <w:rPr>
                <w:sz w:val="20"/>
                <w:szCs w:val="20"/>
              </w:rPr>
              <w:t xml:space="preserve">.4 million per year. </w:t>
            </w:r>
          </w:p>
          <w:p w:rsidR="001A6EB7" w:rsidRPr="00F7263B" w:rsidRDefault="001A6EB7" w:rsidP="00F45E4C">
            <w:pPr>
              <w:ind w:left="180"/>
              <w:rPr>
                <w:sz w:val="20"/>
                <w:szCs w:val="20"/>
              </w:rPr>
            </w:pPr>
          </w:p>
          <w:p w:rsidR="001A6EB7" w:rsidRPr="00F7263B" w:rsidRDefault="001A6EB7" w:rsidP="00F45E4C">
            <w:pPr>
              <w:rPr>
                <w:sz w:val="20"/>
                <w:szCs w:val="20"/>
              </w:rPr>
            </w:pPr>
            <w:r w:rsidRPr="00F7263B">
              <w:rPr>
                <w:sz w:val="20"/>
                <w:szCs w:val="20"/>
              </w:rPr>
              <w:t xml:space="preserve">First year (2014/15): </w:t>
            </w:r>
          </w:p>
          <w:p w:rsidR="001A6EB7" w:rsidRPr="00F7263B" w:rsidRDefault="001A6EB7" w:rsidP="00F45E4C">
            <w:pPr>
              <w:rPr>
                <w:sz w:val="20"/>
                <w:szCs w:val="20"/>
              </w:rPr>
            </w:pPr>
          </w:p>
          <w:p w:rsidR="001A6EB7" w:rsidRPr="00F7263B" w:rsidRDefault="001A6EB7" w:rsidP="00F45E4C">
            <w:pPr>
              <w:rPr>
                <w:sz w:val="20"/>
                <w:szCs w:val="20"/>
              </w:rPr>
            </w:pPr>
            <w:r w:rsidRPr="00F7263B">
              <w:rPr>
                <w:sz w:val="20"/>
                <w:szCs w:val="20"/>
              </w:rPr>
              <w:t xml:space="preserve">Minimum condition for disbursement: Plan prepared for the technical federal support teams in place: (12 + 22=34 staff), covering the </w:t>
            </w:r>
            <w:r w:rsidR="006F0A69" w:rsidRPr="00F7263B">
              <w:rPr>
                <w:sz w:val="20"/>
                <w:szCs w:val="20"/>
              </w:rPr>
              <w:t>developing regional states</w:t>
            </w:r>
            <w:r w:rsidRPr="00F7263B">
              <w:rPr>
                <w:sz w:val="20"/>
                <w:szCs w:val="20"/>
              </w:rPr>
              <w:t>, D</w:t>
            </w:r>
            <w:r w:rsidR="006F0A69" w:rsidRPr="00F7263B">
              <w:rPr>
                <w:sz w:val="20"/>
                <w:szCs w:val="20"/>
              </w:rPr>
              <w:t xml:space="preserve">ire </w:t>
            </w:r>
            <w:r w:rsidRPr="00F7263B">
              <w:rPr>
                <w:sz w:val="20"/>
                <w:szCs w:val="20"/>
              </w:rPr>
              <w:t>D</w:t>
            </w:r>
            <w:r w:rsidR="006F0A69" w:rsidRPr="00F7263B">
              <w:rPr>
                <w:sz w:val="20"/>
                <w:szCs w:val="20"/>
              </w:rPr>
              <w:t>awa</w:t>
            </w:r>
            <w:r w:rsidRPr="00F7263B">
              <w:rPr>
                <w:sz w:val="20"/>
                <w:szCs w:val="20"/>
              </w:rPr>
              <w:t>, Harar + remaining regions + and for backstopping support of all ULGs and support to</w:t>
            </w:r>
            <w:r w:rsidR="00276BC8" w:rsidRPr="00F7263B">
              <w:rPr>
                <w:sz w:val="20"/>
                <w:szCs w:val="20"/>
              </w:rPr>
              <w:t>MUDHCo</w:t>
            </w:r>
            <w:r w:rsidRPr="00F7263B">
              <w:rPr>
                <w:sz w:val="20"/>
                <w:szCs w:val="20"/>
              </w:rPr>
              <w:t xml:space="preserve"> according to standard format as per the </w:t>
            </w:r>
            <w:r w:rsidR="007414BF" w:rsidRPr="00F7263B">
              <w:rPr>
                <w:sz w:val="20"/>
                <w:szCs w:val="20"/>
              </w:rPr>
              <w:t>Operational Manual</w:t>
            </w:r>
            <w:r w:rsidRPr="00F7263B">
              <w:rPr>
                <w:sz w:val="20"/>
                <w:szCs w:val="20"/>
              </w:rPr>
              <w:t xml:space="preserve">, and with the details on minimum level visits to ULGs, staff weeks in ULGs etc. and </w:t>
            </w:r>
            <w:r w:rsidR="006F0A69" w:rsidRPr="00F7263B">
              <w:rPr>
                <w:sz w:val="20"/>
                <w:szCs w:val="20"/>
              </w:rPr>
              <w:t xml:space="preserve">terms of reference </w:t>
            </w:r>
            <w:r w:rsidRPr="00F7263B">
              <w:rPr>
                <w:sz w:val="20"/>
                <w:szCs w:val="20"/>
              </w:rPr>
              <w:t xml:space="preserve">for positions.  </w:t>
            </w:r>
          </w:p>
          <w:p w:rsidR="001A6EB7" w:rsidRPr="00F7263B" w:rsidRDefault="001A6EB7" w:rsidP="00F45E4C">
            <w:pPr>
              <w:rPr>
                <w:sz w:val="20"/>
                <w:szCs w:val="20"/>
              </w:rPr>
            </w:pPr>
          </w:p>
          <w:p w:rsidR="001A6EB7" w:rsidRPr="00F7263B" w:rsidRDefault="001A6EB7" w:rsidP="00F45E4C">
            <w:pPr>
              <w:rPr>
                <w:sz w:val="20"/>
                <w:szCs w:val="20"/>
              </w:rPr>
            </w:pPr>
            <w:r w:rsidRPr="00F7263B">
              <w:rPr>
                <w:sz w:val="20"/>
                <w:szCs w:val="20"/>
              </w:rPr>
              <w:t>Following years (</w:t>
            </w:r>
            <w:r w:rsidR="000E135C" w:rsidRPr="00F7263B">
              <w:rPr>
                <w:sz w:val="20"/>
                <w:szCs w:val="20"/>
              </w:rPr>
              <w:t>2015/</w:t>
            </w:r>
            <w:r w:rsidR="00B17200" w:rsidRPr="00F7263B">
              <w:rPr>
                <w:sz w:val="20"/>
                <w:szCs w:val="20"/>
              </w:rPr>
              <w:t>20</w:t>
            </w:r>
            <w:r w:rsidRPr="00F7263B">
              <w:rPr>
                <w:sz w:val="20"/>
                <w:szCs w:val="20"/>
              </w:rPr>
              <w:t>16 and</w:t>
            </w:r>
            <w:r w:rsidR="006F0A69" w:rsidRPr="00F7263B">
              <w:rPr>
                <w:sz w:val="20"/>
                <w:szCs w:val="20"/>
              </w:rPr>
              <w:t xml:space="preserve">the </w:t>
            </w:r>
            <w:r w:rsidR="000E135C" w:rsidRPr="00F7263B">
              <w:rPr>
                <w:sz w:val="20"/>
                <w:szCs w:val="20"/>
              </w:rPr>
              <w:t xml:space="preserve">following </w:t>
            </w:r>
            <w:r w:rsidR="006F0A69" w:rsidRPr="00F7263B">
              <w:rPr>
                <w:sz w:val="20"/>
                <w:szCs w:val="20"/>
              </w:rPr>
              <w:t>financial years</w:t>
            </w:r>
            <w:r w:rsidRPr="00F7263B">
              <w:rPr>
                <w:sz w:val="20"/>
                <w:szCs w:val="20"/>
              </w:rPr>
              <w:t>):</w:t>
            </w:r>
          </w:p>
          <w:p w:rsidR="001A6EB7" w:rsidRPr="00F7263B" w:rsidRDefault="001A6EB7" w:rsidP="00F45E4C">
            <w:pPr>
              <w:rPr>
                <w:i/>
                <w:sz w:val="20"/>
                <w:szCs w:val="20"/>
              </w:rPr>
            </w:pPr>
          </w:p>
          <w:p w:rsidR="001A6EB7" w:rsidRPr="00F7263B" w:rsidRDefault="001A6EB7" w:rsidP="00F45E4C">
            <w:pPr>
              <w:rPr>
                <w:sz w:val="20"/>
                <w:szCs w:val="20"/>
              </w:rPr>
            </w:pPr>
            <w:r w:rsidRPr="00F7263B">
              <w:rPr>
                <w:i/>
                <w:sz w:val="20"/>
                <w:szCs w:val="20"/>
              </w:rPr>
              <w:t xml:space="preserve">Minimum 60 days prior to the </w:t>
            </w:r>
            <w:r w:rsidR="006F0A69" w:rsidRPr="00F7263B">
              <w:rPr>
                <w:i/>
                <w:sz w:val="20"/>
                <w:szCs w:val="20"/>
              </w:rPr>
              <w:t>financial y</w:t>
            </w:r>
            <w:r w:rsidRPr="00F7263B">
              <w:rPr>
                <w:i/>
                <w:sz w:val="20"/>
                <w:szCs w:val="20"/>
              </w:rPr>
              <w:t xml:space="preserve">ear, </w:t>
            </w:r>
            <w:r w:rsidR="00830508" w:rsidRPr="00F7263B">
              <w:rPr>
                <w:i/>
                <w:sz w:val="20"/>
                <w:szCs w:val="20"/>
              </w:rPr>
              <w:t>MUDHCo</w:t>
            </w:r>
            <w:r w:rsidRPr="00F7263B">
              <w:rPr>
                <w:i/>
                <w:sz w:val="20"/>
                <w:szCs w:val="20"/>
              </w:rPr>
              <w:t xml:space="preserve"> provides information on </w:t>
            </w:r>
            <w:r w:rsidR="00B17200" w:rsidRPr="00F7263B">
              <w:rPr>
                <w:i/>
                <w:sz w:val="20"/>
                <w:szCs w:val="20"/>
              </w:rPr>
              <w:t>capacity building</w:t>
            </w:r>
            <w:r w:rsidRPr="00F7263B">
              <w:rPr>
                <w:i/>
                <w:sz w:val="20"/>
                <w:szCs w:val="20"/>
              </w:rPr>
              <w:t xml:space="preserve"> plan in place (up-dated for the coming </w:t>
            </w:r>
            <w:r w:rsidR="006F0A69" w:rsidRPr="00F7263B">
              <w:rPr>
                <w:i/>
                <w:sz w:val="20"/>
                <w:szCs w:val="20"/>
              </w:rPr>
              <w:t>financial year</w:t>
            </w:r>
            <w:r w:rsidRPr="00F7263B">
              <w:rPr>
                <w:i/>
                <w:sz w:val="20"/>
                <w:szCs w:val="20"/>
              </w:rPr>
              <w:t>), and review of execution rates in the ongoing</w:t>
            </w:r>
            <w:r w:rsidRPr="00F7263B">
              <w:rPr>
                <w:sz w:val="20"/>
                <w:szCs w:val="20"/>
              </w:rPr>
              <w:t>), see below. Plan sh</w:t>
            </w:r>
            <w:r w:rsidR="00B17200" w:rsidRPr="00F7263B">
              <w:rPr>
                <w:sz w:val="20"/>
                <w:szCs w:val="20"/>
              </w:rPr>
              <w:t>ould be adopted for the future fiscal y</w:t>
            </w:r>
            <w:r w:rsidRPr="00F7263B">
              <w:rPr>
                <w:sz w:val="20"/>
                <w:szCs w:val="20"/>
              </w:rPr>
              <w:t xml:space="preserve">ear, and minimum 80 </w:t>
            </w:r>
            <w:r w:rsidR="00B17200" w:rsidRPr="00F7263B">
              <w:rPr>
                <w:sz w:val="20"/>
                <w:szCs w:val="20"/>
              </w:rPr>
              <w:t>percent</w:t>
            </w:r>
            <w:r w:rsidRPr="00F7263B">
              <w:rPr>
                <w:sz w:val="20"/>
                <w:szCs w:val="20"/>
              </w:rPr>
              <w:t xml:space="preserve"> of the 34 staff have to be in place and the execution rate of the planned activities should be above 60</w:t>
            </w:r>
            <w:r w:rsidR="00B17200" w:rsidRPr="00F7263B">
              <w:rPr>
                <w:sz w:val="20"/>
                <w:szCs w:val="20"/>
              </w:rPr>
              <w:t xml:space="preserve"> percent</w:t>
            </w:r>
            <w:r w:rsidRPr="00F7263B">
              <w:rPr>
                <w:sz w:val="20"/>
                <w:szCs w:val="20"/>
              </w:rPr>
              <w:t xml:space="preserve">: 100 </w:t>
            </w:r>
            <w:r w:rsidR="00B17200" w:rsidRPr="00F7263B">
              <w:rPr>
                <w:sz w:val="20"/>
                <w:szCs w:val="20"/>
              </w:rPr>
              <w:t>percent</w:t>
            </w:r>
            <w:r w:rsidRPr="00F7263B">
              <w:rPr>
                <w:sz w:val="20"/>
                <w:szCs w:val="20"/>
              </w:rPr>
              <w:t xml:space="preserve"> allocation. </w:t>
            </w:r>
          </w:p>
          <w:p w:rsidR="001A6EB7" w:rsidRPr="00F7263B" w:rsidRDefault="001A6EB7" w:rsidP="00F45E4C">
            <w:pPr>
              <w:rPr>
                <w:sz w:val="20"/>
                <w:szCs w:val="20"/>
              </w:rPr>
            </w:pPr>
          </w:p>
          <w:p w:rsidR="001A6EB7" w:rsidRPr="00F7263B" w:rsidRDefault="001A6EB7" w:rsidP="00F45E4C">
            <w:pPr>
              <w:rPr>
                <w:sz w:val="20"/>
                <w:szCs w:val="20"/>
              </w:rPr>
            </w:pPr>
            <w:r w:rsidRPr="00F7263B">
              <w:rPr>
                <w:sz w:val="20"/>
                <w:szCs w:val="20"/>
              </w:rPr>
              <w:t xml:space="preserve">If minimum 60 </w:t>
            </w:r>
            <w:r w:rsidR="00B17200" w:rsidRPr="00F7263B">
              <w:rPr>
                <w:sz w:val="20"/>
                <w:szCs w:val="20"/>
              </w:rPr>
              <w:t>percent</w:t>
            </w:r>
            <w:r w:rsidRPr="00F7263B">
              <w:rPr>
                <w:sz w:val="20"/>
                <w:szCs w:val="20"/>
              </w:rPr>
              <w:t xml:space="preserve"> of staff in place and minimum 40-60</w:t>
            </w:r>
            <w:r w:rsidR="00B17200" w:rsidRPr="00F7263B">
              <w:rPr>
                <w:sz w:val="20"/>
                <w:szCs w:val="20"/>
              </w:rPr>
              <w:t xml:space="preserve"> percent</w:t>
            </w:r>
            <w:r w:rsidRPr="00F7263B">
              <w:rPr>
                <w:sz w:val="20"/>
                <w:szCs w:val="20"/>
              </w:rPr>
              <w:t xml:space="preserve"> execution: 60</w:t>
            </w:r>
            <w:r w:rsidR="00B17200" w:rsidRPr="00F7263B">
              <w:rPr>
                <w:sz w:val="20"/>
                <w:szCs w:val="20"/>
              </w:rPr>
              <w:t>percent</w:t>
            </w:r>
            <w:r w:rsidRPr="00F7263B">
              <w:rPr>
                <w:sz w:val="20"/>
                <w:szCs w:val="20"/>
              </w:rPr>
              <w:t xml:space="preserve"> allocation.</w:t>
            </w:r>
          </w:p>
          <w:p w:rsidR="001A6EB7" w:rsidRPr="00F7263B" w:rsidRDefault="001A6EB7" w:rsidP="00F45E4C">
            <w:pPr>
              <w:rPr>
                <w:sz w:val="20"/>
                <w:szCs w:val="20"/>
              </w:rPr>
            </w:pPr>
          </w:p>
          <w:p w:rsidR="001A6EB7" w:rsidRPr="00F7263B" w:rsidRDefault="001A6EB7" w:rsidP="00F45E4C">
            <w:pPr>
              <w:rPr>
                <w:sz w:val="20"/>
                <w:szCs w:val="20"/>
              </w:rPr>
            </w:pPr>
            <w:r w:rsidRPr="00F7263B">
              <w:rPr>
                <w:sz w:val="20"/>
                <w:szCs w:val="20"/>
              </w:rPr>
              <w:t xml:space="preserve">Below 60 </w:t>
            </w:r>
            <w:r w:rsidR="00B17200" w:rsidRPr="00F7263B">
              <w:rPr>
                <w:sz w:val="20"/>
                <w:szCs w:val="20"/>
              </w:rPr>
              <w:t>percent</w:t>
            </w:r>
            <w:r w:rsidRPr="00F7263B">
              <w:rPr>
                <w:sz w:val="20"/>
                <w:szCs w:val="20"/>
              </w:rPr>
              <w:t xml:space="preserve"> of staff in place and/or below 40 </w:t>
            </w:r>
            <w:r w:rsidR="006F0A69" w:rsidRPr="00F7263B">
              <w:rPr>
                <w:sz w:val="20"/>
                <w:szCs w:val="20"/>
              </w:rPr>
              <w:t>percent</w:t>
            </w:r>
            <w:r w:rsidRPr="00F7263B">
              <w:rPr>
                <w:sz w:val="20"/>
                <w:szCs w:val="20"/>
              </w:rPr>
              <w:t xml:space="preserve"> execution: No allocation. </w:t>
            </w:r>
          </w:p>
          <w:p w:rsidR="001A6EB7" w:rsidRPr="00F7263B" w:rsidRDefault="001A6EB7" w:rsidP="00F45E4C">
            <w:pPr>
              <w:pStyle w:val="HEADINGP4RCHAPTER"/>
              <w:tabs>
                <w:tab w:val="left" w:pos="180"/>
                <w:tab w:val="center" w:pos="6624"/>
              </w:tabs>
              <w:spacing w:before="0" w:after="0"/>
              <w:jc w:val="both"/>
              <w:outlineLvl w:val="9"/>
              <w:rPr>
                <w:b w:val="0"/>
                <w:smallCaps w:val="0"/>
                <w:sz w:val="20"/>
                <w:szCs w:val="20"/>
              </w:rPr>
            </w:pPr>
          </w:p>
        </w:tc>
      </w:tr>
      <w:tr w:rsidR="001A6EB7" w:rsidRPr="00F7263B" w:rsidTr="00254260">
        <w:trPr>
          <w:trHeight w:val="530"/>
        </w:trPr>
        <w:tc>
          <w:tcPr>
            <w:tcW w:w="567" w:type="dxa"/>
            <w:vAlign w:val="center"/>
          </w:tcPr>
          <w:p w:rsidR="001A6EB7" w:rsidRPr="00F7263B" w:rsidRDefault="001A6EB7" w:rsidP="00F45E4C">
            <w:pPr>
              <w:pStyle w:val="MainParanoChapter-Ch3"/>
              <w:numPr>
                <w:ilvl w:val="0"/>
                <w:numId w:val="0"/>
              </w:numPr>
              <w:spacing w:before="0"/>
              <w:jc w:val="left"/>
              <w:rPr>
                <w:sz w:val="20"/>
                <w:szCs w:val="20"/>
              </w:rPr>
            </w:pPr>
            <w:r w:rsidRPr="00F7263B">
              <w:rPr>
                <w:sz w:val="20"/>
                <w:szCs w:val="20"/>
              </w:rPr>
              <w:lastRenderedPageBreak/>
              <w:t>9.</w:t>
            </w:r>
          </w:p>
        </w:tc>
        <w:tc>
          <w:tcPr>
            <w:tcW w:w="1276" w:type="dxa"/>
            <w:vAlign w:val="center"/>
          </w:tcPr>
          <w:p w:rsidR="001A6EB7" w:rsidRPr="00F7263B" w:rsidRDefault="001A6EB7" w:rsidP="00F45E4C">
            <w:pPr>
              <w:rPr>
                <w:rFonts w:cs="Times New Roman"/>
                <w:sz w:val="20"/>
                <w:szCs w:val="20"/>
              </w:rPr>
            </w:pPr>
            <w:r w:rsidRPr="00F7263B">
              <w:rPr>
                <w:rFonts w:cs="Times New Roman"/>
                <w:sz w:val="20"/>
                <w:szCs w:val="20"/>
              </w:rPr>
              <w:t xml:space="preserve">Timely launch and completion of Program APA and </w:t>
            </w:r>
            <w:r w:rsidR="00892250" w:rsidRPr="00F7263B">
              <w:rPr>
                <w:rFonts w:cs="Times New Roman"/>
                <w:sz w:val="20"/>
                <w:szCs w:val="20"/>
              </w:rPr>
              <w:t>value for money</w:t>
            </w:r>
          </w:p>
        </w:tc>
        <w:tc>
          <w:tcPr>
            <w:tcW w:w="1064"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5</w:t>
            </w:r>
          </w:p>
        </w:tc>
        <w:tc>
          <w:tcPr>
            <w:tcW w:w="81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0</w:t>
            </w:r>
          </w:p>
        </w:tc>
        <w:tc>
          <w:tcPr>
            <w:tcW w:w="9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r w:rsidRPr="00F7263B">
              <w:rPr>
                <w:b w:val="0"/>
                <w:smallCaps w:val="0"/>
                <w:sz w:val="20"/>
                <w:szCs w:val="20"/>
              </w:rPr>
              <w:t>0</w:t>
            </w:r>
          </w:p>
        </w:tc>
        <w:tc>
          <w:tcPr>
            <w:tcW w:w="126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08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1800" w:type="dxa"/>
            <w:vAlign w:val="center"/>
          </w:tcPr>
          <w:p w:rsidR="001A6EB7" w:rsidRPr="00F7263B" w:rsidRDefault="001A6EB7" w:rsidP="00F45E4C">
            <w:pPr>
              <w:pStyle w:val="HEADINGP4RCHAPTER"/>
              <w:tabs>
                <w:tab w:val="left" w:pos="180"/>
                <w:tab w:val="center" w:pos="6624"/>
              </w:tabs>
              <w:spacing w:before="0" w:after="0"/>
              <w:outlineLvl w:val="9"/>
              <w:rPr>
                <w:b w:val="0"/>
                <w:smallCaps w:val="0"/>
                <w:sz w:val="20"/>
                <w:szCs w:val="20"/>
              </w:rPr>
            </w:pPr>
          </w:p>
        </w:tc>
        <w:tc>
          <w:tcPr>
            <w:tcW w:w="5400" w:type="dxa"/>
          </w:tcPr>
          <w:p w:rsidR="001A6EB7" w:rsidRPr="00F7263B" w:rsidRDefault="001A6EB7" w:rsidP="00F45E4C">
            <w:pPr>
              <w:framePr w:hSpace="141" w:wrap="around" w:vAnchor="text" w:hAnchor="text" w:xAlign="right" w:y="1"/>
              <w:suppressOverlap/>
              <w:rPr>
                <w:sz w:val="20"/>
                <w:szCs w:val="20"/>
              </w:rPr>
            </w:pPr>
            <w:r w:rsidRPr="00F7263B">
              <w:rPr>
                <w:sz w:val="20"/>
                <w:szCs w:val="20"/>
              </w:rPr>
              <w:t>US$5,000,000 = US$1,000,000 per year.</w:t>
            </w:r>
          </w:p>
          <w:p w:rsidR="001A6EB7" w:rsidRPr="00F7263B" w:rsidRDefault="001A6EB7"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 xml:space="preserve">Disbursement of funds is made upon timely APAs and from </w:t>
            </w:r>
            <w:r w:rsidR="00B17200" w:rsidRPr="00F7263B">
              <w:rPr>
                <w:sz w:val="20"/>
                <w:szCs w:val="20"/>
              </w:rPr>
              <w:t>third</w:t>
            </w:r>
            <w:r w:rsidRPr="00F7263B">
              <w:rPr>
                <w:sz w:val="20"/>
                <w:szCs w:val="20"/>
              </w:rPr>
              <w:t xml:space="preserve"> assessment (</w:t>
            </w:r>
            <w:r w:rsidR="00892250" w:rsidRPr="00F7263B">
              <w:rPr>
                <w:sz w:val="20"/>
                <w:szCs w:val="20"/>
              </w:rPr>
              <w:t>value for money</w:t>
            </w:r>
            <w:r w:rsidRPr="00F7263B">
              <w:rPr>
                <w:sz w:val="20"/>
                <w:szCs w:val="20"/>
              </w:rPr>
              <w:t xml:space="preserve"> audits). </w:t>
            </w:r>
          </w:p>
          <w:p w:rsidR="001A6EB7" w:rsidRPr="00F7263B" w:rsidRDefault="001A6EB7" w:rsidP="00F45E4C">
            <w:pPr>
              <w:framePr w:hSpace="141" w:wrap="around" w:vAnchor="text" w:hAnchor="text" w:xAlign="right" w:y="1"/>
              <w:suppressOverlap/>
              <w:rPr>
                <w:sz w:val="20"/>
                <w:szCs w:val="20"/>
              </w:rPr>
            </w:pPr>
            <w:r w:rsidRPr="00F7263B">
              <w:rPr>
                <w:sz w:val="20"/>
                <w:szCs w:val="20"/>
              </w:rPr>
              <w:t xml:space="preserve">“Timely” is defined as by end of January in the year prior to the fiscal year where funds to ULGs are allocated. First year will have an exemption and the deadline will be before the beginning of the </w:t>
            </w:r>
            <w:r w:rsidR="00127A14" w:rsidRPr="00F7263B">
              <w:rPr>
                <w:sz w:val="20"/>
                <w:szCs w:val="20"/>
              </w:rPr>
              <w:t>financial year.</w:t>
            </w:r>
          </w:p>
          <w:p w:rsidR="006F0A69" w:rsidRPr="00F7263B" w:rsidRDefault="006F0A69" w:rsidP="00F45E4C">
            <w:pPr>
              <w:framePr w:hSpace="141" w:wrap="around" w:vAnchor="text" w:hAnchor="text" w:xAlign="right" w:y="1"/>
              <w:suppressOverlap/>
              <w:rPr>
                <w:sz w:val="20"/>
                <w:szCs w:val="20"/>
              </w:rPr>
            </w:pPr>
          </w:p>
          <w:p w:rsidR="001A6EB7" w:rsidRPr="00F7263B" w:rsidRDefault="001A6EB7" w:rsidP="00F45E4C">
            <w:pPr>
              <w:framePr w:hSpace="141" w:wrap="around" w:vAnchor="text" w:hAnchor="text" w:xAlign="right" w:y="1"/>
              <w:suppressOverlap/>
              <w:rPr>
                <w:sz w:val="20"/>
                <w:szCs w:val="20"/>
              </w:rPr>
            </w:pPr>
            <w:r w:rsidRPr="00F7263B">
              <w:rPr>
                <w:sz w:val="20"/>
                <w:szCs w:val="20"/>
              </w:rPr>
              <w:t xml:space="preserve">As </w:t>
            </w:r>
            <w:r w:rsidR="00892250" w:rsidRPr="00F7263B">
              <w:rPr>
                <w:sz w:val="20"/>
                <w:szCs w:val="20"/>
              </w:rPr>
              <w:t>the value for money audit</w:t>
            </w:r>
            <w:r w:rsidRPr="00F7263B">
              <w:rPr>
                <w:sz w:val="20"/>
                <w:szCs w:val="20"/>
              </w:rPr>
              <w:t xml:space="preserve"> is only conducted from the </w:t>
            </w:r>
            <w:r w:rsidR="00892250" w:rsidRPr="00F7263B">
              <w:rPr>
                <w:sz w:val="20"/>
                <w:szCs w:val="20"/>
              </w:rPr>
              <w:t>third year of the Program (September–</w:t>
            </w:r>
            <w:r w:rsidRPr="00F7263B">
              <w:rPr>
                <w:sz w:val="20"/>
                <w:szCs w:val="20"/>
              </w:rPr>
              <w:t>December 201</w:t>
            </w:r>
            <w:r w:rsidR="006C0E2E" w:rsidRPr="00F7263B">
              <w:rPr>
                <w:sz w:val="20"/>
                <w:szCs w:val="20"/>
              </w:rPr>
              <w:t>7</w:t>
            </w:r>
            <w:r w:rsidRPr="00F7263B">
              <w:rPr>
                <w:sz w:val="20"/>
                <w:szCs w:val="20"/>
              </w:rPr>
              <w:t xml:space="preserve">), the APA will count 100 </w:t>
            </w:r>
            <w:r w:rsidR="00892250" w:rsidRPr="00F7263B">
              <w:rPr>
                <w:sz w:val="20"/>
                <w:szCs w:val="20"/>
              </w:rPr>
              <w:t>percent</w:t>
            </w:r>
            <w:r w:rsidRPr="00F7263B">
              <w:rPr>
                <w:sz w:val="20"/>
                <w:szCs w:val="20"/>
              </w:rPr>
              <w:t xml:space="preserve"> in </w:t>
            </w:r>
            <w:r w:rsidR="00892250" w:rsidRPr="00F7263B">
              <w:rPr>
                <w:sz w:val="20"/>
                <w:szCs w:val="20"/>
              </w:rPr>
              <w:t>fiscal 20</w:t>
            </w:r>
            <w:r w:rsidRPr="00F7263B">
              <w:rPr>
                <w:sz w:val="20"/>
                <w:szCs w:val="20"/>
              </w:rPr>
              <w:t xml:space="preserve">15 and </w:t>
            </w:r>
            <w:r w:rsidR="00892250" w:rsidRPr="00F7263B">
              <w:rPr>
                <w:sz w:val="20"/>
                <w:szCs w:val="20"/>
              </w:rPr>
              <w:t>fiscal 2016 allocations.  Thereafter</w:t>
            </w:r>
            <w:r w:rsidRPr="00F7263B">
              <w:rPr>
                <w:sz w:val="20"/>
                <w:szCs w:val="20"/>
              </w:rPr>
              <w:t xml:space="preserve">, the two assessments will have an equal weight in the disbursement rates.  </w:t>
            </w:r>
          </w:p>
          <w:p w:rsidR="001A6EB7" w:rsidRPr="00F7263B" w:rsidRDefault="001A6EB7" w:rsidP="00F45E4C">
            <w:pPr>
              <w:framePr w:hSpace="141" w:wrap="around" w:vAnchor="text" w:hAnchor="text" w:xAlign="right" w:y="1"/>
              <w:suppressOverlap/>
              <w:rPr>
                <w:sz w:val="20"/>
                <w:szCs w:val="20"/>
              </w:rPr>
            </w:pPr>
          </w:p>
          <w:p w:rsidR="001A6EB7" w:rsidRPr="00F7263B" w:rsidRDefault="00127A14" w:rsidP="00254260">
            <w:pPr>
              <w:rPr>
                <w:smallCaps/>
                <w:sz w:val="20"/>
                <w:szCs w:val="20"/>
              </w:rPr>
            </w:pPr>
            <w:r w:rsidRPr="00F7263B">
              <w:rPr>
                <w:sz w:val="20"/>
                <w:szCs w:val="20"/>
              </w:rPr>
              <w:t>The disbursement is on/off where APAand value for money audit count 50 percent each, that is if the APAhas been conducted timely,US$500,000 is released in the following fiscal year and similar for the value for money audit. in the first two fiscal years, where there is no value for money audit, the APA will count by 100 percent, that is US$1 million.  The procurement audit will be supported and conducted by the public procurement agency from the third year, and the condition is that results are fitting into the APAin the area of procurement, or is covered by the APA.</w:t>
            </w:r>
          </w:p>
        </w:tc>
      </w:tr>
    </w:tbl>
    <w:p w:rsidR="001A6EB7" w:rsidRPr="00F7263B" w:rsidRDefault="001A6EB7" w:rsidP="001A6EB7">
      <w:pPr>
        <w:contextualSpacing/>
        <w:rPr>
          <w:rFonts w:cs="Times New Roman"/>
          <w:b/>
          <w:sz w:val="20"/>
          <w:szCs w:val="20"/>
        </w:rPr>
      </w:pPr>
    </w:p>
    <w:p w:rsidR="001A6EB7" w:rsidRPr="00F7263B" w:rsidRDefault="001A6EB7" w:rsidP="001A6EB7">
      <w:pPr>
        <w:rPr>
          <w:sz w:val="20"/>
          <w:szCs w:val="20"/>
        </w:rPr>
      </w:pPr>
    </w:p>
    <w:p w:rsidR="00AE45E6" w:rsidRPr="00F7263B" w:rsidRDefault="00AE45E6" w:rsidP="00556F1B">
      <w:pPr>
        <w:jc w:val="both"/>
        <w:rPr>
          <w:rFonts w:cs="Times New Roman"/>
          <w:sz w:val="20"/>
          <w:szCs w:val="20"/>
        </w:rPr>
      </w:pPr>
    </w:p>
    <w:p w:rsidR="004A08DC" w:rsidRPr="00F7263B" w:rsidRDefault="004A08DC" w:rsidP="00556F1B">
      <w:pPr>
        <w:jc w:val="both"/>
        <w:rPr>
          <w:rFonts w:cs="Times New Roman"/>
          <w:sz w:val="20"/>
          <w:szCs w:val="20"/>
        </w:rPr>
      </w:pPr>
    </w:p>
    <w:p w:rsidR="0091032F" w:rsidRPr="00F7263B" w:rsidRDefault="0091032F" w:rsidP="00556F1B">
      <w:pPr>
        <w:jc w:val="both"/>
        <w:rPr>
          <w:rFonts w:cs="Times New Roman"/>
          <w:sz w:val="20"/>
          <w:szCs w:val="20"/>
        </w:rPr>
        <w:sectPr w:rsidR="0091032F" w:rsidRPr="00F7263B">
          <w:pgSz w:w="15840" w:h="12240" w:orient="landscape"/>
          <w:pgMar w:top="1440" w:right="1440" w:bottom="1440" w:left="1440" w:header="720" w:footer="720" w:gutter="0"/>
          <w:cols w:space="720"/>
          <w:docGrid w:linePitch="360"/>
        </w:sectPr>
      </w:pPr>
    </w:p>
    <w:p w:rsidR="00AE45E6" w:rsidRPr="00F7263B" w:rsidRDefault="006E6DDF" w:rsidP="006E6DDF">
      <w:pPr>
        <w:pStyle w:val="Caption"/>
        <w:jc w:val="center"/>
      </w:pPr>
      <w:bookmarkStart w:id="93" w:name="_Toc380087830"/>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4</w:t>
      </w:r>
      <w:r w:rsidR="00B845BE" w:rsidRPr="00F7263B">
        <w:fldChar w:fldCharType="end"/>
      </w:r>
      <w:r w:rsidR="001D2940" w:rsidRPr="00F7263B">
        <w:t xml:space="preserve">: </w:t>
      </w:r>
      <w:r w:rsidR="00BA51C5" w:rsidRPr="00F7263B">
        <w:t>Summary</w:t>
      </w:r>
      <w:r w:rsidR="00E06B4D" w:rsidRPr="00F7263B">
        <w:t xml:space="preserve">of </w:t>
      </w:r>
      <w:r w:rsidR="001D2940" w:rsidRPr="00F7263B">
        <w:t>Technical Assessment</w:t>
      </w:r>
      <w:bookmarkEnd w:id="93"/>
    </w:p>
    <w:p w:rsidR="00721E0D" w:rsidRPr="00F7263B" w:rsidRDefault="00721E0D" w:rsidP="00556F1B">
      <w:pPr>
        <w:jc w:val="both"/>
        <w:rPr>
          <w:rFonts w:cs="Times New Roman"/>
          <w:b/>
          <w:sz w:val="20"/>
          <w:szCs w:val="20"/>
        </w:rPr>
      </w:pPr>
    </w:p>
    <w:p w:rsidR="00AB72CB" w:rsidRPr="00F7263B" w:rsidRDefault="00AB72CB" w:rsidP="006F2AAE">
      <w:pPr>
        <w:rPr>
          <w:b/>
          <w:sz w:val="20"/>
          <w:szCs w:val="20"/>
        </w:rPr>
      </w:pPr>
      <w:r w:rsidRPr="00F7263B">
        <w:rPr>
          <w:b/>
          <w:sz w:val="20"/>
          <w:szCs w:val="20"/>
        </w:rPr>
        <w:t>Strategic Relevance of ULGDP II</w:t>
      </w:r>
    </w:p>
    <w:p w:rsidR="006E7278" w:rsidRPr="00F7263B" w:rsidRDefault="00AB72CB" w:rsidP="00056FC8">
      <w:pPr>
        <w:pStyle w:val="ListParagraph"/>
        <w:numPr>
          <w:ilvl w:val="0"/>
          <w:numId w:val="62"/>
        </w:numPr>
        <w:tabs>
          <w:tab w:val="left" w:pos="0"/>
        </w:tabs>
        <w:spacing w:before="240" w:after="240"/>
        <w:ind w:left="0" w:firstLine="0"/>
        <w:jc w:val="both"/>
        <w:rPr>
          <w:rFonts w:cs="Times New Roman"/>
          <w:sz w:val="20"/>
          <w:szCs w:val="20"/>
        </w:rPr>
      </w:pPr>
      <w:r w:rsidRPr="00F7263B">
        <w:rPr>
          <w:rFonts w:cs="Times New Roman"/>
          <w:sz w:val="20"/>
          <w:szCs w:val="20"/>
        </w:rPr>
        <w:t>Ethiopia is urbanization rapidly – with its urban population having doubled in 35 years, from 8.5</w:t>
      </w:r>
      <w:r w:rsidR="00926FA9" w:rsidRPr="00F7263B">
        <w:rPr>
          <w:rFonts w:cs="Times New Roman"/>
          <w:sz w:val="20"/>
          <w:szCs w:val="20"/>
        </w:rPr>
        <w:t xml:space="preserve"> percent</w:t>
      </w:r>
      <w:r w:rsidRPr="00F7263B">
        <w:rPr>
          <w:rFonts w:cs="Times New Roman"/>
          <w:sz w:val="20"/>
          <w:szCs w:val="20"/>
        </w:rPr>
        <w:t xml:space="preserve"> in 1967 to 17.4</w:t>
      </w:r>
      <w:r w:rsidR="00926FA9" w:rsidRPr="00F7263B">
        <w:rPr>
          <w:rFonts w:cs="Times New Roman"/>
          <w:sz w:val="20"/>
          <w:szCs w:val="20"/>
        </w:rPr>
        <w:t xml:space="preserve"> percent</w:t>
      </w:r>
      <w:r w:rsidRPr="00F7263B">
        <w:rPr>
          <w:rFonts w:cs="Times New Roman"/>
          <w:sz w:val="20"/>
          <w:szCs w:val="20"/>
        </w:rPr>
        <w:t xml:space="preserve"> in 2012</w:t>
      </w:r>
      <w:r w:rsidR="00926FA9" w:rsidRPr="00F7263B">
        <w:rPr>
          <w:rFonts w:cs="Times New Roman"/>
          <w:sz w:val="20"/>
          <w:szCs w:val="20"/>
        </w:rPr>
        <w:t xml:space="preserve">.  </w:t>
      </w:r>
      <w:r w:rsidRPr="00F7263B">
        <w:rPr>
          <w:rFonts w:cs="Times New Roman"/>
          <w:sz w:val="20"/>
          <w:szCs w:val="20"/>
        </w:rPr>
        <w:t>In addition, the rapid rates of urbanization are expected to continue</w:t>
      </w:r>
      <w:r w:rsidR="00926FA9" w:rsidRPr="00F7263B">
        <w:rPr>
          <w:rFonts w:cs="Times New Roman"/>
          <w:sz w:val="20"/>
          <w:szCs w:val="20"/>
        </w:rPr>
        <w:t xml:space="preserve">.  </w:t>
      </w:r>
      <w:r w:rsidRPr="00F7263B">
        <w:rPr>
          <w:rFonts w:cs="Times New Roman"/>
          <w:sz w:val="20"/>
          <w:szCs w:val="20"/>
        </w:rPr>
        <w:t>The UN expects the rate of urban growth to average 3.57 per cent per annum between 2010 and 2015 placing Ethiopia among the fastest urbanizing countries in SSA</w:t>
      </w:r>
      <w:r w:rsidR="00926FA9" w:rsidRPr="00F7263B">
        <w:rPr>
          <w:rFonts w:cs="Times New Roman"/>
          <w:sz w:val="20"/>
          <w:szCs w:val="20"/>
        </w:rPr>
        <w:t xml:space="preserve">.  </w:t>
      </w:r>
      <w:r w:rsidRPr="00F7263B">
        <w:rPr>
          <w:rFonts w:cs="Times New Roman"/>
          <w:sz w:val="20"/>
          <w:szCs w:val="20"/>
        </w:rPr>
        <w:t>According to UN’s medium variant projection, the urban population is expected to reach 23 per cent in 2030</w:t>
      </w:r>
      <w:r w:rsidR="00926FA9" w:rsidRPr="00F7263B">
        <w:rPr>
          <w:rFonts w:cs="Times New Roman"/>
          <w:sz w:val="20"/>
          <w:szCs w:val="20"/>
        </w:rPr>
        <w:t xml:space="preserve">.  </w:t>
      </w:r>
      <w:r w:rsidRPr="00F7263B">
        <w:rPr>
          <w:rFonts w:cs="Times New Roman"/>
          <w:sz w:val="20"/>
          <w:szCs w:val="20"/>
        </w:rPr>
        <w:t>This is an opportunity for the country, as urbanization will be the key to Ethiopia’s transition to a middle-income country, as it will help provide the ground for the transformation of the country’s economy</w:t>
      </w:r>
      <w:r w:rsidR="00926FA9" w:rsidRPr="00F7263B">
        <w:rPr>
          <w:rFonts w:cs="Times New Roman"/>
          <w:sz w:val="20"/>
          <w:szCs w:val="20"/>
        </w:rPr>
        <w:t xml:space="preserve">.  </w:t>
      </w:r>
      <w:r w:rsidRPr="00F7263B">
        <w:rPr>
          <w:rFonts w:cs="Times New Roman"/>
          <w:sz w:val="20"/>
          <w:szCs w:val="20"/>
        </w:rPr>
        <w:t>Timmer and Akkus (2008) find that rapid urbanization is a necessary condition for structural change</w:t>
      </w:r>
      <w:r w:rsidR="00926FA9" w:rsidRPr="00F7263B">
        <w:rPr>
          <w:rFonts w:cs="Times New Roman"/>
          <w:sz w:val="20"/>
          <w:szCs w:val="20"/>
        </w:rPr>
        <w:t xml:space="preserve">.  </w:t>
      </w:r>
      <w:r w:rsidRPr="00F7263B">
        <w:rPr>
          <w:rFonts w:cs="Times New Roman"/>
          <w:sz w:val="20"/>
          <w:szCs w:val="20"/>
        </w:rPr>
        <w:t>Financing and sustaining effective urbanization will be crucial to sustaining the high rates of economic growth Ethiopia has been recording for the past decade</w:t>
      </w:r>
      <w:r w:rsidR="00926FA9" w:rsidRPr="00F7263B">
        <w:rPr>
          <w:rFonts w:cs="Times New Roman"/>
          <w:sz w:val="20"/>
          <w:szCs w:val="20"/>
        </w:rPr>
        <w:t xml:space="preserve">.  </w:t>
      </w:r>
      <w:r w:rsidRPr="00F7263B">
        <w:rPr>
          <w:rFonts w:cs="Times New Roman"/>
          <w:sz w:val="20"/>
          <w:szCs w:val="20"/>
        </w:rPr>
        <w:t>Ethiopia needs to shift its focus to building its urban economy, not only because this will be the source of growing competitiveness, but also because of its impact on the macroeconomic environment, livelihood improvement and poverty reduction.</w:t>
      </w:r>
    </w:p>
    <w:p w:rsidR="00AB72CB" w:rsidRPr="00F7263B" w:rsidRDefault="00AB72CB" w:rsidP="00AB72CB">
      <w:pPr>
        <w:pStyle w:val="ListParagraph"/>
        <w:tabs>
          <w:tab w:val="left" w:pos="0"/>
        </w:tabs>
        <w:spacing w:before="240" w:after="240"/>
        <w:ind w:left="0"/>
        <w:jc w:val="both"/>
        <w:rPr>
          <w:rFonts w:cs="Times New Roman"/>
          <w:sz w:val="20"/>
          <w:szCs w:val="20"/>
        </w:rPr>
      </w:pPr>
    </w:p>
    <w:p w:rsidR="006E7278" w:rsidRPr="00F7263B" w:rsidRDefault="00AB72CB" w:rsidP="00056FC8">
      <w:pPr>
        <w:pStyle w:val="ListParagraph"/>
        <w:numPr>
          <w:ilvl w:val="0"/>
          <w:numId w:val="62"/>
        </w:numPr>
        <w:tabs>
          <w:tab w:val="left" w:pos="0"/>
        </w:tabs>
        <w:ind w:left="0" w:firstLine="0"/>
        <w:jc w:val="both"/>
        <w:rPr>
          <w:rFonts w:cs="Times New Roman"/>
          <w:sz w:val="20"/>
          <w:szCs w:val="20"/>
        </w:rPr>
      </w:pPr>
      <w:r w:rsidRPr="00F7263B">
        <w:rPr>
          <w:rFonts w:cs="Times New Roman"/>
          <w:bCs/>
          <w:sz w:val="20"/>
          <w:szCs w:val="20"/>
        </w:rPr>
        <w:t>However, there are serious challenges to effective urbanization, and this limits the country’s overall economic growth</w:t>
      </w:r>
      <w:r w:rsidR="00926FA9" w:rsidRPr="00F7263B">
        <w:rPr>
          <w:rFonts w:cs="Times New Roman"/>
          <w:bCs/>
          <w:sz w:val="20"/>
          <w:szCs w:val="20"/>
        </w:rPr>
        <w:t xml:space="preserve">.  </w:t>
      </w:r>
      <w:r w:rsidRPr="00F7263B">
        <w:rPr>
          <w:rFonts w:cs="Times New Roman"/>
          <w:sz w:val="20"/>
          <w:szCs w:val="20"/>
        </w:rPr>
        <w:t xml:space="preserve">These </w:t>
      </w:r>
      <w:r w:rsidR="00B17200" w:rsidRPr="00F7263B">
        <w:rPr>
          <w:rFonts w:cs="Times New Roman"/>
          <w:sz w:val="20"/>
          <w:szCs w:val="20"/>
        </w:rPr>
        <w:t>limitations broadly comprise; (a</w:t>
      </w:r>
      <w:r w:rsidRPr="00F7263B">
        <w:rPr>
          <w:rFonts w:cs="Times New Roman"/>
          <w:sz w:val="20"/>
          <w:szCs w:val="20"/>
        </w:rPr>
        <w:t>) infrastructure and service delivery gaps and urban administrations institutional capacity weaknesses, as indicated above in the country</w:t>
      </w:r>
      <w:r w:rsidR="00B17200" w:rsidRPr="00F7263B">
        <w:rPr>
          <w:rFonts w:cs="Times New Roman"/>
          <w:sz w:val="20"/>
          <w:szCs w:val="20"/>
        </w:rPr>
        <w:t xml:space="preserve"> and sector context section; (b</w:t>
      </w:r>
      <w:r w:rsidRPr="00F7263B">
        <w:rPr>
          <w:rFonts w:cs="Times New Roman"/>
          <w:sz w:val="20"/>
          <w:szCs w:val="20"/>
        </w:rPr>
        <w:t>) an increasing urban population and higher demand for the already limited servi</w:t>
      </w:r>
      <w:r w:rsidR="00B17200" w:rsidRPr="00F7263B">
        <w:rPr>
          <w:rFonts w:cs="Times New Roman"/>
          <w:sz w:val="20"/>
          <w:szCs w:val="20"/>
        </w:rPr>
        <w:t>ces and infrastructure, and (c</w:t>
      </w:r>
      <w:r w:rsidRPr="00F7263B">
        <w:rPr>
          <w:rFonts w:cs="Times New Roman"/>
          <w:sz w:val="20"/>
          <w:szCs w:val="20"/>
        </w:rPr>
        <w:t>) a significant fiscal gap to help ULGs overcome these challenges</w:t>
      </w:r>
      <w:r w:rsidR="00926FA9" w:rsidRPr="00F7263B">
        <w:rPr>
          <w:rFonts w:cs="Times New Roman"/>
          <w:sz w:val="20"/>
          <w:szCs w:val="20"/>
        </w:rPr>
        <w:t xml:space="preserve">.  </w:t>
      </w:r>
      <w:r w:rsidRPr="00F7263B">
        <w:rPr>
          <w:rFonts w:cs="Times New Roman"/>
          <w:sz w:val="20"/>
          <w:szCs w:val="20"/>
        </w:rPr>
        <w:t>The fiscal gap is due mainly to the inadequacy of the</w:t>
      </w:r>
      <w:r w:rsidRPr="00F7263B">
        <w:rPr>
          <w:rFonts w:cs="Times New Roman"/>
          <w:bCs/>
          <w:sz w:val="20"/>
          <w:szCs w:val="20"/>
        </w:rPr>
        <w:t xml:space="preserve"> current fiscal system in Ethiopia to meet the financing needs of these fast growing ULGs</w:t>
      </w:r>
      <w:r w:rsidR="00926FA9" w:rsidRPr="00F7263B">
        <w:rPr>
          <w:rFonts w:cs="Times New Roman"/>
          <w:bCs/>
          <w:i/>
          <w:sz w:val="20"/>
          <w:szCs w:val="20"/>
        </w:rPr>
        <w:t xml:space="preserve">.  </w:t>
      </w:r>
      <w:r w:rsidRPr="00F7263B">
        <w:rPr>
          <w:rFonts w:cs="Times New Roman"/>
          <w:bCs/>
          <w:sz w:val="20"/>
          <w:szCs w:val="20"/>
        </w:rPr>
        <w:t xml:space="preserve">As explained above in the </w:t>
      </w:r>
      <w:r w:rsidR="00B17200" w:rsidRPr="00F7263B">
        <w:rPr>
          <w:rFonts w:cs="Times New Roman"/>
          <w:bCs/>
          <w:sz w:val="20"/>
          <w:szCs w:val="20"/>
        </w:rPr>
        <w:t>“</w:t>
      </w:r>
      <w:r w:rsidRPr="00F7263B">
        <w:rPr>
          <w:rFonts w:cs="Times New Roman"/>
          <w:bCs/>
          <w:sz w:val="20"/>
          <w:szCs w:val="20"/>
        </w:rPr>
        <w:t>Context</w:t>
      </w:r>
      <w:r w:rsidR="00B17200" w:rsidRPr="00F7263B">
        <w:rPr>
          <w:rFonts w:cs="Times New Roman"/>
          <w:bCs/>
          <w:sz w:val="20"/>
          <w:szCs w:val="20"/>
        </w:rPr>
        <w:t>”</w:t>
      </w:r>
      <w:r w:rsidRPr="00F7263B">
        <w:rPr>
          <w:rFonts w:cs="Times New Roman"/>
          <w:bCs/>
          <w:sz w:val="20"/>
          <w:szCs w:val="20"/>
        </w:rPr>
        <w:t xml:space="preserve"> section, within the fiscal system, ULGs receive recurrent support from regions through block grants to meet their mandate to carry out the state functions which have been delegated to them from the regional governments and some financing for core public sector employee salaries</w:t>
      </w:r>
      <w:r w:rsidR="00926FA9" w:rsidRPr="00F7263B">
        <w:rPr>
          <w:rFonts w:cs="Times New Roman"/>
          <w:bCs/>
          <w:sz w:val="20"/>
          <w:szCs w:val="20"/>
        </w:rPr>
        <w:t xml:space="preserve">.  </w:t>
      </w:r>
      <w:r w:rsidRPr="00F7263B">
        <w:rPr>
          <w:rFonts w:cs="Times New Roman"/>
          <w:bCs/>
          <w:sz w:val="20"/>
          <w:szCs w:val="20"/>
        </w:rPr>
        <w:t>In addition to these resources, there is almost no support for capital investments</w:t>
      </w:r>
      <w:r w:rsidR="00926FA9" w:rsidRPr="00F7263B">
        <w:rPr>
          <w:rFonts w:cs="Times New Roman"/>
          <w:bCs/>
          <w:sz w:val="20"/>
          <w:szCs w:val="20"/>
        </w:rPr>
        <w:t xml:space="preserve">.  </w:t>
      </w:r>
      <w:r w:rsidRPr="00F7263B">
        <w:rPr>
          <w:rFonts w:cs="Times New Roman"/>
          <w:bCs/>
          <w:sz w:val="20"/>
          <w:szCs w:val="20"/>
        </w:rPr>
        <w:t xml:space="preserve">In most cases, ULGs have to meet the infrastructure investment financing through their own source revenues, see table below which presents the financing sources for urban development in the country. </w:t>
      </w:r>
    </w:p>
    <w:p w:rsidR="00926FA9" w:rsidRPr="00F7263B" w:rsidRDefault="00926FA9" w:rsidP="00926FA9">
      <w:pPr>
        <w:pStyle w:val="ListParagraph"/>
        <w:tabs>
          <w:tab w:val="left" w:pos="0"/>
        </w:tabs>
        <w:ind w:left="0"/>
        <w:jc w:val="both"/>
        <w:rPr>
          <w:rFonts w:cs="Times New Roman"/>
          <w:sz w:val="20"/>
          <w:szCs w:val="20"/>
        </w:rPr>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623"/>
        <w:gridCol w:w="1858"/>
        <w:gridCol w:w="1530"/>
        <w:gridCol w:w="1906"/>
      </w:tblGrid>
      <w:tr w:rsidR="00AB72CB" w:rsidRPr="00F7263B">
        <w:trPr>
          <w:trHeight w:val="300"/>
          <w:jc w:val="center"/>
        </w:trPr>
        <w:tc>
          <w:tcPr>
            <w:tcW w:w="9299" w:type="dxa"/>
            <w:gridSpan w:val="5"/>
            <w:shd w:val="clear" w:color="auto" w:fill="auto"/>
            <w:noWrap/>
            <w:vAlign w:val="bottom"/>
          </w:tcPr>
          <w:p w:rsidR="00AB72CB" w:rsidRPr="00F7263B" w:rsidRDefault="00AB72CB" w:rsidP="00926FA9">
            <w:pPr>
              <w:rPr>
                <w:rFonts w:eastAsia="Times New Roman" w:cs="Times New Roman"/>
                <w:b/>
                <w:i/>
                <w:color w:val="000000"/>
                <w:sz w:val="20"/>
                <w:szCs w:val="20"/>
              </w:rPr>
            </w:pPr>
            <w:r w:rsidRPr="00F7263B">
              <w:rPr>
                <w:rFonts w:eastAsia="Times New Roman" w:cs="Times New Roman"/>
                <w:b/>
                <w:i/>
                <w:color w:val="000000"/>
                <w:sz w:val="20"/>
                <w:szCs w:val="20"/>
              </w:rPr>
              <w:t>Urban development spending at different government levels, 2011/12 (EFY 2004)</w:t>
            </w:r>
          </w:p>
        </w:tc>
      </w:tr>
      <w:tr w:rsidR="00AB72CB" w:rsidRPr="00F7263B">
        <w:trPr>
          <w:trHeight w:val="300"/>
          <w:jc w:val="center"/>
        </w:trPr>
        <w:tc>
          <w:tcPr>
            <w:tcW w:w="2382" w:type="dxa"/>
            <w:shd w:val="clear" w:color="auto" w:fill="auto"/>
            <w:noWrap/>
            <w:vAlign w:val="bottom"/>
          </w:tcPr>
          <w:p w:rsidR="00AB72CB" w:rsidRPr="00F7263B" w:rsidRDefault="00AB72CB" w:rsidP="00AB72CB">
            <w:pPr>
              <w:rPr>
                <w:rFonts w:eastAsia="Times New Roman" w:cs="Times New Roman"/>
                <w:b/>
                <w:color w:val="000000"/>
                <w:sz w:val="20"/>
                <w:szCs w:val="20"/>
              </w:rPr>
            </w:pPr>
          </w:p>
        </w:tc>
        <w:tc>
          <w:tcPr>
            <w:tcW w:w="1623" w:type="dxa"/>
            <w:shd w:val="clear" w:color="auto" w:fill="auto"/>
            <w:noWrap/>
          </w:tcPr>
          <w:p w:rsidR="00AB72CB" w:rsidRPr="00F7263B" w:rsidRDefault="00926FA9" w:rsidP="00926FA9">
            <w:pPr>
              <w:rPr>
                <w:rFonts w:eastAsia="Times New Roman" w:cs="Times New Roman"/>
                <w:b/>
                <w:color w:val="000000"/>
                <w:sz w:val="20"/>
                <w:szCs w:val="20"/>
              </w:rPr>
            </w:pPr>
            <w:r w:rsidRPr="00F7263B">
              <w:rPr>
                <w:rFonts w:eastAsia="Times New Roman" w:cs="Times New Roman"/>
                <w:b/>
                <w:color w:val="000000"/>
                <w:sz w:val="20"/>
                <w:szCs w:val="20"/>
              </w:rPr>
              <w:t>Urban development (ETB million</w:t>
            </w:r>
            <w:r w:rsidR="00AB72CB" w:rsidRPr="00F7263B">
              <w:rPr>
                <w:rFonts w:eastAsia="Times New Roman" w:cs="Times New Roman"/>
                <w:b/>
                <w:color w:val="000000"/>
                <w:sz w:val="20"/>
                <w:szCs w:val="20"/>
              </w:rPr>
              <w:t>)</w:t>
            </w:r>
          </w:p>
        </w:tc>
        <w:tc>
          <w:tcPr>
            <w:tcW w:w="1858" w:type="dxa"/>
            <w:shd w:val="clear" w:color="auto" w:fill="auto"/>
            <w:noWrap/>
          </w:tcPr>
          <w:p w:rsidR="00AB72CB" w:rsidRPr="00F7263B" w:rsidRDefault="00AB72CB" w:rsidP="00926FA9">
            <w:pPr>
              <w:rPr>
                <w:rFonts w:eastAsia="Times New Roman" w:cs="Times New Roman"/>
                <w:b/>
                <w:color w:val="000000"/>
                <w:sz w:val="20"/>
                <w:szCs w:val="20"/>
              </w:rPr>
            </w:pPr>
            <w:r w:rsidRPr="00F7263B">
              <w:rPr>
                <w:rFonts w:eastAsia="Times New Roman" w:cs="Times New Roman"/>
                <w:b/>
                <w:color w:val="000000"/>
                <w:sz w:val="20"/>
                <w:szCs w:val="20"/>
              </w:rPr>
              <w:t>Total Public Spending</w:t>
            </w:r>
          </w:p>
          <w:p w:rsidR="00AB72CB" w:rsidRPr="00F7263B" w:rsidRDefault="00AB72CB" w:rsidP="00926FA9">
            <w:pPr>
              <w:rPr>
                <w:rFonts w:eastAsia="Times New Roman" w:cs="Times New Roman"/>
                <w:b/>
                <w:color w:val="000000"/>
                <w:sz w:val="20"/>
                <w:szCs w:val="20"/>
              </w:rPr>
            </w:pPr>
            <w:r w:rsidRPr="00F7263B">
              <w:rPr>
                <w:rFonts w:eastAsia="Times New Roman" w:cs="Times New Roman"/>
                <w:b/>
                <w:color w:val="000000"/>
                <w:sz w:val="20"/>
                <w:szCs w:val="20"/>
              </w:rPr>
              <w:t>(ETB m</w:t>
            </w:r>
            <w:r w:rsidR="00926FA9" w:rsidRPr="00F7263B">
              <w:rPr>
                <w:rFonts w:eastAsia="Times New Roman" w:cs="Times New Roman"/>
                <w:b/>
                <w:color w:val="000000"/>
                <w:sz w:val="20"/>
                <w:szCs w:val="20"/>
              </w:rPr>
              <w:t>illio</w:t>
            </w:r>
            <w:r w:rsidRPr="00F7263B">
              <w:rPr>
                <w:rFonts w:eastAsia="Times New Roman" w:cs="Times New Roman"/>
                <w:b/>
                <w:color w:val="000000"/>
                <w:sz w:val="20"/>
                <w:szCs w:val="20"/>
              </w:rPr>
              <w:t>n)</w:t>
            </w:r>
          </w:p>
        </w:tc>
        <w:tc>
          <w:tcPr>
            <w:tcW w:w="1530" w:type="dxa"/>
            <w:shd w:val="clear" w:color="auto" w:fill="auto"/>
            <w:noWrap/>
          </w:tcPr>
          <w:p w:rsidR="00AB72CB" w:rsidRPr="00F7263B" w:rsidRDefault="00926FA9" w:rsidP="00926FA9">
            <w:pPr>
              <w:rPr>
                <w:rFonts w:eastAsia="Times New Roman" w:cs="Times New Roman"/>
                <w:b/>
                <w:color w:val="000000"/>
                <w:sz w:val="20"/>
                <w:szCs w:val="20"/>
              </w:rPr>
            </w:pPr>
            <w:r w:rsidRPr="00F7263B">
              <w:rPr>
                <w:rFonts w:eastAsia="Times New Roman" w:cs="Times New Roman"/>
                <w:b/>
                <w:color w:val="000000"/>
                <w:sz w:val="20"/>
                <w:szCs w:val="20"/>
              </w:rPr>
              <w:t>Urban dev. as percent</w:t>
            </w:r>
            <w:r w:rsidR="00AB72CB" w:rsidRPr="00F7263B">
              <w:rPr>
                <w:rFonts w:eastAsia="Times New Roman" w:cs="Times New Roman"/>
                <w:b/>
                <w:color w:val="000000"/>
                <w:sz w:val="20"/>
                <w:szCs w:val="20"/>
              </w:rPr>
              <w:t xml:space="preserve"> of total</w:t>
            </w:r>
          </w:p>
          <w:p w:rsidR="00AB72CB" w:rsidRPr="00F7263B" w:rsidRDefault="00AB72CB" w:rsidP="00926FA9">
            <w:pPr>
              <w:rPr>
                <w:rFonts w:eastAsia="Times New Roman" w:cs="Times New Roman"/>
                <w:b/>
                <w:color w:val="000000"/>
                <w:sz w:val="20"/>
                <w:szCs w:val="20"/>
              </w:rPr>
            </w:pPr>
          </w:p>
        </w:tc>
        <w:tc>
          <w:tcPr>
            <w:tcW w:w="1906" w:type="dxa"/>
            <w:shd w:val="clear" w:color="auto" w:fill="auto"/>
            <w:noWrap/>
          </w:tcPr>
          <w:p w:rsidR="00AB72CB" w:rsidRPr="00F7263B" w:rsidRDefault="00AB72CB" w:rsidP="00926FA9">
            <w:pPr>
              <w:rPr>
                <w:rFonts w:eastAsia="Times New Roman" w:cs="Times New Roman"/>
                <w:b/>
                <w:color w:val="000000"/>
                <w:sz w:val="20"/>
                <w:szCs w:val="20"/>
              </w:rPr>
            </w:pPr>
            <w:r w:rsidRPr="00F7263B">
              <w:rPr>
                <w:rFonts w:eastAsia="Times New Roman" w:cs="Times New Roman"/>
                <w:b/>
                <w:color w:val="000000"/>
                <w:sz w:val="20"/>
                <w:szCs w:val="20"/>
              </w:rPr>
              <w:t>Urban dev</w:t>
            </w:r>
            <w:r w:rsidR="00926FA9" w:rsidRPr="00F7263B">
              <w:rPr>
                <w:rFonts w:eastAsia="Times New Roman" w:cs="Times New Roman"/>
                <w:b/>
                <w:color w:val="000000"/>
                <w:sz w:val="20"/>
                <w:szCs w:val="20"/>
              </w:rPr>
              <w:t>elopment</w:t>
            </w:r>
            <w:r w:rsidRPr="00F7263B">
              <w:rPr>
                <w:rFonts w:eastAsia="Times New Roman" w:cs="Times New Roman"/>
                <w:b/>
                <w:color w:val="000000"/>
                <w:sz w:val="20"/>
                <w:szCs w:val="20"/>
              </w:rPr>
              <w:t xml:space="preserve"> as p</w:t>
            </w:r>
            <w:r w:rsidR="00926FA9" w:rsidRPr="00F7263B">
              <w:rPr>
                <w:rFonts w:eastAsia="Times New Roman" w:cs="Times New Roman"/>
                <w:b/>
                <w:color w:val="000000"/>
                <w:sz w:val="20"/>
                <w:szCs w:val="20"/>
              </w:rPr>
              <w:t>er</w:t>
            </w:r>
            <w:r w:rsidRPr="00F7263B">
              <w:rPr>
                <w:rFonts w:eastAsia="Times New Roman" w:cs="Times New Roman"/>
                <w:b/>
                <w:color w:val="000000"/>
                <w:sz w:val="20"/>
                <w:szCs w:val="20"/>
              </w:rPr>
              <w:t>c</w:t>
            </w:r>
            <w:r w:rsidR="00926FA9" w:rsidRPr="00F7263B">
              <w:rPr>
                <w:rFonts w:eastAsia="Times New Roman" w:cs="Times New Roman"/>
                <w:b/>
                <w:color w:val="000000"/>
                <w:sz w:val="20"/>
                <w:szCs w:val="20"/>
              </w:rPr>
              <w:t>en</w:t>
            </w:r>
            <w:r w:rsidRPr="00F7263B">
              <w:rPr>
                <w:rFonts w:eastAsia="Times New Roman" w:cs="Times New Roman"/>
                <w:b/>
                <w:color w:val="000000"/>
                <w:sz w:val="20"/>
                <w:szCs w:val="20"/>
              </w:rPr>
              <w:t>t of total urban dev</w:t>
            </w:r>
            <w:r w:rsidR="00926FA9" w:rsidRPr="00F7263B">
              <w:rPr>
                <w:rFonts w:eastAsia="Times New Roman" w:cs="Times New Roman"/>
                <w:b/>
                <w:color w:val="000000"/>
                <w:sz w:val="20"/>
                <w:szCs w:val="20"/>
              </w:rPr>
              <w:t>elopment</w:t>
            </w:r>
          </w:p>
        </w:tc>
      </w:tr>
      <w:tr w:rsidR="00AB72CB" w:rsidRPr="00F7263B">
        <w:trPr>
          <w:trHeight w:val="300"/>
          <w:jc w:val="center"/>
        </w:trPr>
        <w:tc>
          <w:tcPr>
            <w:tcW w:w="2382"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Federal</w:t>
            </w:r>
          </w:p>
        </w:tc>
        <w:tc>
          <w:tcPr>
            <w:tcW w:w="1623"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232.7</w:t>
            </w:r>
          </w:p>
        </w:tc>
        <w:tc>
          <w:tcPr>
            <w:tcW w:w="1858"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52,893.8</w:t>
            </w:r>
          </w:p>
        </w:tc>
        <w:tc>
          <w:tcPr>
            <w:tcW w:w="153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0.4</w:t>
            </w:r>
          </w:p>
        </w:tc>
        <w:tc>
          <w:tcPr>
            <w:tcW w:w="1906"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4.5</w:t>
            </w:r>
          </w:p>
        </w:tc>
      </w:tr>
      <w:tr w:rsidR="00AB72CB" w:rsidRPr="00F7263B">
        <w:trPr>
          <w:trHeight w:val="300"/>
          <w:jc w:val="center"/>
        </w:trPr>
        <w:tc>
          <w:tcPr>
            <w:tcW w:w="2382"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F</w:t>
            </w:r>
            <w:r w:rsidR="00926FA9" w:rsidRPr="00F7263B">
              <w:rPr>
                <w:rFonts w:eastAsia="Times New Roman" w:cs="Times New Roman"/>
                <w:color w:val="000000"/>
                <w:sz w:val="20"/>
                <w:szCs w:val="20"/>
              </w:rPr>
              <w:t>ederal</w:t>
            </w:r>
            <w:r w:rsidRPr="00F7263B">
              <w:rPr>
                <w:rFonts w:eastAsia="Times New Roman" w:cs="Times New Roman"/>
                <w:color w:val="000000"/>
                <w:sz w:val="20"/>
                <w:szCs w:val="20"/>
              </w:rPr>
              <w:t>/R</w:t>
            </w:r>
            <w:r w:rsidR="00926FA9" w:rsidRPr="00F7263B">
              <w:rPr>
                <w:rFonts w:eastAsia="Times New Roman" w:cs="Times New Roman"/>
                <w:color w:val="000000"/>
                <w:sz w:val="20"/>
                <w:szCs w:val="20"/>
              </w:rPr>
              <w:t>egional</w:t>
            </w:r>
            <w:r w:rsidRPr="00F7263B">
              <w:rPr>
                <w:rFonts w:eastAsia="Times New Roman" w:cs="Times New Roman"/>
                <w:color w:val="000000"/>
                <w:sz w:val="20"/>
                <w:szCs w:val="20"/>
              </w:rPr>
              <w:t xml:space="preserve"> Unassigned Capital</w:t>
            </w:r>
          </w:p>
        </w:tc>
        <w:tc>
          <w:tcPr>
            <w:tcW w:w="1623"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223.7</w:t>
            </w:r>
          </w:p>
        </w:tc>
        <w:tc>
          <w:tcPr>
            <w:tcW w:w="1858"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15,532.2</w:t>
            </w:r>
          </w:p>
        </w:tc>
        <w:tc>
          <w:tcPr>
            <w:tcW w:w="153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1.4</w:t>
            </w:r>
          </w:p>
        </w:tc>
        <w:tc>
          <w:tcPr>
            <w:tcW w:w="1906"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4.4</w:t>
            </w:r>
          </w:p>
        </w:tc>
      </w:tr>
      <w:tr w:rsidR="00AB72CB" w:rsidRPr="00F7263B">
        <w:trPr>
          <w:trHeight w:val="300"/>
          <w:jc w:val="center"/>
        </w:trPr>
        <w:tc>
          <w:tcPr>
            <w:tcW w:w="2382"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Regional (Bureau)</w:t>
            </w:r>
          </w:p>
        </w:tc>
        <w:tc>
          <w:tcPr>
            <w:tcW w:w="1623"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869.6</w:t>
            </w:r>
          </w:p>
        </w:tc>
        <w:tc>
          <w:tcPr>
            <w:tcW w:w="1858"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28,534.2</w:t>
            </w:r>
          </w:p>
        </w:tc>
        <w:tc>
          <w:tcPr>
            <w:tcW w:w="153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3.0</w:t>
            </w:r>
          </w:p>
        </w:tc>
        <w:tc>
          <w:tcPr>
            <w:tcW w:w="1906"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17.0</w:t>
            </w:r>
          </w:p>
        </w:tc>
      </w:tr>
      <w:tr w:rsidR="00AB72CB" w:rsidRPr="00F7263B">
        <w:trPr>
          <w:trHeight w:val="300"/>
          <w:jc w:val="center"/>
        </w:trPr>
        <w:tc>
          <w:tcPr>
            <w:tcW w:w="2382"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Woreda Level</w:t>
            </w:r>
          </w:p>
        </w:tc>
        <w:tc>
          <w:tcPr>
            <w:tcW w:w="1623"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658.3</w:t>
            </w:r>
          </w:p>
        </w:tc>
        <w:tc>
          <w:tcPr>
            <w:tcW w:w="1858"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27,456.5</w:t>
            </w:r>
          </w:p>
        </w:tc>
        <w:tc>
          <w:tcPr>
            <w:tcW w:w="153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2.4</w:t>
            </w:r>
          </w:p>
        </w:tc>
        <w:tc>
          <w:tcPr>
            <w:tcW w:w="1906"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12.8</w:t>
            </w:r>
          </w:p>
        </w:tc>
      </w:tr>
      <w:tr w:rsidR="00AB72CB" w:rsidRPr="00F7263B">
        <w:trPr>
          <w:trHeight w:val="300"/>
          <w:jc w:val="center"/>
        </w:trPr>
        <w:tc>
          <w:tcPr>
            <w:tcW w:w="2382"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Municipal (</w:t>
            </w:r>
            <w:r w:rsidR="00BA6589" w:rsidRPr="00F7263B">
              <w:rPr>
                <w:rFonts w:eastAsia="Times New Roman" w:cs="Times New Roman"/>
                <w:color w:val="000000"/>
                <w:sz w:val="20"/>
                <w:szCs w:val="20"/>
              </w:rPr>
              <w:t>own source revenue</w:t>
            </w:r>
            <w:r w:rsidRPr="00F7263B">
              <w:rPr>
                <w:rFonts w:eastAsia="Times New Roman" w:cs="Times New Roman"/>
                <w:color w:val="000000"/>
                <w:sz w:val="20"/>
                <w:szCs w:val="20"/>
              </w:rPr>
              <w:t>)</w:t>
            </w:r>
          </w:p>
        </w:tc>
        <w:tc>
          <w:tcPr>
            <w:tcW w:w="1623"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3,148.1</w:t>
            </w:r>
          </w:p>
        </w:tc>
        <w:tc>
          <w:tcPr>
            <w:tcW w:w="1858"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3,148.1</w:t>
            </w:r>
          </w:p>
        </w:tc>
        <w:tc>
          <w:tcPr>
            <w:tcW w:w="153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100.0</w:t>
            </w:r>
          </w:p>
        </w:tc>
        <w:tc>
          <w:tcPr>
            <w:tcW w:w="1906"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61.3</w:t>
            </w:r>
          </w:p>
        </w:tc>
      </w:tr>
      <w:tr w:rsidR="00AB72CB" w:rsidRPr="00F7263B">
        <w:trPr>
          <w:trHeight w:val="300"/>
          <w:jc w:val="center"/>
        </w:trPr>
        <w:tc>
          <w:tcPr>
            <w:tcW w:w="2382" w:type="dxa"/>
            <w:shd w:val="clear" w:color="auto" w:fill="auto"/>
            <w:noWrap/>
            <w:vAlign w:val="bottom"/>
          </w:tcPr>
          <w:p w:rsidR="00AB72CB" w:rsidRPr="00F7263B" w:rsidRDefault="00AB72CB" w:rsidP="00AB72CB">
            <w:pPr>
              <w:rPr>
                <w:rFonts w:eastAsia="Times New Roman" w:cs="Times New Roman"/>
                <w:b/>
                <w:color w:val="000000"/>
                <w:sz w:val="20"/>
                <w:szCs w:val="20"/>
              </w:rPr>
            </w:pPr>
            <w:r w:rsidRPr="00F7263B">
              <w:rPr>
                <w:rFonts w:eastAsia="Times New Roman" w:cs="Times New Roman"/>
                <w:b/>
                <w:color w:val="000000"/>
                <w:sz w:val="20"/>
                <w:szCs w:val="20"/>
              </w:rPr>
              <w:t>TOTAL</w:t>
            </w:r>
          </w:p>
        </w:tc>
        <w:tc>
          <w:tcPr>
            <w:tcW w:w="1623" w:type="dxa"/>
            <w:shd w:val="clear" w:color="auto" w:fill="auto"/>
            <w:noWrap/>
            <w:vAlign w:val="bottom"/>
          </w:tcPr>
          <w:p w:rsidR="00AB72CB" w:rsidRPr="00F7263B" w:rsidRDefault="00926FA9" w:rsidP="00AB72CB">
            <w:pPr>
              <w:jc w:val="right"/>
              <w:rPr>
                <w:rFonts w:eastAsia="Times New Roman" w:cs="Times New Roman"/>
                <w:b/>
                <w:color w:val="000000"/>
                <w:sz w:val="20"/>
                <w:szCs w:val="20"/>
              </w:rPr>
            </w:pPr>
            <w:r w:rsidRPr="00F7263B">
              <w:rPr>
                <w:rFonts w:eastAsia="Times New Roman" w:cs="Times New Roman"/>
                <w:b/>
                <w:color w:val="000000"/>
                <w:sz w:val="20"/>
                <w:szCs w:val="20"/>
              </w:rPr>
              <w:t>5,</w:t>
            </w:r>
            <w:r w:rsidR="00AB72CB" w:rsidRPr="00F7263B">
              <w:rPr>
                <w:rFonts w:eastAsia="Times New Roman" w:cs="Times New Roman"/>
                <w:b/>
                <w:color w:val="000000"/>
                <w:sz w:val="20"/>
                <w:szCs w:val="20"/>
              </w:rPr>
              <w:t>132.3</w:t>
            </w:r>
          </w:p>
        </w:tc>
        <w:tc>
          <w:tcPr>
            <w:tcW w:w="1858" w:type="dxa"/>
            <w:shd w:val="clear" w:color="auto" w:fill="auto"/>
            <w:noWrap/>
            <w:vAlign w:val="bottom"/>
          </w:tcPr>
          <w:p w:rsidR="00AB72CB" w:rsidRPr="00F7263B" w:rsidRDefault="00AB72CB" w:rsidP="00AB72CB">
            <w:pPr>
              <w:jc w:val="right"/>
              <w:rPr>
                <w:rFonts w:eastAsia="Times New Roman" w:cs="Times New Roman"/>
                <w:b/>
                <w:color w:val="000000"/>
                <w:sz w:val="20"/>
                <w:szCs w:val="20"/>
              </w:rPr>
            </w:pPr>
            <w:r w:rsidRPr="00F7263B">
              <w:rPr>
                <w:rFonts w:eastAsia="Times New Roman" w:cs="Times New Roman"/>
                <w:b/>
                <w:color w:val="000000"/>
                <w:sz w:val="20"/>
                <w:szCs w:val="20"/>
              </w:rPr>
              <w:t>127,564.8</w:t>
            </w:r>
          </w:p>
        </w:tc>
        <w:tc>
          <w:tcPr>
            <w:tcW w:w="1530" w:type="dxa"/>
            <w:shd w:val="clear" w:color="auto" w:fill="auto"/>
            <w:noWrap/>
            <w:vAlign w:val="bottom"/>
          </w:tcPr>
          <w:p w:rsidR="00AB72CB" w:rsidRPr="00F7263B" w:rsidRDefault="00AB72CB" w:rsidP="00AB72CB">
            <w:pPr>
              <w:jc w:val="right"/>
              <w:rPr>
                <w:rFonts w:eastAsia="Times New Roman" w:cs="Times New Roman"/>
                <w:b/>
                <w:color w:val="000000"/>
                <w:sz w:val="20"/>
                <w:szCs w:val="20"/>
              </w:rPr>
            </w:pPr>
            <w:r w:rsidRPr="00F7263B">
              <w:rPr>
                <w:rFonts w:eastAsia="Times New Roman" w:cs="Times New Roman"/>
                <w:b/>
                <w:color w:val="000000"/>
                <w:sz w:val="20"/>
                <w:szCs w:val="20"/>
              </w:rPr>
              <w:t>3.7</w:t>
            </w:r>
          </w:p>
        </w:tc>
        <w:tc>
          <w:tcPr>
            <w:tcW w:w="1906" w:type="dxa"/>
            <w:shd w:val="clear" w:color="auto" w:fill="auto"/>
            <w:noWrap/>
            <w:vAlign w:val="bottom"/>
          </w:tcPr>
          <w:p w:rsidR="00AB72CB" w:rsidRPr="00F7263B" w:rsidRDefault="00AB72CB" w:rsidP="00AB72CB">
            <w:pPr>
              <w:jc w:val="right"/>
              <w:rPr>
                <w:rFonts w:eastAsia="Times New Roman" w:cs="Times New Roman"/>
                <w:b/>
                <w:color w:val="000000"/>
                <w:sz w:val="20"/>
                <w:szCs w:val="20"/>
              </w:rPr>
            </w:pPr>
            <w:r w:rsidRPr="00F7263B">
              <w:rPr>
                <w:rFonts w:eastAsia="Times New Roman" w:cs="Times New Roman"/>
                <w:b/>
                <w:color w:val="000000"/>
                <w:sz w:val="20"/>
                <w:szCs w:val="20"/>
              </w:rPr>
              <w:t>100.0</w:t>
            </w:r>
          </w:p>
        </w:tc>
      </w:tr>
    </w:tbl>
    <w:p w:rsidR="00926FA9" w:rsidRPr="00F7263B" w:rsidRDefault="00926FA9" w:rsidP="00926FA9">
      <w:pPr>
        <w:pStyle w:val="ListParagraph"/>
        <w:tabs>
          <w:tab w:val="left" w:pos="0"/>
        </w:tabs>
        <w:spacing w:before="60"/>
        <w:ind w:left="0"/>
        <w:jc w:val="both"/>
        <w:rPr>
          <w:rFonts w:cs="Times New Roman"/>
          <w:sz w:val="20"/>
          <w:szCs w:val="20"/>
        </w:rPr>
      </w:pPr>
      <w:r w:rsidRPr="00F7263B">
        <w:rPr>
          <w:rFonts w:eastAsia="Times New Roman" w:cs="Times New Roman"/>
          <w:i/>
          <w:color w:val="000000"/>
          <w:sz w:val="20"/>
          <w:szCs w:val="20"/>
        </w:rPr>
        <w:t>Source:</w:t>
      </w:r>
      <w:r w:rsidRPr="00F7263B">
        <w:rPr>
          <w:rFonts w:eastAsia="Times New Roman" w:cs="Times New Roman"/>
          <w:color w:val="000000"/>
          <w:sz w:val="20"/>
          <w:szCs w:val="20"/>
        </w:rPr>
        <w:t xml:space="preserve"> Based on data from IBEX/MoFED.</w:t>
      </w:r>
      <w:r w:rsidR="00553600" w:rsidRPr="00F7263B">
        <w:rPr>
          <w:rStyle w:val="FootnoteReference"/>
          <w:rFonts w:eastAsia="Times New Roman" w:cs="Times New Roman"/>
          <w:color w:val="000000"/>
          <w:sz w:val="20"/>
          <w:szCs w:val="20"/>
        </w:rPr>
        <w:footnoteReference w:id="41"/>
      </w:r>
    </w:p>
    <w:p w:rsidR="00926FA9" w:rsidRPr="00F7263B" w:rsidRDefault="00926FA9" w:rsidP="00926FA9">
      <w:pPr>
        <w:pStyle w:val="ListParagraph"/>
        <w:tabs>
          <w:tab w:val="left" w:pos="0"/>
        </w:tabs>
        <w:spacing w:before="240" w:after="240"/>
        <w:ind w:left="0"/>
        <w:jc w:val="both"/>
        <w:rPr>
          <w:rFonts w:cs="Times New Roman"/>
          <w:sz w:val="20"/>
          <w:szCs w:val="20"/>
        </w:rPr>
      </w:pPr>
    </w:p>
    <w:p w:rsidR="006E7278" w:rsidRPr="00F7263B" w:rsidRDefault="00AB72CB" w:rsidP="00056FC8">
      <w:pPr>
        <w:pStyle w:val="ListParagraph"/>
        <w:numPr>
          <w:ilvl w:val="0"/>
          <w:numId w:val="62"/>
        </w:numPr>
        <w:tabs>
          <w:tab w:val="left" w:pos="0"/>
        </w:tabs>
        <w:spacing w:before="240" w:after="240"/>
        <w:ind w:left="0" w:firstLine="0"/>
        <w:jc w:val="both"/>
        <w:rPr>
          <w:rFonts w:cs="Times New Roman"/>
          <w:sz w:val="20"/>
          <w:szCs w:val="20"/>
        </w:rPr>
      </w:pPr>
      <w:r w:rsidRPr="00F7263B">
        <w:rPr>
          <w:rFonts w:cs="Times New Roman"/>
          <w:sz w:val="20"/>
          <w:szCs w:val="20"/>
        </w:rPr>
        <w:t xml:space="preserve">Yet analysis of ULG fiscal position confirms this fiscal gap: Study of 12 sample ULGs shows that even with future improvement in revenue mobilization at current growth levels, ULGs will need substantive support in </w:t>
      </w:r>
      <w:r w:rsidRPr="00F7263B">
        <w:rPr>
          <w:rFonts w:cs="Times New Roman"/>
          <w:sz w:val="20"/>
          <w:szCs w:val="20"/>
        </w:rPr>
        <w:lastRenderedPageBreak/>
        <w:t xml:space="preserve">order to achieve the </w:t>
      </w:r>
      <w:r w:rsidR="00830508" w:rsidRPr="00F7263B">
        <w:rPr>
          <w:rFonts w:cs="Times New Roman"/>
          <w:sz w:val="20"/>
          <w:szCs w:val="20"/>
        </w:rPr>
        <w:t>government</w:t>
      </w:r>
      <w:r w:rsidRPr="00F7263B">
        <w:rPr>
          <w:rFonts w:cs="Times New Roman"/>
          <w:sz w:val="20"/>
          <w:szCs w:val="20"/>
        </w:rPr>
        <w:t xml:space="preserve"> urban development objectives: Revenues of these ULGs vary within a board range of ET</w:t>
      </w:r>
      <w:r w:rsidR="000737F7" w:rsidRPr="00F7263B">
        <w:rPr>
          <w:rFonts w:cs="Times New Roman"/>
          <w:sz w:val="20"/>
          <w:szCs w:val="20"/>
        </w:rPr>
        <w:t>B 27 (US$1.5) and ETB 400 (US$</w:t>
      </w:r>
      <w:r w:rsidRPr="00F7263B">
        <w:rPr>
          <w:rFonts w:cs="Times New Roman"/>
          <w:sz w:val="20"/>
          <w:szCs w:val="20"/>
        </w:rPr>
        <w:t>22.2) per capita</w:t>
      </w:r>
      <w:r w:rsidR="00926FA9" w:rsidRPr="00F7263B">
        <w:rPr>
          <w:rFonts w:cs="Times New Roman"/>
          <w:sz w:val="20"/>
          <w:szCs w:val="20"/>
        </w:rPr>
        <w:t xml:space="preserve">.  </w:t>
      </w:r>
      <w:r w:rsidRPr="00F7263B">
        <w:rPr>
          <w:rFonts w:cs="Times New Roman"/>
          <w:sz w:val="20"/>
          <w:szCs w:val="20"/>
        </w:rPr>
        <w:t xml:space="preserve">At the national level, as indicated in the table below, </w:t>
      </w:r>
      <w:r w:rsidRPr="00F7263B">
        <w:rPr>
          <w:rFonts w:cs="Times New Roman"/>
          <w:bCs/>
          <w:sz w:val="20"/>
          <w:szCs w:val="20"/>
        </w:rPr>
        <w:t>all municipal revenue constitutes only about 3</w:t>
      </w:r>
      <w:r w:rsidR="00B17200" w:rsidRPr="00F7263B">
        <w:rPr>
          <w:rFonts w:cs="Times New Roman"/>
          <w:bCs/>
          <w:sz w:val="20"/>
          <w:szCs w:val="20"/>
        </w:rPr>
        <w:t>percent of</w:t>
      </w:r>
      <w:r w:rsidRPr="00F7263B">
        <w:rPr>
          <w:rFonts w:cs="Times New Roman"/>
          <w:bCs/>
          <w:sz w:val="20"/>
          <w:szCs w:val="20"/>
        </w:rPr>
        <w:t xml:space="preserve"> total public revenues in the country</w:t>
      </w:r>
      <w:r w:rsidR="00926FA9" w:rsidRPr="00F7263B">
        <w:rPr>
          <w:rFonts w:cs="Times New Roman"/>
          <w:bCs/>
          <w:sz w:val="20"/>
          <w:szCs w:val="20"/>
        </w:rPr>
        <w:t xml:space="preserve">.  </w:t>
      </w:r>
      <w:r w:rsidRPr="00F7263B">
        <w:rPr>
          <w:rFonts w:cs="Times New Roman"/>
          <w:bCs/>
          <w:sz w:val="20"/>
          <w:szCs w:val="20"/>
        </w:rPr>
        <w:t>The most significant revenue assignments are at the federal and regional levels</w:t>
      </w:r>
      <w:r w:rsidR="00926FA9" w:rsidRPr="00F7263B">
        <w:rPr>
          <w:rFonts w:cs="Times New Roman"/>
          <w:bCs/>
          <w:sz w:val="20"/>
          <w:szCs w:val="20"/>
        </w:rPr>
        <w:t xml:space="preserve">.  </w:t>
      </w:r>
      <w:r w:rsidRPr="00F7263B">
        <w:rPr>
          <w:rFonts w:cs="Times New Roman"/>
          <w:bCs/>
          <w:sz w:val="20"/>
          <w:szCs w:val="20"/>
        </w:rPr>
        <w:t>Given the specific figures in the sample ULGs and the aggregate national picture, the current system of relying on ULG own source revenues to meet most, if not all, ULG institutional and infrastructure/service delivery mandates is not feasible</w:t>
      </w:r>
      <w:r w:rsidR="00926FA9" w:rsidRPr="00F7263B">
        <w:rPr>
          <w:rFonts w:cs="Times New Roman"/>
          <w:bCs/>
          <w:sz w:val="20"/>
          <w:szCs w:val="20"/>
        </w:rPr>
        <w:t xml:space="preserve">.  </w:t>
      </w:r>
      <w:r w:rsidRPr="00F7263B">
        <w:rPr>
          <w:rFonts w:cs="Times New Roman"/>
          <w:bCs/>
          <w:sz w:val="20"/>
          <w:szCs w:val="20"/>
        </w:rPr>
        <w:t xml:space="preserve">Without additional funding, ULGs will operate at a sub-optimal level and not fulfill their roles as economic growth engines for the country. </w:t>
      </w:r>
    </w:p>
    <w:tbl>
      <w:tblPr>
        <w:tblW w:w="9308" w:type="dxa"/>
        <w:jc w:val="center"/>
        <w:tblInd w:w="-23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08"/>
        <w:gridCol w:w="1440"/>
        <w:gridCol w:w="1660"/>
      </w:tblGrid>
      <w:tr w:rsidR="00AB72CB" w:rsidRPr="00F7263B">
        <w:trPr>
          <w:trHeight w:val="300"/>
          <w:jc w:val="center"/>
        </w:trPr>
        <w:tc>
          <w:tcPr>
            <w:tcW w:w="9308" w:type="dxa"/>
            <w:gridSpan w:val="3"/>
            <w:shd w:val="clear" w:color="auto" w:fill="auto"/>
            <w:noWrap/>
            <w:vAlign w:val="bottom"/>
          </w:tcPr>
          <w:p w:rsidR="00AB72CB" w:rsidRPr="00F7263B" w:rsidRDefault="00AB72CB" w:rsidP="00AB72CB">
            <w:pPr>
              <w:rPr>
                <w:rFonts w:eastAsia="Times New Roman" w:cs="Times New Roman"/>
                <w:b/>
                <w:color w:val="000000"/>
                <w:sz w:val="20"/>
                <w:szCs w:val="20"/>
              </w:rPr>
            </w:pPr>
            <w:r w:rsidRPr="00F7263B">
              <w:rPr>
                <w:rFonts w:eastAsia="Times New Roman" w:cs="Times New Roman"/>
                <w:b/>
                <w:color w:val="000000"/>
                <w:sz w:val="20"/>
                <w:szCs w:val="20"/>
              </w:rPr>
              <w:t>Revenue profile for Ethiopia (actual revenue collections, FY2011/12, EFY 2004</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p>
        </w:tc>
        <w:tc>
          <w:tcPr>
            <w:tcW w:w="144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ETB (million)</w:t>
            </w:r>
          </w:p>
        </w:tc>
        <w:tc>
          <w:tcPr>
            <w:tcW w:w="166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Percent</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Consolidated (Fed</w:t>
            </w:r>
            <w:r w:rsidR="00926FA9" w:rsidRPr="00F7263B">
              <w:rPr>
                <w:rFonts w:eastAsia="Times New Roman" w:cs="Times New Roman"/>
                <w:color w:val="000000"/>
                <w:sz w:val="20"/>
                <w:szCs w:val="20"/>
              </w:rPr>
              <w:t>eral</w:t>
            </w:r>
            <w:r w:rsidRPr="00F7263B">
              <w:rPr>
                <w:rFonts w:eastAsia="Times New Roman" w:cs="Times New Roman"/>
                <w:color w:val="000000"/>
                <w:sz w:val="20"/>
                <w:szCs w:val="20"/>
              </w:rPr>
              <w:t xml:space="preserve"> / Regional) Revenue</w:t>
            </w:r>
          </w:p>
        </w:tc>
        <w:tc>
          <w:tcPr>
            <w:tcW w:w="144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102,863.7</w:t>
            </w:r>
          </w:p>
        </w:tc>
        <w:tc>
          <w:tcPr>
            <w:tcW w:w="166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97.0</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o/w Federally Collected Revenues</w:t>
            </w:r>
          </w:p>
        </w:tc>
        <w:tc>
          <w:tcPr>
            <w:tcW w:w="144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85,879.7</w:t>
            </w:r>
          </w:p>
        </w:tc>
        <w:tc>
          <w:tcPr>
            <w:tcW w:w="166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81.0</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o/w Regionally Collected Revenues</w:t>
            </w:r>
          </w:p>
        </w:tc>
        <w:tc>
          <w:tcPr>
            <w:tcW w:w="144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16,983.9</w:t>
            </w:r>
          </w:p>
        </w:tc>
        <w:tc>
          <w:tcPr>
            <w:tcW w:w="166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16.0</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o/w Collected at Bureau Level</w:t>
            </w:r>
          </w:p>
        </w:tc>
        <w:tc>
          <w:tcPr>
            <w:tcW w:w="1440" w:type="dxa"/>
            <w:shd w:val="clear" w:color="auto" w:fill="auto"/>
            <w:noWrap/>
            <w:vAlign w:val="bottom"/>
          </w:tcPr>
          <w:p w:rsidR="00AB72CB" w:rsidRPr="00F7263B" w:rsidRDefault="00AB72CB" w:rsidP="00AB72CB">
            <w:pPr>
              <w:jc w:val="right"/>
              <w:rPr>
                <w:rFonts w:eastAsia="Times New Roman" w:cs="Times New Roman"/>
                <w:i/>
                <w:color w:val="000000"/>
                <w:sz w:val="20"/>
                <w:szCs w:val="20"/>
              </w:rPr>
            </w:pPr>
            <w:r w:rsidRPr="00F7263B">
              <w:rPr>
                <w:rFonts w:eastAsia="Times New Roman" w:cs="Times New Roman"/>
                <w:i/>
                <w:color w:val="000000"/>
                <w:sz w:val="20"/>
                <w:szCs w:val="20"/>
              </w:rPr>
              <w:t>3,910.2</w:t>
            </w:r>
          </w:p>
        </w:tc>
        <w:tc>
          <w:tcPr>
            <w:tcW w:w="1660" w:type="dxa"/>
            <w:shd w:val="clear" w:color="auto" w:fill="auto"/>
            <w:noWrap/>
            <w:vAlign w:val="bottom"/>
          </w:tcPr>
          <w:p w:rsidR="00AB72CB" w:rsidRPr="00F7263B" w:rsidRDefault="00AB72CB" w:rsidP="00AB72CB">
            <w:pPr>
              <w:jc w:val="right"/>
              <w:rPr>
                <w:rFonts w:eastAsia="Times New Roman" w:cs="Times New Roman"/>
                <w:i/>
                <w:color w:val="000000"/>
                <w:sz w:val="20"/>
                <w:szCs w:val="20"/>
              </w:rPr>
            </w:pPr>
            <w:r w:rsidRPr="00F7263B">
              <w:rPr>
                <w:rFonts w:eastAsia="Times New Roman" w:cs="Times New Roman"/>
                <w:i/>
                <w:color w:val="000000"/>
                <w:sz w:val="20"/>
                <w:szCs w:val="20"/>
              </w:rPr>
              <w:t>3.7</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o/w Collected at Woreda Level</w:t>
            </w:r>
          </w:p>
        </w:tc>
        <w:tc>
          <w:tcPr>
            <w:tcW w:w="1440" w:type="dxa"/>
            <w:shd w:val="clear" w:color="auto" w:fill="auto"/>
            <w:noWrap/>
            <w:vAlign w:val="bottom"/>
          </w:tcPr>
          <w:p w:rsidR="00AB72CB" w:rsidRPr="00F7263B" w:rsidRDefault="00AB72CB" w:rsidP="00AB72CB">
            <w:pPr>
              <w:jc w:val="right"/>
              <w:rPr>
                <w:rFonts w:eastAsia="Times New Roman" w:cs="Times New Roman"/>
                <w:i/>
                <w:color w:val="000000"/>
                <w:sz w:val="20"/>
                <w:szCs w:val="20"/>
              </w:rPr>
            </w:pPr>
            <w:r w:rsidRPr="00F7263B">
              <w:rPr>
                <w:rFonts w:eastAsia="Times New Roman" w:cs="Times New Roman"/>
                <w:i/>
                <w:color w:val="000000"/>
                <w:sz w:val="20"/>
                <w:szCs w:val="20"/>
              </w:rPr>
              <w:t>13,073.7</w:t>
            </w:r>
          </w:p>
        </w:tc>
        <w:tc>
          <w:tcPr>
            <w:tcW w:w="1660" w:type="dxa"/>
            <w:shd w:val="clear" w:color="auto" w:fill="auto"/>
            <w:noWrap/>
            <w:vAlign w:val="bottom"/>
          </w:tcPr>
          <w:p w:rsidR="00AB72CB" w:rsidRPr="00F7263B" w:rsidRDefault="00AB72CB" w:rsidP="00AB72CB">
            <w:pPr>
              <w:jc w:val="right"/>
              <w:rPr>
                <w:rFonts w:eastAsia="Times New Roman" w:cs="Times New Roman"/>
                <w:i/>
                <w:color w:val="000000"/>
                <w:sz w:val="20"/>
                <w:szCs w:val="20"/>
              </w:rPr>
            </w:pPr>
            <w:r w:rsidRPr="00F7263B">
              <w:rPr>
                <w:rFonts w:eastAsia="Times New Roman" w:cs="Times New Roman"/>
                <w:i/>
                <w:color w:val="000000"/>
                <w:sz w:val="20"/>
                <w:szCs w:val="20"/>
              </w:rPr>
              <w:t>12.3</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Municipal Revenue</w:t>
            </w:r>
          </w:p>
        </w:tc>
        <w:tc>
          <w:tcPr>
            <w:tcW w:w="144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3,148.1</w:t>
            </w:r>
          </w:p>
        </w:tc>
        <w:tc>
          <w:tcPr>
            <w:tcW w:w="166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3.0</w:t>
            </w:r>
          </w:p>
        </w:tc>
      </w:tr>
      <w:tr w:rsidR="00AB72CB" w:rsidRPr="00F7263B">
        <w:trPr>
          <w:trHeight w:val="300"/>
          <w:jc w:val="center"/>
        </w:trPr>
        <w:tc>
          <w:tcPr>
            <w:tcW w:w="6208" w:type="dxa"/>
            <w:shd w:val="clear" w:color="auto" w:fill="auto"/>
            <w:noWrap/>
            <w:vAlign w:val="bottom"/>
          </w:tcPr>
          <w:p w:rsidR="00AB72CB" w:rsidRPr="00F7263B" w:rsidRDefault="00AB72CB" w:rsidP="00AB72CB">
            <w:pPr>
              <w:rPr>
                <w:rFonts w:eastAsia="Times New Roman" w:cs="Times New Roman"/>
                <w:color w:val="000000"/>
                <w:sz w:val="20"/>
                <w:szCs w:val="20"/>
              </w:rPr>
            </w:pPr>
            <w:r w:rsidRPr="00F7263B">
              <w:rPr>
                <w:rFonts w:eastAsia="Times New Roman" w:cs="Times New Roman"/>
                <w:color w:val="000000"/>
                <w:sz w:val="20"/>
                <w:szCs w:val="20"/>
              </w:rPr>
              <w:t>Total Public Revenues (excluding Grants)</w:t>
            </w:r>
          </w:p>
        </w:tc>
        <w:tc>
          <w:tcPr>
            <w:tcW w:w="144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106,011.7</w:t>
            </w:r>
          </w:p>
        </w:tc>
        <w:tc>
          <w:tcPr>
            <w:tcW w:w="1660" w:type="dxa"/>
            <w:shd w:val="clear" w:color="auto" w:fill="auto"/>
            <w:noWrap/>
            <w:vAlign w:val="bottom"/>
          </w:tcPr>
          <w:p w:rsidR="00AB72CB" w:rsidRPr="00F7263B" w:rsidRDefault="00AB72CB" w:rsidP="00AB72CB">
            <w:pPr>
              <w:jc w:val="right"/>
              <w:rPr>
                <w:rFonts w:eastAsia="Times New Roman" w:cs="Times New Roman"/>
                <w:color w:val="000000"/>
                <w:sz w:val="20"/>
                <w:szCs w:val="20"/>
              </w:rPr>
            </w:pPr>
            <w:r w:rsidRPr="00F7263B">
              <w:rPr>
                <w:rFonts w:eastAsia="Times New Roman" w:cs="Times New Roman"/>
                <w:color w:val="000000"/>
                <w:sz w:val="20"/>
                <w:szCs w:val="20"/>
              </w:rPr>
              <w:t>100.0</w:t>
            </w:r>
          </w:p>
        </w:tc>
      </w:tr>
    </w:tbl>
    <w:p w:rsidR="00AB72CB" w:rsidRPr="00F7263B" w:rsidRDefault="00926FA9" w:rsidP="00AB72CB">
      <w:pPr>
        <w:pStyle w:val="ListParagraph"/>
        <w:ind w:left="0"/>
        <w:jc w:val="both"/>
        <w:rPr>
          <w:rFonts w:cs="Times New Roman"/>
          <w:bCs/>
          <w:sz w:val="20"/>
          <w:szCs w:val="20"/>
        </w:rPr>
      </w:pPr>
      <w:r w:rsidRPr="00F7263B">
        <w:rPr>
          <w:rFonts w:eastAsia="Times New Roman" w:cs="Times New Roman"/>
          <w:i/>
          <w:iCs/>
          <w:color w:val="000000"/>
          <w:sz w:val="20"/>
          <w:szCs w:val="20"/>
        </w:rPr>
        <w:t>Source: MoFED/IBEX</w:t>
      </w:r>
    </w:p>
    <w:p w:rsidR="00926FA9" w:rsidRPr="00F7263B" w:rsidRDefault="00926FA9" w:rsidP="00AB72CB">
      <w:pPr>
        <w:pStyle w:val="ListParagraph"/>
        <w:ind w:left="0"/>
        <w:jc w:val="both"/>
        <w:rPr>
          <w:rFonts w:cs="Times New Roman"/>
          <w:bCs/>
          <w:sz w:val="20"/>
          <w:szCs w:val="20"/>
        </w:rPr>
      </w:pPr>
    </w:p>
    <w:p w:rsidR="006E7278" w:rsidRPr="00F7263B" w:rsidRDefault="00AB72CB" w:rsidP="00056FC8">
      <w:pPr>
        <w:pStyle w:val="ListParagraph"/>
        <w:numPr>
          <w:ilvl w:val="0"/>
          <w:numId w:val="62"/>
        </w:numPr>
        <w:spacing w:after="200"/>
        <w:ind w:left="0" w:firstLine="0"/>
        <w:jc w:val="both"/>
        <w:rPr>
          <w:rFonts w:cs="Times New Roman"/>
          <w:bCs/>
          <w:sz w:val="20"/>
          <w:szCs w:val="20"/>
        </w:rPr>
      </w:pPr>
      <w:r w:rsidRPr="00F7263B">
        <w:rPr>
          <w:rFonts w:cs="Times New Roman"/>
          <w:bCs/>
          <w:sz w:val="20"/>
          <w:szCs w:val="20"/>
        </w:rPr>
        <w:t>ULGDP II is intended to address these in the context of the overall evolution of the government’s program and the intergovernmental fiscal system in Ethiopia</w:t>
      </w:r>
      <w:r w:rsidR="00926FA9" w:rsidRPr="00F7263B">
        <w:rPr>
          <w:rFonts w:cs="Times New Roman"/>
          <w:bCs/>
          <w:sz w:val="20"/>
          <w:szCs w:val="20"/>
        </w:rPr>
        <w:t xml:space="preserve">.  </w:t>
      </w:r>
      <w:r w:rsidRPr="00F7263B">
        <w:rPr>
          <w:rFonts w:cs="Times New Roman"/>
          <w:color w:val="000000"/>
          <w:sz w:val="20"/>
          <w:szCs w:val="20"/>
        </w:rPr>
        <w:t xml:space="preserve">The Program rationale is to address the current urban infrastructure gaps and strengthen the institutions of both the ULGs involved in service delivery and the regions and the </w:t>
      </w:r>
      <w:r w:rsidR="00276BC8" w:rsidRPr="00F7263B">
        <w:rPr>
          <w:rFonts w:cs="Times New Roman"/>
          <w:color w:val="000000"/>
          <w:sz w:val="20"/>
          <w:szCs w:val="20"/>
        </w:rPr>
        <w:t>MUDHCo</w:t>
      </w:r>
      <w:r w:rsidRPr="00F7263B">
        <w:rPr>
          <w:rFonts w:cs="Times New Roman"/>
          <w:color w:val="000000"/>
          <w:sz w:val="20"/>
          <w:szCs w:val="20"/>
        </w:rPr>
        <w:t xml:space="preserve"> for support for urban management and improved urban services</w:t>
      </w:r>
      <w:r w:rsidR="00926FA9" w:rsidRPr="00F7263B">
        <w:rPr>
          <w:rFonts w:cs="Times New Roman"/>
          <w:color w:val="000000"/>
          <w:sz w:val="20"/>
          <w:szCs w:val="20"/>
        </w:rPr>
        <w:t xml:space="preserve">.  </w:t>
      </w:r>
      <w:r w:rsidRPr="00F7263B">
        <w:rPr>
          <w:rFonts w:cs="Times New Roman"/>
          <w:color w:val="000000"/>
          <w:sz w:val="20"/>
          <w:szCs w:val="20"/>
        </w:rPr>
        <w:t xml:space="preserve">The Program will be in important continuation of the improvement of infrastructure and services in the 18 cities currently participating in the program, through </w:t>
      </w:r>
      <w:r w:rsidR="00D0377C" w:rsidRPr="00F7263B">
        <w:rPr>
          <w:rFonts w:cs="Times New Roman"/>
          <w:color w:val="000000"/>
          <w:sz w:val="20"/>
          <w:szCs w:val="20"/>
        </w:rPr>
        <w:t>performance-based</w:t>
      </w:r>
      <w:r w:rsidRPr="00F7263B">
        <w:rPr>
          <w:rFonts w:cs="Times New Roman"/>
          <w:color w:val="000000"/>
          <w:sz w:val="20"/>
          <w:szCs w:val="20"/>
        </w:rPr>
        <w:t xml:space="preserve"> capital grants, as well as an important kick-start on urban development in the new 26 ULGs</w:t>
      </w:r>
      <w:r w:rsidR="00926FA9" w:rsidRPr="00F7263B">
        <w:rPr>
          <w:rFonts w:cs="Times New Roman"/>
          <w:color w:val="000000"/>
          <w:sz w:val="20"/>
          <w:szCs w:val="20"/>
        </w:rPr>
        <w:t xml:space="preserve">.  </w:t>
      </w:r>
      <w:r w:rsidRPr="00F7263B">
        <w:rPr>
          <w:rFonts w:cs="Times New Roman"/>
          <w:color w:val="000000"/>
          <w:sz w:val="20"/>
          <w:szCs w:val="20"/>
        </w:rPr>
        <w:t>The Program will address urban poverty through the provision of employment opportunities during civil works activities in the ULGs, improved infrastructure important for private growth, markets opportunities and improvement of service in core areas of importance for urban development</w:t>
      </w:r>
      <w:r w:rsidR="00926FA9" w:rsidRPr="00F7263B">
        <w:rPr>
          <w:rFonts w:cs="Times New Roman"/>
          <w:color w:val="000000"/>
          <w:sz w:val="20"/>
          <w:szCs w:val="20"/>
        </w:rPr>
        <w:t xml:space="preserve">.  </w:t>
      </w:r>
      <w:r w:rsidRPr="00F7263B">
        <w:rPr>
          <w:rFonts w:cs="Times New Roman"/>
          <w:color w:val="000000"/>
          <w:sz w:val="20"/>
          <w:szCs w:val="20"/>
        </w:rPr>
        <w:t>It will also catalyze enhanced contributions from the regional and city level for core infrastructure and services</w:t>
      </w:r>
      <w:r w:rsidR="00926FA9" w:rsidRPr="00F7263B">
        <w:rPr>
          <w:rFonts w:cs="Times New Roman"/>
          <w:color w:val="000000"/>
          <w:sz w:val="20"/>
          <w:szCs w:val="20"/>
        </w:rPr>
        <w:t xml:space="preserve">.  </w:t>
      </w:r>
    </w:p>
    <w:p w:rsidR="00AB72CB" w:rsidRPr="00F7263B" w:rsidRDefault="00AB72CB" w:rsidP="00AB72CB">
      <w:pPr>
        <w:pStyle w:val="ListParagraph"/>
        <w:ind w:left="0"/>
        <w:jc w:val="center"/>
        <w:rPr>
          <w:rFonts w:cs="Times New Roman"/>
          <w:bCs/>
          <w:sz w:val="20"/>
          <w:szCs w:val="20"/>
        </w:rPr>
      </w:pPr>
    </w:p>
    <w:p w:rsidR="006E7278" w:rsidRPr="00F7263B" w:rsidRDefault="00624BDE" w:rsidP="00056FC8">
      <w:pPr>
        <w:pStyle w:val="ListParagraph"/>
        <w:numPr>
          <w:ilvl w:val="0"/>
          <w:numId w:val="62"/>
        </w:numPr>
        <w:spacing w:after="200"/>
        <w:ind w:left="0" w:firstLine="0"/>
        <w:jc w:val="both"/>
        <w:rPr>
          <w:rFonts w:cs="Times New Roman"/>
          <w:bCs/>
          <w:sz w:val="20"/>
          <w:szCs w:val="20"/>
        </w:rPr>
      </w:pPr>
      <w:r w:rsidRPr="00F7263B">
        <w:rPr>
          <w:rFonts w:cs="Times New Roman"/>
          <w:color w:val="000000"/>
          <w:sz w:val="20"/>
          <w:szCs w:val="20"/>
        </w:rPr>
        <w:t>To address the fiscal gap, the IDA contribution to the Program will significantly increase the resources for urban infrastructure and service delivery. The contribution of IDA to the annual performance grant of the Program, which will be around on average US$64.6 million per year (US$323 million) or 1,214,480,000 ETB constitutes about 24 percent of the estimated spending on urban development.</w:t>
      </w:r>
      <w:r w:rsidR="00AB72CB" w:rsidRPr="00F7263B">
        <w:rPr>
          <w:rStyle w:val="FootnoteReference"/>
          <w:rFonts w:cs="Times New Roman"/>
          <w:sz w:val="20"/>
          <w:szCs w:val="20"/>
        </w:rPr>
        <w:footnoteReference w:id="42"/>
      </w:r>
    </w:p>
    <w:p w:rsidR="00AB72CB" w:rsidRPr="00F7263B" w:rsidRDefault="00AB72CB" w:rsidP="00AB72CB">
      <w:pPr>
        <w:pStyle w:val="ListParagraph"/>
        <w:ind w:left="0"/>
        <w:rPr>
          <w:rFonts w:cs="Times New Roman"/>
          <w:bCs/>
          <w:sz w:val="20"/>
          <w:szCs w:val="20"/>
        </w:rPr>
      </w:pPr>
    </w:p>
    <w:p w:rsidR="006E7278" w:rsidRPr="00F7263B" w:rsidRDefault="00AB72CB" w:rsidP="00056FC8">
      <w:pPr>
        <w:pStyle w:val="ListParagraph"/>
        <w:numPr>
          <w:ilvl w:val="0"/>
          <w:numId w:val="62"/>
        </w:numPr>
        <w:spacing w:after="200"/>
        <w:ind w:left="0" w:firstLine="0"/>
        <w:jc w:val="both"/>
        <w:rPr>
          <w:rFonts w:cs="Times New Roman"/>
          <w:bCs/>
          <w:sz w:val="20"/>
          <w:szCs w:val="20"/>
        </w:rPr>
      </w:pPr>
      <w:r w:rsidRPr="00F7263B">
        <w:rPr>
          <w:rFonts w:cs="Times New Roman"/>
          <w:bCs/>
          <w:sz w:val="20"/>
          <w:szCs w:val="20"/>
        </w:rPr>
        <w:t>Importantly, the institutional focus and goals of the Program whereby resources to ULGs will be made available only as a result of proven enhancements in their institutional performance address the core issues facing the urban system</w:t>
      </w:r>
      <w:r w:rsidR="00926FA9" w:rsidRPr="00F7263B">
        <w:rPr>
          <w:rFonts w:cs="Times New Roman"/>
          <w:bCs/>
          <w:sz w:val="20"/>
          <w:szCs w:val="20"/>
        </w:rPr>
        <w:t xml:space="preserve">.  </w:t>
      </w:r>
      <w:r w:rsidRPr="00F7263B">
        <w:rPr>
          <w:rFonts w:cs="Times New Roman"/>
          <w:bCs/>
          <w:sz w:val="20"/>
          <w:szCs w:val="20"/>
        </w:rPr>
        <w:t xml:space="preserve">This approach is appropriate in the current policy environment where </w:t>
      </w:r>
      <w:r w:rsidR="00830508" w:rsidRPr="00F7263B">
        <w:rPr>
          <w:rFonts w:cs="Times New Roman"/>
          <w:bCs/>
          <w:sz w:val="20"/>
          <w:szCs w:val="20"/>
        </w:rPr>
        <w:t>government</w:t>
      </w:r>
      <w:r w:rsidRPr="00F7263B">
        <w:rPr>
          <w:rFonts w:cs="Times New Roman"/>
          <w:bCs/>
          <w:sz w:val="20"/>
          <w:szCs w:val="20"/>
        </w:rPr>
        <w:t xml:space="preserve"> is significantly enhancing its focus on and support to ULG management and service delivery</w:t>
      </w:r>
      <w:r w:rsidR="00926FA9" w:rsidRPr="00F7263B">
        <w:rPr>
          <w:rFonts w:cs="Times New Roman"/>
          <w:bCs/>
          <w:sz w:val="20"/>
          <w:szCs w:val="20"/>
        </w:rPr>
        <w:t xml:space="preserve">.  </w:t>
      </w:r>
    </w:p>
    <w:p w:rsidR="00AB72CB" w:rsidRPr="00F7263B" w:rsidRDefault="00AB72CB" w:rsidP="00AB72CB">
      <w:pPr>
        <w:pStyle w:val="ListParagraph"/>
        <w:ind w:left="0"/>
        <w:jc w:val="both"/>
        <w:rPr>
          <w:rFonts w:cs="Times New Roman"/>
          <w:sz w:val="20"/>
          <w:szCs w:val="20"/>
        </w:rPr>
      </w:pPr>
    </w:p>
    <w:p w:rsidR="006E7278" w:rsidRPr="00F7263B" w:rsidRDefault="00AB72CB" w:rsidP="00056FC8">
      <w:pPr>
        <w:pStyle w:val="ListParagraph"/>
        <w:numPr>
          <w:ilvl w:val="0"/>
          <w:numId w:val="62"/>
        </w:numPr>
        <w:spacing w:after="240"/>
        <w:ind w:left="0" w:firstLine="0"/>
        <w:jc w:val="both"/>
        <w:rPr>
          <w:rFonts w:cs="Times New Roman"/>
          <w:bCs/>
          <w:sz w:val="20"/>
          <w:szCs w:val="20"/>
        </w:rPr>
      </w:pPr>
      <w:r w:rsidRPr="00F7263B">
        <w:rPr>
          <w:rFonts w:cs="Times New Roman"/>
          <w:sz w:val="20"/>
          <w:szCs w:val="20"/>
        </w:rPr>
        <w:t>There is a strong case for public funding for the Program</w:t>
      </w:r>
      <w:r w:rsidR="00926FA9" w:rsidRPr="00F7263B">
        <w:rPr>
          <w:rFonts w:cs="Times New Roman"/>
          <w:sz w:val="20"/>
          <w:szCs w:val="20"/>
        </w:rPr>
        <w:t xml:space="preserve">.  </w:t>
      </w:r>
      <w:r w:rsidRPr="00F7263B">
        <w:rPr>
          <w:rFonts w:cs="Times New Roman"/>
          <w:sz w:val="20"/>
          <w:szCs w:val="20"/>
        </w:rPr>
        <w:t>The types of public goods supported by the program would never be provided at a sufficient level without the ULG interventions</w:t>
      </w:r>
      <w:r w:rsidR="00926FA9" w:rsidRPr="00F7263B">
        <w:rPr>
          <w:rFonts w:cs="Times New Roman"/>
          <w:sz w:val="20"/>
          <w:szCs w:val="20"/>
        </w:rPr>
        <w:t xml:space="preserve">.  </w:t>
      </w:r>
      <w:r w:rsidRPr="00F7263B">
        <w:rPr>
          <w:rFonts w:cs="Times New Roman"/>
          <w:sz w:val="20"/>
          <w:szCs w:val="20"/>
        </w:rPr>
        <w:t>Private financing for key urban service delivery and infrastructure services, through public-private partnership schemes, is an important option to consider and will play a role</w:t>
      </w:r>
      <w:r w:rsidR="00926FA9" w:rsidRPr="00F7263B">
        <w:rPr>
          <w:rFonts w:cs="Times New Roman"/>
          <w:sz w:val="20"/>
          <w:szCs w:val="20"/>
        </w:rPr>
        <w:t xml:space="preserve">.  </w:t>
      </w:r>
      <w:r w:rsidRPr="00F7263B">
        <w:rPr>
          <w:rFonts w:cs="Times New Roman"/>
          <w:sz w:val="20"/>
          <w:szCs w:val="20"/>
        </w:rPr>
        <w:t xml:space="preserve">However </w:t>
      </w:r>
      <w:r w:rsidR="00876083" w:rsidRPr="00F7263B">
        <w:rPr>
          <w:rFonts w:cs="Times New Roman"/>
          <w:sz w:val="20"/>
          <w:szCs w:val="20"/>
        </w:rPr>
        <w:t>such schemes</w:t>
      </w:r>
      <w:r w:rsidRPr="00F7263B">
        <w:rPr>
          <w:rFonts w:cs="Times New Roman"/>
          <w:sz w:val="20"/>
          <w:szCs w:val="20"/>
        </w:rPr>
        <w:t xml:space="preserve"> are limited in nature</w:t>
      </w:r>
      <w:r w:rsidR="00876083" w:rsidRPr="00F7263B">
        <w:rPr>
          <w:rFonts w:cs="Times New Roman"/>
          <w:sz w:val="20"/>
          <w:szCs w:val="20"/>
        </w:rPr>
        <w:t>—</w:t>
      </w:r>
      <w:r w:rsidRPr="00F7263B">
        <w:rPr>
          <w:rFonts w:cs="Times New Roman"/>
          <w:sz w:val="20"/>
          <w:szCs w:val="20"/>
        </w:rPr>
        <w:t>they cannot be used for all urban services or infrastructure-, they require significant local government institutional capacity to formulate, contract out, properly supervise implementation and mitigate various risks of failure by the private companies contracted</w:t>
      </w:r>
      <w:r w:rsidR="00876083" w:rsidRPr="00F7263B">
        <w:rPr>
          <w:rFonts w:cs="Times New Roman"/>
          <w:sz w:val="20"/>
          <w:szCs w:val="20"/>
        </w:rPr>
        <w:t>—</w:t>
      </w:r>
      <w:r w:rsidRPr="00F7263B">
        <w:rPr>
          <w:rFonts w:cs="Times New Roman"/>
          <w:sz w:val="20"/>
          <w:szCs w:val="20"/>
        </w:rPr>
        <w:t xml:space="preserve">which currently does not exist in the majority of local governments; and they can only be implemented </w:t>
      </w:r>
      <w:r w:rsidRPr="00F7263B">
        <w:rPr>
          <w:rFonts w:cs="Times New Roman"/>
          <w:sz w:val="20"/>
          <w:szCs w:val="20"/>
        </w:rPr>
        <w:lastRenderedPageBreak/>
        <w:t>in national environments where the overall legal and regulatory framework is conducive and friendly towards</w:t>
      </w:r>
      <w:r w:rsidR="00876083" w:rsidRPr="00F7263B">
        <w:rPr>
          <w:rFonts w:cs="Times New Roman"/>
          <w:sz w:val="20"/>
          <w:szCs w:val="20"/>
        </w:rPr>
        <w:t>public-private partnerships</w:t>
      </w:r>
      <w:r w:rsidR="00926FA9" w:rsidRPr="00F7263B">
        <w:rPr>
          <w:rFonts w:cs="Times New Roman"/>
          <w:sz w:val="20"/>
          <w:szCs w:val="20"/>
        </w:rPr>
        <w:t xml:space="preserve">.  </w:t>
      </w:r>
      <w:r w:rsidRPr="00F7263B">
        <w:rPr>
          <w:rFonts w:cs="Times New Roman"/>
          <w:sz w:val="20"/>
          <w:szCs w:val="20"/>
        </w:rPr>
        <w:t>Given these limitations, among others, in the targeted 44 ULGs in the Program, public financing is assessed to be the optimal decision</w:t>
      </w:r>
      <w:r w:rsidR="00926FA9" w:rsidRPr="00F7263B">
        <w:rPr>
          <w:rFonts w:cs="Times New Roman"/>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color w:val="000000"/>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bCs/>
          <w:sz w:val="20"/>
          <w:szCs w:val="20"/>
        </w:rPr>
        <w:t>Th</w:t>
      </w:r>
      <w:r w:rsidRPr="00F7263B">
        <w:rPr>
          <w:rFonts w:cs="Times New Roman"/>
          <w:sz w:val="20"/>
          <w:szCs w:val="20"/>
        </w:rPr>
        <w:t xml:space="preserve">e proposed Program will contribute directly to the </w:t>
      </w:r>
      <w:r w:rsidR="00830508" w:rsidRPr="00F7263B">
        <w:rPr>
          <w:rFonts w:cs="Times New Roman"/>
          <w:sz w:val="20"/>
          <w:szCs w:val="20"/>
        </w:rPr>
        <w:t>government</w:t>
      </w:r>
      <w:r w:rsidRPr="00F7263B">
        <w:rPr>
          <w:rFonts w:cs="Times New Roman"/>
          <w:sz w:val="20"/>
          <w:szCs w:val="20"/>
        </w:rPr>
        <w:t>’s Growth and Transformation Plan (GTP),especially the pillar on enhancing expansion and quality of infrastructure development, enhancing expansion and quality of social development (e.g</w:t>
      </w:r>
      <w:r w:rsidR="00926FA9" w:rsidRPr="00F7263B">
        <w:rPr>
          <w:rFonts w:cs="Times New Roman"/>
          <w:sz w:val="20"/>
          <w:szCs w:val="20"/>
        </w:rPr>
        <w:t xml:space="preserve">.  </w:t>
      </w:r>
      <w:r w:rsidRPr="00F7263B">
        <w:rPr>
          <w:rFonts w:cs="Times New Roman"/>
          <w:sz w:val="20"/>
          <w:szCs w:val="20"/>
        </w:rPr>
        <w:t xml:space="preserve">through creation of services and employment opportunities) and building capacity and deepening good governance and the new </w:t>
      </w:r>
      <w:r w:rsidR="00B42C33" w:rsidRPr="00F7263B">
        <w:rPr>
          <w:sz w:val="20"/>
          <w:szCs w:val="20"/>
        </w:rPr>
        <w:t>Ethiopian Cities Prosperity Initiative</w:t>
      </w:r>
      <w:r w:rsidRPr="00F7263B">
        <w:rPr>
          <w:rFonts w:cs="Times New Roman"/>
          <w:sz w:val="20"/>
          <w:szCs w:val="20"/>
        </w:rPr>
        <w:t>, where the performance measures in the APA is designed in a manner closely related with the objectives of the new strategy</w:t>
      </w:r>
      <w:r w:rsidR="00926FA9" w:rsidRPr="00F7263B">
        <w:rPr>
          <w:rFonts w:cs="Times New Roman"/>
          <w:sz w:val="20"/>
          <w:szCs w:val="20"/>
        </w:rPr>
        <w:t xml:space="preserve">.  </w:t>
      </w:r>
      <w:r w:rsidRPr="00F7263B">
        <w:rPr>
          <w:rFonts w:cs="Times New Roman"/>
          <w:sz w:val="20"/>
          <w:szCs w:val="20"/>
        </w:rPr>
        <w:t>Urban development is a major tool for ensuring that there are efficient growth centers for the country-wide development and creation of employment opportunities through investments in infrastructure and the benefits of this afterwards for private development in other sectors</w:t>
      </w:r>
      <w:r w:rsidR="00926FA9" w:rsidRPr="00F7263B">
        <w:rPr>
          <w:rFonts w:cs="Times New Roman"/>
          <w:sz w:val="20"/>
          <w:szCs w:val="20"/>
        </w:rPr>
        <w:t xml:space="preserve">.  </w:t>
      </w:r>
      <w:r w:rsidRPr="00F7263B">
        <w:rPr>
          <w:rFonts w:cs="Times New Roman"/>
          <w:sz w:val="20"/>
          <w:szCs w:val="20"/>
        </w:rPr>
        <w:t>The labor-intensive investments funded under the ULGDP, and promotion of the activities of micro and small enterprise development through involvement in the execution of Program infrastructure investments, are key priorities</w:t>
      </w:r>
      <w:r w:rsidR="00926FA9" w:rsidRPr="00F7263B">
        <w:rPr>
          <w:rFonts w:cs="Times New Roman"/>
          <w:sz w:val="20"/>
          <w:szCs w:val="20"/>
        </w:rPr>
        <w:t xml:space="preserve">.  </w:t>
      </w:r>
      <w:r w:rsidRPr="00F7263B">
        <w:rPr>
          <w:rFonts w:cs="Times New Roman"/>
          <w:sz w:val="20"/>
          <w:szCs w:val="20"/>
        </w:rPr>
        <w:t xml:space="preserve">The focus on improved </w:t>
      </w:r>
      <w:r w:rsidR="00876083" w:rsidRPr="00F7263B">
        <w:rPr>
          <w:rFonts w:cs="Times New Roman"/>
          <w:sz w:val="20"/>
          <w:szCs w:val="20"/>
        </w:rPr>
        <w:t>own source</w:t>
      </w:r>
      <w:r w:rsidRPr="00F7263B">
        <w:rPr>
          <w:rFonts w:cs="Times New Roman"/>
          <w:sz w:val="20"/>
          <w:szCs w:val="20"/>
        </w:rPr>
        <w:t xml:space="preserve"> in the incentive system and </w:t>
      </w:r>
      <w:r w:rsidR="00876083" w:rsidRPr="00F7263B">
        <w:rPr>
          <w:rFonts w:cs="Times New Roman"/>
          <w:sz w:val="20"/>
          <w:szCs w:val="20"/>
        </w:rPr>
        <w:t>capacity building</w:t>
      </w:r>
      <w:r w:rsidRPr="00F7263B">
        <w:rPr>
          <w:rFonts w:cs="Times New Roman"/>
          <w:sz w:val="20"/>
          <w:szCs w:val="20"/>
        </w:rPr>
        <w:t xml:space="preserve"> support elements are also important in providing a strong, consistent and buoyant ULG revenue base and improved future levels of infrastructure investments</w:t>
      </w:r>
      <w:r w:rsidR="00926FA9" w:rsidRPr="00F7263B">
        <w:rPr>
          <w:rFonts w:cs="Times New Roman"/>
          <w:sz w:val="20"/>
          <w:szCs w:val="20"/>
        </w:rPr>
        <w:t xml:space="preserve">.  </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Given the importance of urbanization and the role of ULGs for Ethiopia’s overall economic growth on the one hand, and the current fiscal gap which prevents ULGs from fulfilling this role on the other, the Program is assessed to be strategically relevant</w:t>
      </w:r>
      <w:r w:rsidR="00926FA9" w:rsidRPr="00F7263B">
        <w:rPr>
          <w:rFonts w:cs="Times New Roman"/>
          <w:sz w:val="20"/>
          <w:szCs w:val="20"/>
        </w:rPr>
        <w:t xml:space="preserve">.  </w:t>
      </w:r>
      <w:r w:rsidRPr="00F7263B">
        <w:rPr>
          <w:rFonts w:cs="Times New Roman"/>
          <w:sz w:val="20"/>
          <w:szCs w:val="20"/>
        </w:rPr>
        <w:t xml:space="preserve">In addition to helping reduce the fiscal gap by raising local government institutional capacity, the Program is also fully aligned with the </w:t>
      </w:r>
      <w:r w:rsidR="00830508" w:rsidRPr="00F7263B">
        <w:rPr>
          <w:rFonts w:cs="Times New Roman"/>
          <w:sz w:val="20"/>
          <w:szCs w:val="20"/>
        </w:rPr>
        <w:t>government</w:t>
      </w:r>
      <w:r w:rsidRPr="00F7263B">
        <w:rPr>
          <w:rFonts w:cs="Times New Roman"/>
          <w:sz w:val="20"/>
          <w:szCs w:val="20"/>
        </w:rPr>
        <w:t>’s policy priorities</w:t>
      </w:r>
      <w:r w:rsidR="00926FA9" w:rsidRPr="00F7263B">
        <w:rPr>
          <w:rFonts w:cs="Times New Roman"/>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6F68D4">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World Bank, as a global development institution, can, together with its partners, be an effective broker of knowledge and play a catalytic role as facilitator for the urban reform process in Ethiopia</w:t>
      </w:r>
      <w:r w:rsidR="00926FA9" w:rsidRPr="00F7263B">
        <w:rPr>
          <w:rFonts w:cs="Times New Roman"/>
          <w:sz w:val="20"/>
          <w:szCs w:val="20"/>
        </w:rPr>
        <w:t xml:space="preserve">.  </w:t>
      </w:r>
      <w:r w:rsidRPr="00F7263B">
        <w:rPr>
          <w:rFonts w:cs="Times New Roman"/>
          <w:sz w:val="20"/>
          <w:szCs w:val="20"/>
        </w:rPr>
        <w:t xml:space="preserve">The Bank is particularly well positioned to assist the </w:t>
      </w:r>
      <w:r w:rsidR="00830508" w:rsidRPr="00F7263B">
        <w:rPr>
          <w:rFonts w:cs="Times New Roman"/>
          <w:sz w:val="20"/>
          <w:szCs w:val="20"/>
        </w:rPr>
        <w:t>government</w:t>
      </w:r>
      <w:r w:rsidRPr="00F7263B">
        <w:rPr>
          <w:rFonts w:cs="Times New Roman"/>
          <w:sz w:val="20"/>
          <w:szCs w:val="20"/>
        </w:rPr>
        <w:t xml:space="preserve"> with the evolution of its urban infrastructure finance and management system, due to the long standing partnership in the urban sphere (see paragraphs 14 and 15), its regional -particularly through the design and implementation of urban focused </w:t>
      </w:r>
      <w:r w:rsidR="00D0377C" w:rsidRPr="00F7263B">
        <w:rPr>
          <w:rFonts w:cs="Times New Roman"/>
          <w:sz w:val="20"/>
          <w:szCs w:val="20"/>
        </w:rPr>
        <w:t>performance-based</w:t>
      </w:r>
      <w:r w:rsidR="00E05224" w:rsidRPr="00F7263B">
        <w:rPr>
          <w:rFonts w:cs="Times New Roman"/>
          <w:sz w:val="20"/>
          <w:szCs w:val="20"/>
        </w:rPr>
        <w:t xml:space="preserve"> grants</w:t>
      </w:r>
      <w:r w:rsidRPr="00F7263B">
        <w:rPr>
          <w:rFonts w:cs="Times New Roman"/>
          <w:sz w:val="20"/>
          <w:szCs w:val="20"/>
        </w:rPr>
        <w:t xml:space="preserve"> in Tanzania, Uganda and Ghana, among other eastern and southern African countries</w:t>
      </w:r>
      <w:r w:rsidR="00E05224" w:rsidRPr="00F7263B">
        <w:rPr>
          <w:rFonts w:cs="Times New Roman"/>
          <w:sz w:val="20"/>
          <w:szCs w:val="20"/>
        </w:rPr>
        <w:t>,</w:t>
      </w:r>
      <w:r w:rsidRPr="00F7263B">
        <w:rPr>
          <w:rFonts w:cs="Times New Roman"/>
          <w:sz w:val="20"/>
          <w:szCs w:val="20"/>
        </w:rPr>
        <w:t xml:space="preserve"> and international experience on similar programs and its potential to provide long-term financing as required.</w:t>
      </w:r>
    </w:p>
    <w:p w:rsidR="00AB72CB" w:rsidRPr="00F7263B" w:rsidRDefault="006F2AAE" w:rsidP="00AB72CB">
      <w:pPr>
        <w:rPr>
          <w:b/>
          <w:sz w:val="20"/>
          <w:szCs w:val="20"/>
        </w:rPr>
      </w:pPr>
      <w:r w:rsidRPr="00F7263B">
        <w:rPr>
          <w:rFonts w:ascii="Times New Roman Bold" w:hAnsi="Times New Roman Bold" w:cs="Arial"/>
          <w:sz w:val="20"/>
          <w:szCs w:val="20"/>
        </w:rPr>
        <w:t>Technical s</w:t>
      </w:r>
      <w:r w:rsidR="00AB72CB" w:rsidRPr="00F7263B">
        <w:rPr>
          <w:rFonts w:ascii="Times New Roman Bold" w:hAnsi="Times New Roman Bold" w:cs="Arial"/>
          <w:sz w:val="20"/>
          <w:szCs w:val="20"/>
        </w:rPr>
        <w:t>oundness of ULGDP II</w:t>
      </w:r>
    </w:p>
    <w:p w:rsidR="00AB72CB" w:rsidRPr="00F7263B" w:rsidRDefault="00AB72CB" w:rsidP="00AB72CB">
      <w:pPr>
        <w:rPr>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sz w:val="20"/>
          <w:szCs w:val="20"/>
        </w:rPr>
        <w:t xml:space="preserve">The technical design of ULGDP II draws heavily from the extensive experiences of Bank </w:t>
      </w:r>
      <w:r w:rsidR="00E05224" w:rsidRPr="00F7263B">
        <w:rPr>
          <w:sz w:val="20"/>
          <w:szCs w:val="20"/>
        </w:rPr>
        <w:t xml:space="preserve">and </w:t>
      </w:r>
      <w:r w:rsidR="00830508" w:rsidRPr="00F7263B">
        <w:rPr>
          <w:sz w:val="20"/>
          <w:szCs w:val="20"/>
        </w:rPr>
        <w:t>government</w:t>
      </w:r>
      <w:r w:rsidRPr="00F7263B">
        <w:rPr>
          <w:sz w:val="20"/>
          <w:szCs w:val="20"/>
        </w:rPr>
        <w:t xml:space="preserve"> partnership in the urban sector, most recently the ULGDP</w:t>
      </w:r>
      <w:r w:rsidR="00926FA9" w:rsidRPr="00F7263B">
        <w:rPr>
          <w:sz w:val="20"/>
          <w:szCs w:val="20"/>
        </w:rPr>
        <w:t xml:space="preserve">.  </w:t>
      </w:r>
      <w:r w:rsidRPr="00F7263B">
        <w:rPr>
          <w:sz w:val="20"/>
          <w:szCs w:val="20"/>
        </w:rPr>
        <w:t>The four annual performance assessments of the ULGs supported by the program, a program midterm review in 2011, as well as a number of specific technical design studies, including a comprehensive LG revenue enhancement study</w:t>
      </w:r>
      <w:r w:rsidRPr="00F7263B">
        <w:rPr>
          <w:rStyle w:val="FootnoteReference"/>
          <w:sz w:val="20"/>
          <w:szCs w:val="20"/>
        </w:rPr>
        <w:footnoteReference w:id="43"/>
      </w:r>
      <w:r w:rsidRPr="00F7263B">
        <w:rPr>
          <w:sz w:val="20"/>
          <w:szCs w:val="20"/>
        </w:rPr>
        <w:t xml:space="preserve"> and a recent benchmarking study of urban service delivery needs and coverage</w:t>
      </w:r>
      <w:r w:rsidRPr="00F7263B">
        <w:rPr>
          <w:rStyle w:val="FootnoteReference"/>
          <w:sz w:val="20"/>
          <w:szCs w:val="20"/>
        </w:rPr>
        <w:footnoteReference w:id="44"/>
      </w:r>
      <w:r w:rsidRPr="00F7263B">
        <w:rPr>
          <w:sz w:val="20"/>
          <w:szCs w:val="20"/>
        </w:rPr>
        <w:t>are among the body of knowledge produced to determine the technical elements of the Program</w:t>
      </w:r>
      <w:r w:rsidR="00926FA9" w:rsidRPr="00F7263B">
        <w:rPr>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sz w:val="20"/>
          <w:szCs w:val="20"/>
        </w:rPr>
        <w:t>The proposed design and the activities to be implemented under the proposed ULGDP will contribute to the realization of the Program results and development objective</w:t>
      </w:r>
      <w:r w:rsidR="00926FA9" w:rsidRPr="00F7263B">
        <w:rPr>
          <w:sz w:val="20"/>
          <w:szCs w:val="20"/>
        </w:rPr>
        <w:t xml:space="preserve">.  </w:t>
      </w:r>
      <w:r w:rsidRPr="00F7263B">
        <w:rPr>
          <w:sz w:val="20"/>
          <w:szCs w:val="20"/>
        </w:rPr>
        <w:t xml:space="preserve">Experiences from the first phase of the program and from other similar projects in relevant countries with the similar modalities have proved that the types of activities to be implemented using the Program funds at the ULG, regional and at the </w:t>
      </w:r>
      <w:r w:rsidR="00276BC8" w:rsidRPr="00F7263B">
        <w:rPr>
          <w:sz w:val="20"/>
          <w:szCs w:val="20"/>
        </w:rPr>
        <w:t>MUDHCo</w:t>
      </w:r>
      <w:r w:rsidRPr="00F7263B">
        <w:rPr>
          <w:sz w:val="20"/>
          <w:szCs w:val="20"/>
        </w:rPr>
        <w:t xml:space="preserve"> levels are highly likely to produce results of improved coverage and quality of core urban services and of strengthening of the institutional capacity of the participating ULGs, regions and the federal agencies involved</w:t>
      </w:r>
      <w:r w:rsidR="00926FA9" w:rsidRPr="00F7263B">
        <w:rPr>
          <w:sz w:val="20"/>
          <w:szCs w:val="20"/>
        </w:rPr>
        <w:t xml:space="preserve">.  </w:t>
      </w:r>
    </w:p>
    <w:p w:rsidR="00AB72CB" w:rsidRPr="00F7263B" w:rsidRDefault="00AB72CB" w:rsidP="00AB72CB">
      <w:pPr>
        <w:pStyle w:val="ListParagraph"/>
        <w:ind w:left="0"/>
        <w:rPr>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sz w:val="20"/>
          <w:szCs w:val="20"/>
        </w:rPr>
        <w:t>The Program aims to strengthen relevant stakeholder incentives to contribute to Program objectives, through the application of the following elements embedded in its design:</w:t>
      </w:r>
    </w:p>
    <w:p w:rsidR="00AF73B3" w:rsidRPr="00F7263B" w:rsidRDefault="00AF73B3" w:rsidP="00254260">
      <w:pPr>
        <w:pStyle w:val="ListParagraph"/>
        <w:rPr>
          <w:rFonts w:cs="Times New Roman"/>
          <w:sz w:val="20"/>
          <w:szCs w:val="20"/>
        </w:rPr>
      </w:pPr>
    </w:p>
    <w:p w:rsidR="00AB72CB" w:rsidRPr="00F7263B" w:rsidRDefault="00AB72CB" w:rsidP="00D92D63">
      <w:pPr>
        <w:pStyle w:val="ListParagraph"/>
        <w:numPr>
          <w:ilvl w:val="0"/>
          <w:numId w:val="63"/>
        </w:numPr>
        <w:autoSpaceDE w:val="0"/>
        <w:autoSpaceDN w:val="0"/>
        <w:adjustRightInd w:val="0"/>
        <w:spacing w:after="200" w:line="276" w:lineRule="auto"/>
        <w:jc w:val="both"/>
        <w:rPr>
          <w:rFonts w:cs="Times New Roman"/>
          <w:sz w:val="20"/>
          <w:szCs w:val="20"/>
        </w:rPr>
      </w:pPr>
      <w:r w:rsidRPr="00F7263B">
        <w:rPr>
          <w:rFonts w:cs="Times New Roman"/>
          <w:i/>
          <w:sz w:val="20"/>
          <w:szCs w:val="20"/>
        </w:rPr>
        <w:lastRenderedPageBreak/>
        <w:t>Use of government systems</w:t>
      </w:r>
      <w:r w:rsidRPr="00F7263B">
        <w:rPr>
          <w:rFonts w:cs="Times New Roman"/>
          <w:sz w:val="20"/>
          <w:szCs w:val="20"/>
        </w:rPr>
        <w:t xml:space="preserve"> to strengthen capacity at both the federal, regional at city level (the participating ULGs) for urban development</w:t>
      </w:r>
      <w:r w:rsidR="00BA6589" w:rsidRPr="00F7263B">
        <w:rPr>
          <w:rFonts w:cs="Times New Roman"/>
          <w:sz w:val="20"/>
          <w:szCs w:val="20"/>
        </w:rPr>
        <w:t>,</w:t>
      </w:r>
      <w:r w:rsidRPr="00F7263B">
        <w:rPr>
          <w:rFonts w:cs="Times New Roman"/>
          <w:sz w:val="20"/>
          <w:szCs w:val="20"/>
        </w:rPr>
        <w:t xml:space="preserve"> within flow of funds, fina</w:t>
      </w:r>
      <w:r w:rsidR="00E05224" w:rsidRPr="00F7263B">
        <w:rPr>
          <w:rFonts w:cs="Times New Roman"/>
          <w:sz w:val="20"/>
          <w:szCs w:val="20"/>
        </w:rPr>
        <w:t>ncial management and operations.</w:t>
      </w:r>
      <w:r w:rsidR="00AF73B3" w:rsidRPr="00F7263B">
        <w:rPr>
          <w:rStyle w:val="FootnoteReference"/>
          <w:rFonts w:cs="Times New Roman"/>
          <w:sz w:val="20"/>
          <w:szCs w:val="20"/>
        </w:rPr>
        <w:footnoteReference w:id="45"/>
      </w:r>
    </w:p>
    <w:p w:rsidR="00AB72CB" w:rsidRPr="00F7263B" w:rsidRDefault="00AB72CB" w:rsidP="00D92D63">
      <w:pPr>
        <w:pStyle w:val="ListParagraph"/>
        <w:numPr>
          <w:ilvl w:val="0"/>
          <w:numId w:val="63"/>
        </w:numPr>
        <w:autoSpaceDE w:val="0"/>
        <w:autoSpaceDN w:val="0"/>
        <w:adjustRightInd w:val="0"/>
        <w:spacing w:after="200" w:line="276" w:lineRule="auto"/>
        <w:jc w:val="both"/>
        <w:rPr>
          <w:rFonts w:cs="Times New Roman"/>
          <w:sz w:val="20"/>
          <w:szCs w:val="20"/>
        </w:rPr>
      </w:pPr>
      <w:r w:rsidRPr="00F7263B">
        <w:rPr>
          <w:rFonts w:cs="Times New Roman"/>
          <w:i/>
          <w:sz w:val="20"/>
          <w:szCs w:val="20"/>
        </w:rPr>
        <w:t>Focus on ULGs as the main implementing bodies</w:t>
      </w:r>
      <w:r w:rsidR="00E05224" w:rsidRPr="00F7263B">
        <w:rPr>
          <w:rFonts w:cs="Times New Roman"/>
          <w:i/>
          <w:sz w:val="20"/>
          <w:szCs w:val="20"/>
        </w:rPr>
        <w:t xml:space="preserve">. </w:t>
      </w:r>
      <w:r w:rsidRPr="00F7263B">
        <w:rPr>
          <w:rFonts w:cs="Times New Roman"/>
          <w:sz w:val="20"/>
          <w:szCs w:val="20"/>
        </w:rPr>
        <w:t>The ULGs will be responsible for the implementation of the Program activities at their level</w:t>
      </w:r>
      <w:r w:rsidR="00926FA9" w:rsidRPr="00F7263B">
        <w:rPr>
          <w:rFonts w:cs="Times New Roman"/>
          <w:sz w:val="20"/>
          <w:szCs w:val="20"/>
        </w:rPr>
        <w:t xml:space="preserve">.  </w:t>
      </w:r>
      <w:r w:rsidRPr="00F7263B">
        <w:rPr>
          <w:rFonts w:cs="Times New Roman"/>
          <w:sz w:val="20"/>
          <w:szCs w:val="20"/>
        </w:rPr>
        <w:t>The Program therefore provides an opportunity for the participating ULGs to improve their capacity</w:t>
      </w:r>
      <w:r w:rsidR="00E05224" w:rsidRPr="00F7263B">
        <w:rPr>
          <w:rFonts w:cs="Times New Roman"/>
          <w:sz w:val="20"/>
          <w:szCs w:val="20"/>
        </w:rPr>
        <w:t>,</w:t>
      </w:r>
      <w:r w:rsidRPr="00F7263B">
        <w:rPr>
          <w:rFonts w:cs="Times New Roman"/>
          <w:sz w:val="20"/>
          <w:szCs w:val="20"/>
        </w:rPr>
        <w:t xml:space="preserve"> thus contributing to the achievement of the Program objective</w:t>
      </w:r>
      <w:r w:rsidR="00E05224" w:rsidRPr="00F7263B">
        <w:rPr>
          <w:rFonts w:cs="Times New Roman"/>
          <w:sz w:val="20"/>
          <w:szCs w:val="20"/>
        </w:rPr>
        <w:t>.</w:t>
      </w:r>
    </w:p>
    <w:p w:rsidR="00AB72CB" w:rsidRPr="00F7263B" w:rsidRDefault="00AB72CB" w:rsidP="00D92D63">
      <w:pPr>
        <w:pStyle w:val="ListParagraph"/>
        <w:numPr>
          <w:ilvl w:val="0"/>
          <w:numId w:val="63"/>
        </w:numPr>
        <w:autoSpaceDE w:val="0"/>
        <w:autoSpaceDN w:val="0"/>
        <w:adjustRightInd w:val="0"/>
        <w:spacing w:after="200" w:line="276" w:lineRule="auto"/>
        <w:jc w:val="both"/>
        <w:rPr>
          <w:rFonts w:cs="Times New Roman"/>
          <w:sz w:val="20"/>
          <w:szCs w:val="20"/>
        </w:rPr>
      </w:pPr>
      <w:r w:rsidRPr="00F7263B">
        <w:rPr>
          <w:rFonts w:cs="Times New Roman"/>
          <w:i/>
          <w:sz w:val="20"/>
          <w:szCs w:val="20"/>
        </w:rPr>
        <w:t>Place natural incentives through focus on performance</w:t>
      </w:r>
      <w:r w:rsidR="00E05224" w:rsidRPr="00F7263B">
        <w:rPr>
          <w:rFonts w:cs="Times New Roman"/>
          <w:i/>
          <w:sz w:val="20"/>
          <w:szCs w:val="20"/>
        </w:rPr>
        <w:t>.</w:t>
      </w:r>
      <w:r w:rsidR="00E05224" w:rsidRPr="00F7263B">
        <w:rPr>
          <w:rFonts w:cs="Times New Roman"/>
          <w:sz w:val="20"/>
          <w:szCs w:val="20"/>
        </w:rPr>
        <w:t>A</w:t>
      </w:r>
      <w:r w:rsidRPr="00F7263B">
        <w:rPr>
          <w:rFonts w:cs="Times New Roman"/>
          <w:sz w:val="20"/>
          <w:szCs w:val="20"/>
        </w:rPr>
        <w:t>lthough each ULG will be given a tentative allocation(also referred to as indicative planning figure) for the duration of the Program period, the actual amount of funds they receive will be based on them meeting and maintaining the minimum condition throughout the Program period and their performance outcomes</w:t>
      </w:r>
      <w:r w:rsidR="00926FA9" w:rsidRPr="00F7263B">
        <w:rPr>
          <w:rFonts w:cs="Times New Roman"/>
          <w:sz w:val="20"/>
          <w:szCs w:val="20"/>
        </w:rPr>
        <w:t xml:space="preserve">.  </w:t>
      </w:r>
      <w:r w:rsidRPr="00F7263B">
        <w:rPr>
          <w:rFonts w:cs="Times New Roman"/>
          <w:sz w:val="20"/>
          <w:szCs w:val="20"/>
        </w:rPr>
        <w:t>The performance assessment system is at the core of Program design since it will be the main driver for ULG capacity building and is directly linked to the Program results and disbursements</w:t>
      </w:r>
      <w:r w:rsidR="00926FA9" w:rsidRPr="00F7263B">
        <w:rPr>
          <w:rFonts w:cs="Times New Roman"/>
          <w:sz w:val="20"/>
          <w:szCs w:val="20"/>
        </w:rPr>
        <w:t xml:space="preserve">.  </w:t>
      </w:r>
      <w:r w:rsidRPr="00F7263B">
        <w:rPr>
          <w:rFonts w:cs="Times New Roman"/>
          <w:sz w:val="20"/>
          <w:szCs w:val="20"/>
        </w:rPr>
        <w:t>The assessment tool, which is based on the experiences from the current ULGDP and from other relevant cases in different countries, has been refined during preparation, and will be reviewed during implementation, if necessary</w:t>
      </w:r>
      <w:r w:rsidR="00926FA9" w:rsidRPr="00F7263B">
        <w:rPr>
          <w:rFonts w:cs="Times New Roman"/>
          <w:sz w:val="20"/>
          <w:szCs w:val="20"/>
        </w:rPr>
        <w:t xml:space="preserve">.  </w:t>
      </w:r>
      <w:r w:rsidRPr="00F7263B">
        <w:rPr>
          <w:rFonts w:cs="Times New Roman"/>
          <w:sz w:val="20"/>
          <w:szCs w:val="20"/>
        </w:rPr>
        <w:t xml:space="preserve">By the end of the Program most ULGs are likely to receive less or more than their tentative allocations, or </w:t>
      </w:r>
      <w:r w:rsidR="00E05224" w:rsidRPr="00F7263B">
        <w:rPr>
          <w:rFonts w:cs="Times New Roman"/>
          <w:sz w:val="20"/>
          <w:szCs w:val="20"/>
        </w:rPr>
        <w:t>indicative planning figure</w:t>
      </w:r>
      <w:r w:rsidRPr="00F7263B">
        <w:rPr>
          <w:rFonts w:cs="Times New Roman"/>
          <w:sz w:val="20"/>
          <w:szCs w:val="20"/>
        </w:rPr>
        <w:t>s, depending on their results</w:t>
      </w:r>
      <w:r w:rsidR="00926FA9" w:rsidRPr="00F7263B">
        <w:rPr>
          <w:rFonts w:cs="Times New Roman"/>
          <w:sz w:val="20"/>
          <w:szCs w:val="20"/>
        </w:rPr>
        <w:t xml:space="preserve">.  </w:t>
      </w:r>
      <w:r w:rsidRPr="00F7263B">
        <w:rPr>
          <w:rFonts w:cs="Times New Roman"/>
          <w:sz w:val="20"/>
          <w:szCs w:val="20"/>
        </w:rPr>
        <w:t>The annual performance assessment has therefore adequate inbuilt sanctions and incentives mechanisms;</w:t>
      </w:r>
    </w:p>
    <w:p w:rsidR="00AB72CB" w:rsidRPr="00F7263B" w:rsidRDefault="00AB72CB" w:rsidP="00D92D63">
      <w:pPr>
        <w:pStyle w:val="ListParagraph"/>
        <w:numPr>
          <w:ilvl w:val="0"/>
          <w:numId w:val="63"/>
        </w:numPr>
        <w:autoSpaceDE w:val="0"/>
        <w:autoSpaceDN w:val="0"/>
        <w:adjustRightInd w:val="0"/>
        <w:spacing w:after="200" w:line="276" w:lineRule="auto"/>
        <w:jc w:val="both"/>
        <w:rPr>
          <w:rFonts w:cs="Times New Roman"/>
          <w:sz w:val="20"/>
          <w:szCs w:val="20"/>
        </w:rPr>
      </w:pPr>
      <w:r w:rsidRPr="00F7263B">
        <w:rPr>
          <w:rFonts w:cs="Times New Roman"/>
          <w:i/>
          <w:sz w:val="20"/>
          <w:szCs w:val="20"/>
        </w:rPr>
        <w:t>Get the focus areas right</w:t>
      </w:r>
      <w:r w:rsidR="00926FA9" w:rsidRPr="00F7263B">
        <w:rPr>
          <w:rFonts w:cs="Times New Roman"/>
          <w:sz w:val="20"/>
          <w:szCs w:val="20"/>
        </w:rPr>
        <w:t xml:space="preserve">.  </w:t>
      </w:r>
      <w:r w:rsidRPr="00F7263B">
        <w:rPr>
          <w:rFonts w:cs="Times New Roman"/>
          <w:sz w:val="20"/>
          <w:szCs w:val="20"/>
        </w:rPr>
        <w:t>The incentiveswill support core urban management areas of such as proper planning and budgeting, revenue mobilization, asset management planning, procurement and PFM, as well as strengthening of good governance and accountability;</w:t>
      </w:r>
    </w:p>
    <w:p w:rsidR="00AB72CB" w:rsidRPr="00F7263B" w:rsidRDefault="00AB72CB" w:rsidP="00D92D63">
      <w:pPr>
        <w:pStyle w:val="ListParagraph"/>
        <w:numPr>
          <w:ilvl w:val="0"/>
          <w:numId w:val="63"/>
        </w:numPr>
        <w:autoSpaceDE w:val="0"/>
        <w:autoSpaceDN w:val="0"/>
        <w:adjustRightInd w:val="0"/>
        <w:spacing w:before="100" w:beforeAutospacing="1" w:line="200" w:lineRule="atLeast"/>
        <w:jc w:val="both"/>
        <w:rPr>
          <w:rFonts w:cs="Times New Roman"/>
          <w:sz w:val="20"/>
          <w:szCs w:val="20"/>
        </w:rPr>
      </w:pPr>
      <w:r w:rsidRPr="00F7263B">
        <w:rPr>
          <w:rFonts w:cs="Times New Roman"/>
          <w:i/>
          <w:sz w:val="20"/>
          <w:szCs w:val="20"/>
        </w:rPr>
        <w:t>Provide a flexible capacity building to allow ULGs to respond to the incentive mechanism</w:t>
      </w:r>
      <w:r w:rsidR="00926FA9" w:rsidRPr="00F7263B">
        <w:rPr>
          <w:rFonts w:cs="Times New Roman"/>
          <w:i/>
          <w:sz w:val="20"/>
          <w:szCs w:val="20"/>
        </w:rPr>
        <w:t xml:space="preserve">.  </w:t>
      </w:r>
      <w:r w:rsidRPr="00F7263B">
        <w:rPr>
          <w:rFonts w:cs="Times New Roman"/>
          <w:sz w:val="20"/>
          <w:szCs w:val="20"/>
        </w:rPr>
        <w:t xml:space="preserve">All participating ULGs will benefit from municipal capacity building, to prepare them to receive the significant performance grants during the next assessment and ensure improved capacity for all ULGs by end of Program period; </w:t>
      </w:r>
    </w:p>
    <w:p w:rsidR="00AB72CB" w:rsidRPr="00F7263B" w:rsidRDefault="00AB72CB" w:rsidP="00D92D63">
      <w:pPr>
        <w:pStyle w:val="ListParagraph"/>
        <w:numPr>
          <w:ilvl w:val="0"/>
          <w:numId w:val="63"/>
        </w:numPr>
        <w:autoSpaceDE w:val="0"/>
        <w:autoSpaceDN w:val="0"/>
        <w:adjustRightInd w:val="0"/>
        <w:spacing w:before="100" w:beforeAutospacing="1" w:line="200" w:lineRule="atLeast"/>
        <w:jc w:val="both"/>
        <w:rPr>
          <w:rFonts w:cs="Times New Roman"/>
          <w:sz w:val="20"/>
          <w:szCs w:val="20"/>
        </w:rPr>
      </w:pPr>
      <w:r w:rsidRPr="00F7263B">
        <w:rPr>
          <w:rFonts w:cs="Times New Roman"/>
          <w:i/>
          <w:sz w:val="20"/>
          <w:szCs w:val="20"/>
        </w:rPr>
        <w:t xml:space="preserve">Strengthen the links between investments, incentives and capacity building support, </w:t>
      </w:r>
      <w:r w:rsidRPr="00F7263B">
        <w:rPr>
          <w:rFonts w:cs="Times New Roman"/>
          <w:sz w:val="20"/>
          <w:szCs w:val="20"/>
        </w:rPr>
        <w:t xml:space="preserve">whereby the </w:t>
      </w:r>
      <w:r w:rsidR="00BA6589" w:rsidRPr="00F7263B">
        <w:rPr>
          <w:rFonts w:cs="Times New Roman"/>
          <w:sz w:val="20"/>
          <w:szCs w:val="20"/>
        </w:rPr>
        <w:t>capacity building</w:t>
      </w:r>
      <w:r w:rsidRPr="00F7263B">
        <w:rPr>
          <w:rFonts w:cs="Times New Roman"/>
          <w:sz w:val="20"/>
          <w:szCs w:val="20"/>
        </w:rPr>
        <w:t>support and support is applied in a targeted manner to address identified gaps in the annual performance assessments;</w:t>
      </w:r>
    </w:p>
    <w:p w:rsidR="00AB72CB" w:rsidRPr="00F7263B" w:rsidRDefault="00AB72CB" w:rsidP="00D92D63">
      <w:pPr>
        <w:pStyle w:val="ListParagraph"/>
        <w:numPr>
          <w:ilvl w:val="0"/>
          <w:numId w:val="63"/>
        </w:numPr>
        <w:autoSpaceDE w:val="0"/>
        <w:autoSpaceDN w:val="0"/>
        <w:adjustRightInd w:val="0"/>
        <w:spacing w:before="100" w:beforeAutospacing="1" w:line="200" w:lineRule="atLeast"/>
        <w:jc w:val="both"/>
        <w:rPr>
          <w:rFonts w:cs="Times New Roman"/>
          <w:sz w:val="20"/>
          <w:szCs w:val="20"/>
        </w:rPr>
      </w:pPr>
      <w:r w:rsidRPr="00F7263B">
        <w:rPr>
          <w:rFonts w:cs="Times New Roman"/>
          <w:i/>
          <w:sz w:val="20"/>
          <w:szCs w:val="20"/>
        </w:rPr>
        <w:t xml:space="preserve">Support the incentives of federal and regional level for backstopping support, </w:t>
      </w:r>
      <w:r w:rsidR="0065739F" w:rsidRPr="00F7263B">
        <w:rPr>
          <w:rFonts w:cs="Times New Roman"/>
          <w:i/>
          <w:sz w:val="20"/>
          <w:szCs w:val="20"/>
        </w:rPr>
        <w:t>capacity building</w:t>
      </w:r>
      <w:r w:rsidRPr="00F7263B">
        <w:rPr>
          <w:rFonts w:cs="Times New Roman"/>
          <w:i/>
          <w:sz w:val="20"/>
          <w:szCs w:val="20"/>
        </w:rPr>
        <w:t>, oversight and performance of roles vis-à-vis the ULGs through result-oriented allocations.</w:t>
      </w:r>
    </w:p>
    <w:p w:rsidR="00AB72CB" w:rsidRPr="00F7263B" w:rsidRDefault="00AB72CB" w:rsidP="00D92D63">
      <w:pPr>
        <w:pStyle w:val="ListParagraph"/>
        <w:numPr>
          <w:ilvl w:val="0"/>
          <w:numId w:val="63"/>
        </w:numPr>
        <w:autoSpaceDE w:val="0"/>
        <w:autoSpaceDN w:val="0"/>
        <w:adjustRightInd w:val="0"/>
        <w:spacing w:before="100" w:beforeAutospacing="1" w:line="200" w:lineRule="atLeast"/>
        <w:jc w:val="both"/>
        <w:rPr>
          <w:rFonts w:cs="Times New Roman"/>
          <w:sz w:val="20"/>
          <w:szCs w:val="20"/>
        </w:rPr>
      </w:pPr>
      <w:r w:rsidRPr="00F7263B">
        <w:rPr>
          <w:rFonts w:cs="Times New Roman"/>
          <w:i/>
          <w:sz w:val="20"/>
          <w:szCs w:val="20"/>
        </w:rPr>
        <w:t xml:space="preserve">Introduce the </w:t>
      </w:r>
      <w:r w:rsidR="00BA6589" w:rsidRPr="00F7263B">
        <w:rPr>
          <w:rFonts w:cs="Times New Roman"/>
          <w:i/>
          <w:sz w:val="20"/>
          <w:szCs w:val="20"/>
        </w:rPr>
        <w:t>performance</w:t>
      </w:r>
      <w:r w:rsidR="00C90191" w:rsidRPr="00F7263B">
        <w:rPr>
          <w:rFonts w:cs="Times New Roman"/>
          <w:i/>
          <w:sz w:val="20"/>
          <w:szCs w:val="20"/>
        </w:rPr>
        <w:t>-</w:t>
      </w:r>
      <w:r w:rsidR="00BA6589" w:rsidRPr="00F7263B">
        <w:rPr>
          <w:rFonts w:cs="Times New Roman"/>
          <w:i/>
          <w:sz w:val="20"/>
          <w:szCs w:val="20"/>
        </w:rPr>
        <w:t>based grant</w:t>
      </w:r>
      <w:r w:rsidRPr="00F7263B">
        <w:rPr>
          <w:rFonts w:cs="Times New Roman"/>
          <w:i/>
          <w:sz w:val="20"/>
          <w:szCs w:val="20"/>
        </w:rPr>
        <w:t xml:space="preserve"> element gradually</w:t>
      </w:r>
      <w:r w:rsidRPr="00F7263B">
        <w:rPr>
          <w:rFonts w:cs="Times New Roman"/>
          <w:sz w:val="20"/>
          <w:szCs w:val="20"/>
        </w:rPr>
        <w:t xml:space="preserve">for the new ULGs, with a smaller grant funding in the first year linked with compliance with </w:t>
      </w:r>
      <w:r w:rsidR="00913A93" w:rsidRPr="00F7263B">
        <w:rPr>
          <w:rFonts w:cs="Times New Roman"/>
          <w:sz w:val="20"/>
          <w:szCs w:val="20"/>
        </w:rPr>
        <w:t>minimum conditions</w:t>
      </w:r>
      <w:r w:rsidRPr="00F7263B">
        <w:rPr>
          <w:rFonts w:cs="Times New Roman"/>
          <w:i/>
          <w:sz w:val="20"/>
          <w:szCs w:val="20"/>
        </w:rPr>
        <w:t>;</w:t>
      </w:r>
    </w:p>
    <w:p w:rsidR="006E7278" w:rsidRPr="00F7263B" w:rsidRDefault="00AB72CB" w:rsidP="00D92D63">
      <w:pPr>
        <w:pStyle w:val="ListParagraph"/>
        <w:numPr>
          <w:ilvl w:val="0"/>
          <w:numId w:val="63"/>
        </w:numPr>
        <w:autoSpaceDE w:val="0"/>
        <w:autoSpaceDN w:val="0"/>
        <w:adjustRightInd w:val="0"/>
        <w:spacing w:before="100" w:beforeAutospacing="1" w:line="200" w:lineRule="atLeast"/>
        <w:jc w:val="both"/>
        <w:rPr>
          <w:rFonts w:cs="Times New Roman"/>
          <w:sz w:val="20"/>
          <w:szCs w:val="20"/>
        </w:rPr>
      </w:pPr>
      <w:r w:rsidRPr="00F7263B">
        <w:rPr>
          <w:rFonts w:cs="Times New Roman"/>
          <w:i/>
          <w:sz w:val="20"/>
          <w:szCs w:val="20"/>
        </w:rPr>
        <w:t>Strengthen the oversight, audit and safeguard procedures at all tiers of government, and address the few bottlenecks identified in the first ULGDP</w:t>
      </w:r>
      <w:r w:rsidR="00926FA9" w:rsidRPr="00F7263B">
        <w:rPr>
          <w:rFonts w:cs="Times New Roman"/>
          <w:i/>
          <w:sz w:val="20"/>
          <w:szCs w:val="20"/>
        </w:rPr>
        <w:t>.</w:t>
      </w:r>
    </w:p>
    <w:p w:rsidR="00AB72CB" w:rsidRPr="00F7263B" w:rsidRDefault="006E7278" w:rsidP="00D92D63">
      <w:pPr>
        <w:pStyle w:val="ListParagraph"/>
        <w:numPr>
          <w:ilvl w:val="0"/>
          <w:numId w:val="63"/>
        </w:numPr>
        <w:autoSpaceDE w:val="0"/>
        <w:autoSpaceDN w:val="0"/>
        <w:adjustRightInd w:val="0"/>
        <w:spacing w:before="100" w:beforeAutospacing="1" w:line="200" w:lineRule="atLeast"/>
        <w:jc w:val="both"/>
        <w:rPr>
          <w:rFonts w:cs="Times New Roman"/>
          <w:sz w:val="20"/>
          <w:szCs w:val="20"/>
        </w:rPr>
      </w:pPr>
      <w:r w:rsidRPr="00F7263B">
        <w:rPr>
          <w:rFonts w:cs="Times New Roman"/>
          <w:i/>
          <w:sz w:val="20"/>
          <w:szCs w:val="20"/>
          <w:lang w:val="da-DK"/>
        </w:rPr>
        <w:t>Strengthen the sustainability of the Program support</w:t>
      </w:r>
      <w:r w:rsidRPr="00F7263B">
        <w:rPr>
          <w:rFonts w:cs="Times New Roman"/>
          <w:sz w:val="20"/>
          <w:szCs w:val="20"/>
          <w:lang w:val="da-DK"/>
        </w:rPr>
        <w:t xml:space="preserve"> through enhanced focus on municipal own source revenue mobilisation through incentives in the grant allocation system to improve municipal revenues, incentives to contribute towards urban development investments and through capacity building support from regions and the federal level</w:t>
      </w:r>
      <w:r w:rsidR="008073B5" w:rsidRPr="00F7263B">
        <w:rPr>
          <w:rFonts w:cs="Times New Roman"/>
          <w:sz w:val="20"/>
          <w:szCs w:val="20"/>
          <w:lang w:val="da-DK"/>
        </w:rPr>
        <w:t xml:space="preserve">.  </w:t>
      </w:r>
    </w:p>
    <w:p w:rsidR="00AB72CB" w:rsidRPr="00F7263B" w:rsidRDefault="00AB72CB" w:rsidP="00AB72CB">
      <w:pPr>
        <w:pStyle w:val="ListParagraph"/>
        <w:autoSpaceDE w:val="0"/>
        <w:autoSpaceDN w:val="0"/>
        <w:adjustRightInd w:val="0"/>
        <w:spacing w:before="100" w:beforeAutospacing="1" w:line="200" w:lineRule="atLeast"/>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bCs/>
          <w:sz w:val="20"/>
          <w:szCs w:val="20"/>
        </w:rPr>
        <w:t>Program design builds on the experience of ULGDP, and addressed the challenges of ULGDP raised in the earlier section of this work</w:t>
      </w:r>
      <w:r w:rsidR="00926FA9" w:rsidRPr="00F7263B">
        <w:rPr>
          <w:rFonts w:cs="Times New Roman"/>
          <w:bCs/>
          <w:sz w:val="20"/>
          <w:szCs w:val="20"/>
        </w:rPr>
        <w:t xml:space="preserve">.  </w:t>
      </w:r>
      <w:r w:rsidRPr="00F7263B">
        <w:rPr>
          <w:rFonts w:cs="Times New Roman"/>
          <w:bCs/>
          <w:sz w:val="20"/>
          <w:szCs w:val="20"/>
        </w:rPr>
        <w:t xml:space="preserve">These include ensuring that the annual assessments are undertaken on time, strengthening the </w:t>
      </w:r>
      <w:r w:rsidR="0065739F" w:rsidRPr="00F7263B">
        <w:rPr>
          <w:rFonts w:cs="Times New Roman"/>
          <w:bCs/>
          <w:sz w:val="20"/>
          <w:szCs w:val="20"/>
        </w:rPr>
        <w:t>capacity building</w:t>
      </w:r>
      <w:r w:rsidRPr="00F7263B">
        <w:rPr>
          <w:rFonts w:cs="Times New Roman"/>
          <w:bCs/>
          <w:sz w:val="20"/>
          <w:szCs w:val="20"/>
        </w:rPr>
        <w:t xml:space="preserve"> support (supply and demand side), taking Addis out of the Program scope to ensure the unique circumstances of the primate city are addressed properly under a possible Addis specific project, and the expansion of the incentives to support at all tiers of governance (especially the involvement of the regional governments)</w:t>
      </w:r>
      <w:r w:rsidR="00926FA9" w:rsidRPr="00F7263B">
        <w:rPr>
          <w:rFonts w:cs="Times New Roman"/>
          <w:bCs/>
          <w:sz w:val="20"/>
          <w:szCs w:val="20"/>
        </w:rPr>
        <w:t xml:space="preserve">.  </w:t>
      </w:r>
      <w:r w:rsidRPr="00F7263B">
        <w:rPr>
          <w:rFonts w:cs="Times New Roman"/>
          <w:bCs/>
          <w:sz w:val="20"/>
          <w:szCs w:val="20"/>
        </w:rPr>
        <w:t>In addition, the design of the Program has benefitted from the knowledge and experiences of internal and external experts and the experiences from performance-based grant systems from various countries</w:t>
      </w:r>
      <w:r w:rsidR="00926FA9" w:rsidRPr="00F7263B">
        <w:rPr>
          <w:rFonts w:cs="Times New Roman"/>
          <w:bCs/>
          <w:sz w:val="20"/>
          <w:szCs w:val="20"/>
        </w:rPr>
        <w:t xml:space="preserve">.  </w:t>
      </w:r>
      <w:r w:rsidRPr="00F7263B">
        <w:rPr>
          <w:rFonts w:cs="Times New Roman"/>
          <w:bCs/>
          <w:sz w:val="20"/>
          <w:szCs w:val="20"/>
        </w:rPr>
        <w:t xml:space="preserve">An increasing number of countries have introduced </w:t>
      </w:r>
      <w:r w:rsidR="00BA6589" w:rsidRPr="00F7263B">
        <w:rPr>
          <w:rFonts w:cs="Times New Roman"/>
          <w:bCs/>
          <w:sz w:val="20"/>
          <w:szCs w:val="20"/>
        </w:rPr>
        <w:t>performance</w:t>
      </w:r>
      <w:r w:rsidR="00C90191" w:rsidRPr="00F7263B">
        <w:rPr>
          <w:rFonts w:cs="Times New Roman"/>
          <w:bCs/>
          <w:sz w:val="20"/>
          <w:szCs w:val="20"/>
        </w:rPr>
        <w:t>-</w:t>
      </w:r>
      <w:r w:rsidR="00BA6589" w:rsidRPr="00F7263B">
        <w:rPr>
          <w:rFonts w:cs="Times New Roman"/>
          <w:bCs/>
          <w:sz w:val="20"/>
          <w:szCs w:val="20"/>
        </w:rPr>
        <w:t>based grant</w:t>
      </w:r>
      <w:r w:rsidRPr="00F7263B">
        <w:rPr>
          <w:rFonts w:cs="Times New Roman"/>
          <w:bCs/>
          <w:sz w:val="20"/>
          <w:szCs w:val="20"/>
        </w:rPr>
        <w:t>s, and most recently linked to PforR operations with focus on urban investments, such as Uganda and Tanzania.</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bCs/>
          <w:sz w:val="20"/>
          <w:szCs w:val="20"/>
        </w:rPr>
        <w:lastRenderedPageBreak/>
        <w:t>Furthermore, to ensure the sustainability of investments created by using Program funds and of the existing stock, each ULG will be supported in undertaking assets management, capital investment planning, operational and maintenance planning, and revenue enhancement planning</w:t>
      </w:r>
      <w:r w:rsidR="00926FA9" w:rsidRPr="00F7263B">
        <w:rPr>
          <w:rFonts w:cs="Times New Roman"/>
          <w:bCs/>
          <w:sz w:val="20"/>
          <w:szCs w:val="20"/>
        </w:rPr>
        <w:t xml:space="preserve">.  </w:t>
      </w:r>
      <w:r w:rsidRPr="00F7263B">
        <w:rPr>
          <w:rFonts w:cs="Times New Roman"/>
          <w:bCs/>
          <w:sz w:val="20"/>
          <w:szCs w:val="20"/>
        </w:rPr>
        <w:t xml:space="preserve">The support to improvement of </w:t>
      </w:r>
      <w:r w:rsidR="00BA6589" w:rsidRPr="00F7263B">
        <w:rPr>
          <w:rFonts w:cs="Times New Roman"/>
          <w:bCs/>
          <w:sz w:val="20"/>
          <w:szCs w:val="20"/>
        </w:rPr>
        <w:t>own source revenue</w:t>
      </w:r>
      <w:r w:rsidRPr="00F7263B">
        <w:rPr>
          <w:rFonts w:cs="Times New Roman"/>
          <w:bCs/>
          <w:sz w:val="20"/>
          <w:szCs w:val="20"/>
        </w:rPr>
        <w:t xml:space="preserve"> will include the update of revenue data base by source and revenue targets, billing, collection, enforcement, complain resolution, and information, communication and </w:t>
      </w:r>
      <w:r w:rsidR="00D5112C" w:rsidRPr="00F7263B">
        <w:rPr>
          <w:rFonts w:cs="Times New Roman"/>
          <w:bCs/>
          <w:sz w:val="20"/>
          <w:szCs w:val="20"/>
        </w:rPr>
        <w:t>capacity building</w:t>
      </w:r>
      <w:r w:rsidRPr="00F7263B">
        <w:rPr>
          <w:rFonts w:cs="Times New Roman"/>
          <w:bCs/>
          <w:sz w:val="20"/>
          <w:szCs w:val="20"/>
        </w:rPr>
        <w:t xml:space="preserve"> systems.</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basic tenants of the current assessment system have been refined to enhance ULG capacity</w:t>
      </w:r>
      <w:r w:rsidR="00D5112C" w:rsidRPr="00F7263B">
        <w:rPr>
          <w:rFonts w:cs="Times New Roman"/>
          <w:sz w:val="20"/>
          <w:szCs w:val="20"/>
        </w:rPr>
        <w:t xml:space="preserve"> in</w:t>
      </w:r>
      <w:r w:rsidR="00BA6589" w:rsidRPr="00F7263B">
        <w:rPr>
          <w:rFonts w:cs="Times New Roman"/>
          <w:sz w:val="20"/>
          <w:szCs w:val="20"/>
        </w:rPr>
        <w:t>own source revenue</w:t>
      </w:r>
      <w:r w:rsidRPr="00F7263B">
        <w:rPr>
          <w:rFonts w:cs="Times New Roman"/>
          <w:sz w:val="20"/>
          <w:szCs w:val="20"/>
        </w:rPr>
        <w:t xml:space="preserve"> generation, management of fiduciary, social and environmental systems, project implementation, operations and maintenance</w:t>
      </w:r>
      <w:r w:rsidR="00926FA9" w:rsidRPr="00F7263B">
        <w:rPr>
          <w:rFonts w:cs="Times New Roman"/>
          <w:b/>
          <w:i/>
          <w:sz w:val="20"/>
          <w:szCs w:val="20"/>
        </w:rPr>
        <w:t>.</w:t>
      </w:r>
      <w:r w:rsidRPr="00F7263B">
        <w:rPr>
          <w:rFonts w:cs="Times New Roman"/>
          <w:sz w:val="20"/>
          <w:szCs w:val="20"/>
        </w:rPr>
        <w:t>Minimum conditions, comprising requirements in planning, PFM, social and environmental systems management and procurement must be achieved and maintained by participating ULGs throughout the Program and are put in place to ensure minimum capacity of the ULGs to handle the Program funds in full compliance with Program’s fiduciary and safeguards requirements</w:t>
      </w:r>
      <w:r w:rsidR="00926FA9" w:rsidRPr="00F7263B">
        <w:rPr>
          <w:rFonts w:cs="Times New Roman"/>
          <w:sz w:val="20"/>
          <w:szCs w:val="20"/>
        </w:rPr>
        <w:t xml:space="preserve">.  </w:t>
      </w:r>
      <w:r w:rsidRPr="00F7263B">
        <w:rPr>
          <w:rFonts w:cs="Times New Roman"/>
          <w:sz w:val="20"/>
          <w:szCs w:val="20"/>
        </w:rPr>
        <w:t>If ULGs do not comply with the minimum conditions, they will not get access to the funds from DLIs I, II and III, but will be supported through the capacity building activities</w:t>
      </w:r>
      <w:r w:rsidR="00926FA9" w:rsidRPr="00F7263B">
        <w:rPr>
          <w:rFonts w:cs="Times New Roman"/>
          <w:sz w:val="20"/>
          <w:szCs w:val="20"/>
        </w:rPr>
        <w:t xml:space="preserve">.  </w:t>
      </w:r>
      <w:r w:rsidRPr="00F7263B">
        <w:rPr>
          <w:rFonts w:cs="Times New Roman"/>
          <w:sz w:val="20"/>
          <w:szCs w:val="20"/>
        </w:rPr>
        <w:t xml:space="preserve">In addition to the minimum conditions, a set of performance measures target urban institutional performance in core areas such as planning, budgeting, PFM, </w:t>
      </w:r>
      <w:r w:rsidR="00BA6589" w:rsidRPr="00F7263B">
        <w:rPr>
          <w:rFonts w:cs="Times New Roman"/>
          <w:sz w:val="20"/>
          <w:szCs w:val="20"/>
        </w:rPr>
        <w:t>own source revenue</w:t>
      </w:r>
      <w:r w:rsidRPr="00F7263B">
        <w:rPr>
          <w:rFonts w:cs="Times New Roman"/>
          <w:sz w:val="20"/>
          <w:szCs w:val="20"/>
        </w:rPr>
        <w:t>, procurement, assets management and governance as well as infrastructure delivery</w:t>
      </w:r>
      <w:r w:rsidR="00926FA9" w:rsidRPr="00F7263B">
        <w:rPr>
          <w:rFonts w:cs="Times New Roman"/>
          <w:sz w:val="20"/>
          <w:szCs w:val="20"/>
        </w:rPr>
        <w:t xml:space="preserve">.  </w:t>
      </w:r>
      <w:r w:rsidRPr="00F7263B">
        <w:rPr>
          <w:rFonts w:cs="Times New Roman"/>
          <w:sz w:val="20"/>
          <w:szCs w:val="20"/>
        </w:rPr>
        <w:t>These measures are detailed in a transparent performance assessment manual, prepared by the government for the Program</w:t>
      </w:r>
      <w:r w:rsidR="00926FA9" w:rsidRPr="00F7263B">
        <w:rPr>
          <w:rFonts w:cs="Times New Roman"/>
          <w:sz w:val="20"/>
          <w:szCs w:val="20"/>
        </w:rPr>
        <w:t xml:space="preserve">.  </w:t>
      </w:r>
      <w:r w:rsidRPr="00F7263B">
        <w:rPr>
          <w:rFonts w:cs="Times New Roman"/>
          <w:sz w:val="20"/>
          <w:szCs w:val="20"/>
        </w:rPr>
        <w:t>The performance results approval and verification protocol process will be formalized through systems and procedures for approval, complaint handling and publication and the assessments will be conducted in due time to fit with the ULGs budgeting and planning cycle, which will be supported through federal incentives for timely completion</w:t>
      </w:r>
      <w:r w:rsidR="00926FA9" w:rsidRPr="00F7263B">
        <w:rPr>
          <w:rFonts w:cs="Times New Roman"/>
          <w:sz w:val="20"/>
          <w:szCs w:val="20"/>
        </w:rPr>
        <w:t xml:space="preserve">.  </w:t>
      </w:r>
      <w:r w:rsidRPr="00F7263B">
        <w:rPr>
          <w:rFonts w:cs="Times New Roman"/>
          <w:sz w:val="20"/>
          <w:szCs w:val="20"/>
        </w:rPr>
        <w:t>The performance assessments will continue to be outsourced to a private, neutral and objective company to ensure that results are objectively measured, credible and that the general credibility of the entire system is maintained</w:t>
      </w:r>
      <w:r w:rsidR="00926FA9" w:rsidRPr="00F7263B">
        <w:rPr>
          <w:rFonts w:cs="Times New Roman"/>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Program will maintain the systems and procedures developed under ULGDP with the following refinements.</w:t>
      </w:r>
    </w:p>
    <w:p w:rsidR="00AB72CB" w:rsidRPr="00F7263B" w:rsidRDefault="00AB72CB" w:rsidP="00AB72CB">
      <w:pPr>
        <w:pStyle w:val="ListParagraph"/>
        <w:autoSpaceDE w:val="0"/>
        <w:autoSpaceDN w:val="0"/>
        <w:adjustRightInd w:val="0"/>
        <w:spacing w:after="240"/>
        <w:ind w:left="0"/>
        <w:jc w:val="both"/>
        <w:rPr>
          <w:rFonts w:cs="Times New Roman"/>
          <w:b/>
          <w:i/>
          <w:sz w:val="20"/>
          <w:szCs w:val="20"/>
        </w:rPr>
      </w:pPr>
    </w:p>
    <w:p w:rsidR="00AB72CB" w:rsidRPr="00F7263B" w:rsidRDefault="00AB72CB" w:rsidP="00AB72CB">
      <w:pPr>
        <w:pStyle w:val="ListParagraph"/>
        <w:autoSpaceDE w:val="0"/>
        <w:autoSpaceDN w:val="0"/>
        <w:adjustRightInd w:val="0"/>
        <w:spacing w:after="240"/>
        <w:ind w:left="0"/>
        <w:jc w:val="both"/>
        <w:rPr>
          <w:rFonts w:cs="Times New Roman"/>
          <w:i/>
          <w:sz w:val="20"/>
          <w:szCs w:val="20"/>
        </w:rPr>
      </w:pPr>
      <w:r w:rsidRPr="00F7263B">
        <w:rPr>
          <w:rFonts w:cs="Times New Roman"/>
          <w:i/>
          <w:sz w:val="20"/>
          <w:szCs w:val="20"/>
        </w:rPr>
        <w:t>How ULGD</w:t>
      </w:r>
      <w:r w:rsidR="008A26F2" w:rsidRPr="00F7263B">
        <w:rPr>
          <w:rFonts w:cs="Times New Roman"/>
          <w:i/>
          <w:sz w:val="20"/>
          <w:szCs w:val="20"/>
        </w:rPr>
        <w:t>P II incorporates in its design lessons learned</w:t>
      </w:r>
      <w:r w:rsidRPr="00F7263B">
        <w:rPr>
          <w:rFonts w:cs="Times New Roman"/>
          <w:i/>
          <w:sz w:val="20"/>
          <w:szCs w:val="20"/>
        </w:rPr>
        <w:t xml:space="preserve"> from ULGDP </w:t>
      </w:r>
    </w:p>
    <w:tbl>
      <w:tblPr>
        <w:tblStyle w:val="TableGrid"/>
        <w:tblW w:w="0" w:type="auto"/>
        <w:tblLook w:val="00A0" w:firstRow="1" w:lastRow="0" w:firstColumn="1" w:lastColumn="0" w:noHBand="0" w:noVBand="0"/>
      </w:tblPr>
      <w:tblGrid>
        <w:gridCol w:w="1951"/>
        <w:gridCol w:w="3402"/>
        <w:gridCol w:w="4147"/>
      </w:tblGrid>
      <w:tr w:rsidR="00AB72CB" w:rsidRPr="00F7263B">
        <w:trPr>
          <w:tblHeader/>
        </w:trPr>
        <w:tc>
          <w:tcPr>
            <w:tcW w:w="1951" w:type="dxa"/>
            <w:shd w:val="clear" w:color="auto" w:fill="99CCFF"/>
          </w:tcPr>
          <w:p w:rsidR="00AB72CB" w:rsidRPr="00F7263B" w:rsidRDefault="00AB72CB" w:rsidP="00AB72CB">
            <w:pPr>
              <w:autoSpaceDE w:val="0"/>
              <w:autoSpaceDN w:val="0"/>
              <w:adjustRightInd w:val="0"/>
              <w:spacing w:after="240"/>
              <w:jc w:val="both"/>
              <w:rPr>
                <w:rFonts w:cs="Times New Roman"/>
                <w:b/>
                <w:sz w:val="20"/>
                <w:szCs w:val="20"/>
              </w:rPr>
            </w:pPr>
            <w:r w:rsidRPr="00F7263B">
              <w:rPr>
                <w:rFonts w:cs="Times New Roman"/>
                <w:b/>
                <w:sz w:val="20"/>
                <w:szCs w:val="20"/>
              </w:rPr>
              <w:t>Area</w:t>
            </w:r>
          </w:p>
        </w:tc>
        <w:tc>
          <w:tcPr>
            <w:tcW w:w="3402" w:type="dxa"/>
            <w:shd w:val="clear" w:color="auto" w:fill="99CCFF"/>
          </w:tcPr>
          <w:p w:rsidR="00AB72CB" w:rsidRPr="00F7263B" w:rsidRDefault="00AB72CB" w:rsidP="00AB72CB">
            <w:pPr>
              <w:autoSpaceDE w:val="0"/>
              <w:autoSpaceDN w:val="0"/>
              <w:adjustRightInd w:val="0"/>
              <w:spacing w:after="240"/>
              <w:jc w:val="both"/>
              <w:rPr>
                <w:rFonts w:cs="Times New Roman"/>
                <w:b/>
                <w:sz w:val="20"/>
                <w:szCs w:val="20"/>
              </w:rPr>
            </w:pPr>
            <w:r w:rsidRPr="00F7263B">
              <w:rPr>
                <w:rFonts w:cs="Times New Roman"/>
                <w:b/>
                <w:sz w:val="20"/>
                <w:szCs w:val="20"/>
              </w:rPr>
              <w:t>Lessons learned</w:t>
            </w:r>
          </w:p>
        </w:tc>
        <w:tc>
          <w:tcPr>
            <w:tcW w:w="4147" w:type="dxa"/>
            <w:shd w:val="clear" w:color="auto" w:fill="99CCFF"/>
          </w:tcPr>
          <w:p w:rsidR="00AB72CB" w:rsidRPr="00F7263B" w:rsidRDefault="00AB72CB" w:rsidP="00AB72CB">
            <w:pPr>
              <w:autoSpaceDE w:val="0"/>
              <w:autoSpaceDN w:val="0"/>
              <w:adjustRightInd w:val="0"/>
              <w:spacing w:after="240"/>
              <w:jc w:val="both"/>
              <w:rPr>
                <w:rFonts w:cs="Times New Roman"/>
                <w:b/>
                <w:sz w:val="20"/>
                <w:szCs w:val="20"/>
              </w:rPr>
            </w:pPr>
            <w:r w:rsidRPr="00F7263B">
              <w:rPr>
                <w:rFonts w:cs="Times New Roman"/>
                <w:b/>
                <w:sz w:val="20"/>
                <w:szCs w:val="20"/>
              </w:rPr>
              <w:t>Action taken</w:t>
            </w:r>
          </w:p>
        </w:tc>
      </w:tr>
      <w:tr w:rsidR="00AB72CB" w:rsidRPr="00F7263B">
        <w:tc>
          <w:tcPr>
            <w:tcW w:w="1951"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 xml:space="preserve">Annual Performance Assessment cycle synchronized with ULG planning and budgeting cycle. </w:t>
            </w:r>
          </w:p>
        </w:tc>
        <w:tc>
          <w:tcPr>
            <w:tcW w:w="3402"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Important to ensure that results fit with the ULG planning and budgeting process</w:t>
            </w:r>
          </w:p>
        </w:tc>
        <w:tc>
          <w:tcPr>
            <w:tcW w:w="4147"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 xml:space="preserve">This will be ensured with a clear time-plan and linked with the DLI on timeliness of the APA and </w:t>
            </w:r>
            <w:r w:rsidR="008A26F2" w:rsidRPr="00F7263B">
              <w:rPr>
                <w:rFonts w:cs="Times New Roman"/>
                <w:sz w:val="20"/>
                <w:szCs w:val="20"/>
              </w:rPr>
              <w:t>value for money</w:t>
            </w:r>
            <w:r w:rsidRPr="00F7263B">
              <w:rPr>
                <w:rFonts w:cs="Times New Roman"/>
                <w:sz w:val="20"/>
                <w:szCs w:val="20"/>
              </w:rPr>
              <w:t xml:space="preserve"> audits. </w:t>
            </w:r>
          </w:p>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This will be monitored and disbursed against a DLI.</w:t>
            </w:r>
          </w:p>
        </w:tc>
      </w:tr>
      <w:tr w:rsidR="00AB72CB" w:rsidRPr="00F7263B">
        <w:tc>
          <w:tcPr>
            <w:tcW w:w="1951"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Indicators sharpened and targeted</w:t>
            </w:r>
          </w:p>
        </w:tc>
        <w:tc>
          <w:tcPr>
            <w:tcW w:w="3402"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Although there were a limited number of performance measures under ULGDP, the system of registration, data collection was very comprehensive with more than 70 data collection points.</w:t>
            </w:r>
          </w:p>
        </w:tc>
        <w:tc>
          <w:tcPr>
            <w:tcW w:w="4147"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 xml:space="preserve">The system will be simplified with maximum 20-25 performance measures, and with clear description of how these are measured in the APA Manual, which is annexed to the </w:t>
            </w:r>
            <w:r w:rsidR="007414BF" w:rsidRPr="00F7263B">
              <w:rPr>
                <w:rFonts w:cs="Times New Roman"/>
                <w:sz w:val="20"/>
                <w:szCs w:val="20"/>
              </w:rPr>
              <w:t>Operational Manual</w:t>
            </w:r>
            <w:r w:rsidRPr="00F7263B">
              <w:rPr>
                <w:rFonts w:cs="Times New Roman"/>
                <w:sz w:val="20"/>
                <w:szCs w:val="20"/>
              </w:rPr>
              <w:t xml:space="preserve">. The new indicators are also more focusing on the results, such as delivery of infrastructure targets, value for money and actual improvements in the ULGs sustainability, such as increase in own source revenues. Second, the system of approval of results will be formalized.  The indicators will also be further sharpened to target the PDO of the program. </w:t>
            </w:r>
          </w:p>
        </w:tc>
      </w:tr>
      <w:tr w:rsidR="00D5112C" w:rsidRPr="00F7263B">
        <w:tc>
          <w:tcPr>
            <w:tcW w:w="1951" w:type="dxa"/>
          </w:tcPr>
          <w:p w:rsidR="00D5112C" w:rsidRPr="00F7263B" w:rsidRDefault="000A78BB" w:rsidP="00AB72CB">
            <w:pPr>
              <w:autoSpaceDE w:val="0"/>
              <w:autoSpaceDN w:val="0"/>
              <w:adjustRightInd w:val="0"/>
              <w:spacing w:after="240"/>
              <w:rPr>
                <w:rFonts w:cs="Times New Roman"/>
                <w:sz w:val="20"/>
                <w:szCs w:val="20"/>
              </w:rPr>
            </w:pPr>
            <w:r w:rsidRPr="00F7263B">
              <w:rPr>
                <w:rFonts w:cs="Times New Roman"/>
                <w:sz w:val="20"/>
                <w:szCs w:val="20"/>
              </w:rPr>
              <w:t>System of performance incentives strengthened</w:t>
            </w:r>
          </w:p>
        </w:tc>
        <w:tc>
          <w:tcPr>
            <w:tcW w:w="3402" w:type="dxa"/>
          </w:tcPr>
          <w:p w:rsidR="00D5112C" w:rsidRPr="00F7263B" w:rsidRDefault="000A78BB" w:rsidP="00E9566D">
            <w:pPr>
              <w:autoSpaceDE w:val="0"/>
              <w:autoSpaceDN w:val="0"/>
              <w:adjustRightInd w:val="0"/>
              <w:spacing w:after="240"/>
              <w:rPr>
                <w:rFonts w:cs="Times New Roman"/>
                <w:sz w:val="20"/>
                <w:szCs w:val="20"/>
              </w:rPr>
            </w:pPr>
            <w:r w:rsidRPr="00F7263B">
              <w:rPr>
                <w:rFonts w:cs="Times New Roman"/>
                <w:sz w:val="20"/>
                <w:szCs w:val="20"/>
              </w:rPr>
              <w:t>Performance-based</w:t>
            </w:r>
            <w:r w:rsidR="00E7593E" w:rsidRPr="00F7263B">
              <w:rPr>
                <w:rFonts w:cs="Times New Roman"/>
                <w:sz w:val="20"/>
                <w:szCs w:val="20"/>
              </w:rPr>
              <w:t xml:space="preserve"> grant</w:t>
            </w:r>
            <w:r w:rsidR="00371899" w:rsidRPr="00F7263B">
              <w:rPr>
                <w:rFonts w:cs="Times New Roman"/>
                <w:sz w:val="20"/>
                <w:szCs w:val="20"/>
              </w:rPr>
              <w:t xml:space="preserve"> allocations </w:t>
            </w:r>
            <w:r w:rsidR="00DA2BBC" w:rsidRPr="00F7263B">
              <w:rPr>
                <w:rFonts w:cs="Times New Roman"/>
                <w:sz w:val="20"/>
                <w:szCs w:val="20"/>
              </w:rPr>
              <w:t xml:space="preserve">provide </w:t>
            </w:r>
            <w:r w:rsidR="00371899" w:rsidRPr="00F7263B">
              <w:rPr>
                <w:rFonts w:cs="Times New Roman"/>
                <w:sz w:val="20"/>
                <w:szCs w:val="20"/>
              </w:rPr>
              <w:t>incentiv</w:t>
            </w:r>
            <w:r w:rsidR="00DA2BBC" w:rsidRPr="00F7263B">
              <w:rPr>
                <w:rFonts w:cs="Times New Roman"/>
                <w:sz w:val="20"/>
                <w:szCs w:val="20"/>
              </w:rPr>
              <w:t xml:space="preserve">es to </w:t>
            </w:r>
            <w:r w:rsidR="00371899" w:rsidRPr="00F7263B">
              <w:rPr>
                <w:rFonts w:cs="Times New Roman"/>
                <w:sz w:val="20"/>
                <w:szCs w:val="20"/>
              </w:rPr>
              <w:t xml:space="preserve">perform, but can be strengthened through a system where every incremental improvement </w:t>
            </w:r>
            <w:r w:rsidR="00371899" w:rsidRPr="00F7263B">
              <w:rPr>
                <w:rFonts w:cs="Times New Roman"/>
                <w:sz w:val="20"/>
                <w:szCs w:val="20"/>
              </w:rPr>
              <w:lastRenderedPageBreak/>
              <w:t xml:space="preserve">is rewarded. </w:t>
            </w:r>
          </w:p>
        </w:tc>
        <w:tc>
          <w:tcPr>
            <w:tcW w:w="4147" w:type="dxa"/>
          </w:tcPr>
          <w:p w:rsidR="00D5112C" w:rsidRPr="00F7263B" w:rsidRDefault="00FF7824" w:rsidP="00AB72CB">
            <w:pPr>
              <w:autoSpaceDE w:val="0"/>
              <w:autoSpaceDN w:val="0"/>
              <w:adjustRightInd w:val="0"/>
              <w:spacing w:after="240"/>
              <w:rPr>
                <w:rFonts w:cs="Times New Roman"/>
                <w:sz w:val="20"/>
                <w:szCs w:val="20"/>
              </w:rPr>
            </w:pPr>
            <w:r w:rsidRPr="00F7263B">
              <w:rPr>
                <w:rFonts w:cs="Times New Roman"/>
                <w:sz w:val="20"/>
                <w:szCs w:val="20"/>
              </w:rPr>
              <w:lastRenderedPageBreak/>
              <w:t xml:space="preserve">The current static system, where ULGs are grouped into (1) non-access, (2) static allocation and (3) accelerated allocation (+ 20 percent) will be improved and the system of performance will be fully integrated with the allocation formula </w:t>
            </w:r>
            <w:r w:rsidRPr="00F7263B">
              <w:rPr>
                <w:rFonts w:cs="Times New Roman"/>
                <w:sz w:val="20"/>
                <w:szCs w:val="20"/>
              </w:rPr>
              <w:lastRenderedPageBreak/>
              <w:t>on a continuous scale where incentives are kept on all levels of performance, on a scale between 0–100.</w:t>
            </w:r>
          </w:p>
        </w:tc>
      </w:tr>
      <w:tr w:rsidR="006E7278" w:rsidRPr="00F7263B">
        <w:tc>
          <w:tcPr>
            <w:tcW w:w="1951" w:type="dxa"/>
          </w:tcPr>
          <w:p w:rsidR="006E7278" w:rsidRPr="00F7263B" w:rsidRDefault="006E7278" w:rsidP="00AB72CB">
            <w:pPr>
              <w:autoSpaceDE w:val="0"/>
              <w:autoSpaceDN w:val="0"/>
              <w:adjustRightInd w:val="0"/>
              <w:spacing w:after="240"/>
              <w:rPr>
                <w:rFonts w:cs="Times New Roman"/>
                <w:sz w:val="20"/>
                <w:szCs w:val="20"/>
              </w:rPr>
            </w:pPr>
            <w:r w:rsidRPr="00F7263B">
              <w:rPr>
                <w:rFonts w:cs="Times New Roman"/>
                <w:sz w:val="20"/>
                <w:szCs w:val="20"/>
              </w:rPr>
              <w:lastRenderedPageBreak/>
              <w:t xml:space="preserve">Focus on municipal </w:t>
            </w:r>
            <w:r w:rsidR="00D5646A" w:rsidRPr="00F7263B">
              <w:rPr>
                <w:rFonts w:cs="Times New Roman"/>
                <w:sz w:val="20"/>
                <w:szCs w:val="20"/>
              </w:rPr>
              <w:t>own source revenue</w:t>
            </w:r>
            <w:r w:rsidRPr="00F7263B">
              <w:rPr>
                <w:rFonts w:cs="Times New Roman"/>
                <w:sz w:val="20"/>
                <w:szCs w:val="20"/>
              </w:rPr>
              <w:t xml:space="preserve"> and longer term sustainability strengthened</w:t>
            </w:r>
          </w:p>
        </w:tc>
        <w:tc>
          <w:tcPr>
            <w:tcW w:w="3402" w:type="dxa"/>
          </w:tcPr>
          <w:p w:rsidR="006E7278" w:rsidRPr="00F7263B" w:rsidRDefault="006E7278" w:rsidP="00AB72CB">
            <w:pPr>
              <w:autoSpaceDE w:val="0"/>
              <w:autoSpaceDN w:val="0"/>
              <w:adjustRightInd w:val="0"/>
              <w:spacing w:after="240"/>
              <w:rPr>
                <w:rFonts w:cs="Times New Roman"/>
                <w:sz w:val="20"/>
                <w:szCs w:val="20"/>
              </w:rPr>
            </w:pPr>
            <w:r w:rsidRPr="00F7263B">
              <w:rPr>
                <w:rFonts w:cs="Times New Roman"/>
                <w:sz w:val="20"/>
                <w:szCs w:val="20"/>
              </w:rPr>
              <w:t>State revenues have improved faster than municipal revenues</w:t>
            </w:r>
          </w:p>
        </w:tc>
        <w:tc>
          <w:tcPr>
            <w:tcW w:w="4147" w:type="dxa"/>
          </w:tcPr>
          <w:p w:rsidR="006E7278" w:rsidRPr="00F7263B" w:rsidRDefault="006E7278" w:rsidP="00AB72CB">
            <w:pPr>
              <w:autoSpaceDE w:val="0"/>
              <w:autoSpaceDN w:val="0"/>
              <w:adjustRightInd w:val="0"/>
              <w:spacing w:after="240"/>
              <w:rPr>
                <w:rFonts w:cs="Times New Roman"/>
                <w:sz w:val="20"/>
                <w:szCs w:val="20"/>
              </w:rPr>
            </w:pPr>
            <w:r w:rsidRPr="00F7263B">
              <w:rPr>
                <w:rFonts w:cs="Times New Roman"/>
                <w:sz w:val="20"/>
                <w:szCs w:val="20"/>
              </w:rPr>
              <w:t xml:space="preserve">Strengthening of the incentives to improve municipal core revenue mobilization (though the </w:t>
            </w:r>
            <w:r w:rsidR="00D81609" w:rsidRPr="00F7263B">
              <w:rPr>
                <w:rFonts w:cs="Times New Roman"/>
                <w:sz w:val="20"/>
                <w:szCs w:val="20"/>
              </w:rPr>
              <w:t>minimum condition</w:t>
            </w:r>
            <w:r w:rsidRPr="00F7263B">
              <w:rPr>
                <w:rFonts w:cs="Times New Roman"/>
                <w:sz w:val="20"/>
                <w:szCs w:val="20"/>
              </w:rPr>
              <w:t xml:space="preserve">s and PMs in the annual assessment system), and strengthening of the environment for this through improved dialogue between regions and municipalities and through strengthening of the </w:t>
            </w:r>
            <w:r w:rsidR="0065739F" w:rsidRPr="00F7263B">
              <w:rPr>
                <w:rFonts w:cs="Times New Roman"/>
                <w:sz w:val="20"/>
                <w:szCs w:val="20"/>
              </w:rPr>
              <w:t>capacity building</w:t>
            </w:r>
            <w:r w:rsidRPr="00F7263B">
              <w:rPr>
                <w:rFonts w:cs="Times New Roman"/>
                <w:sz w:val="20"/>
                <w:szCs w:val="20"/>
              </w:rPr>
              <w:t xml:space="preserve"> support to ULGs within this area. </w:t>
            </w:r>
          </w:p>
        </w:tc>
      </w:tr>
      <w:tr w:rsidR="00AB72CB" w:rsidRPr="00F7263B">
        <w:tc>
          <w:tcPr>
            <w:tcW w:w="1951" w:type="dxa"/>
          </w:tcPr>
          <w:p w:rsidR="00AB72CB" w:rsidRPr="00F7263B" w:rsidRDefault="0065739F" w:rsidP="00AB72CB">
            <w:pPr>
              <w:autoSpaceDE w:val="0"/>
              <w:autoSpaceDN w:val="0"/>
              <w:adjustRightInd w:val="0"/>
              <w:spacing w:after="240"/>
              <w:rPr>
                <w:rFonts w:cs="Times New Roman"/>
                <w:sz w:val="20"/>
                <w:szCs w:val="20"/>
              </w:rPr>
            </w:pPr>
            <w:r w:rsidRPr="00F7263B">
              <w:rPr>
                <w:rFonts w:cs="Times New Roman"/>
                <w:sz w:val="20"/>
                <w:szCs w:val="20"/>
              </w:rPr>
              <w:t>Capacity building</w:t>
            </w:r>
            <w:r w:rsidR="00AB72CB" w:rsidRPr="00F7263B">
              <w:rPr>
                <w:rFonts w:cs="Times New Roman"/>
                <w:sz w:val="20"/>
                <w:szCs w:val="20"/>
              </w:rPr>
              <w:t xml:space="preserve"> support strengthened</w:t>
            </w:r>
          </w:p>
        </w:tc>
        <w:tc>
          <w:tcPr>
            <w:tcW w:w="3402"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Mostly supply driven with one federal team under ULGDP.</w:t>
            </w:r>
          </w:p>
        </w:tc>
        <w:tc>
          <w:tcPr>
            <w:tcW w:w="4147"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 xml:space="preserve">Supply side capacity building will be strengthened and supplemented with a demand driven element. As well, regional governments will now be strong involved in the capacity building support, especially in the 4 regions where many ULGs are targeted. This will also be supported by DLIs for the regional and federal </w:t>
            </w:r>
            <w:r w:rsidR="0065739F" w:rsidRPr="00F7263B">
              <w:rPr>
                <w:rFonts w:cs="Times New Roman"/>
                <w:sz w:val="20"/>
                <w:szCs w:val="20"/>
              </w:rPr>
              <w:t>capacity building</w:t>
            </w:r>
            <w:r w:rsidRPr="00F7263B">
              <w:rPr>
                <w:rFonts w:cs="Times New Roman"/>
                <w:sz w:val="20"/>
                <w:szCs w:val="20"/>
              </w:rPr>
              <w:t xml:space="preserve"> support to ULGs. </w:t>
            </w:r>
          </w:p>
        </w:tc>
      </w:tr>
      <w:tr w:rsidR="00AB72CB" w:rsidRPr="00F7263B">
        <w:tc>
          <w:tcPr>
            <w:tcW w:w="1951"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Involvement of the regions in core areas of importance for Program objectives</w:t>
            </w:r>
          </w:p>
        </w:tc>
        <w:tc>
          <w:tcPr>
            <w:tcW w:w="3402"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The ULGDP has proved the importance of the regions in the support of cities</w:t>
            </w:r>
          </w:p>
        </w:tc>
        <w:tc>
          <w:tcPr>
            <w:tcW w:w="4147" w:type="dxa"/>
          </w:tcPr>
          <w:p w:rsidR="00AB72CB" w:rsidRPr="00F7263B" w:rsidRDefault="00AB72CB" w:rsidP="00B17200">
            <w:pPr>
              <w:autoSpaceDE w:val="0"/>
              <w:autoSpaceDN w:val="0"/>
              <w:adjustRightInd w:val="0"/>
              <w:spacing w:after="240"/>
              <w:rPr>
                <w:rFonts w:cs="Times New Roman"/>
                <w:sz w:val="20"/>
                <w:szCs w:val="20"/>
              </w:rPr>
            </w:pPr>
            <w:r w:rsidRPr="00F7263B">
              <w:rPr>
                <w:rFonts w:cs="Times New Roman"/>
                <w:sz w:val="20"/>
                <w:szCs w:val="20"/>
              </w:rPr>
              <w:t xml:space="preserve">Regions will be </w:t>
            </w:r>
            <w:r w:rsidR="00B17200" w:rsidRPr="00F7263B">
              <w:rPr>
                <w:rFonts w:cs="Times New Roman"/>
                <w:sz w:val="20"/>
                <w:szCs w:val="20"/>
              </w:rPr>
              <w:t xml:space="preserve">more </w:t>
            </w:r>
            <w:r w:rsidRPr="00F7263B">
              <w:rPr>
                <w:rFonts w:cs="Times New Roman"/>
                <w:sz w:val="20"/>
                <w:szCs w:val="20"/>
              </w:rPr>
              <w:t>strong</w:t>
            </w:r>
            <w:r w:rsidR="00B17200" w:rsidRPr="00F7263B">
              <w:rPr>
                <w:rFonts w:cs="Times New Roman"/>
                <w:sz w:val="20"/>
                <w:szCs w:val="20"/>
              </w:rPr>
              <w:t>ly</w:t>
            </w:r>
            <w:r w:rsidRPr="00F7263B">
              <w:rPr>
                <w:rFonts w:cs="Times New Roman"/>
                <w:sz w:val="20"/>
                <w:szCs w:val="20"/>
              </w:rPr>
              <w:t xml:space="preserve"> involved and </w:t>
            </w:r>
            <w:r w:rsidR="00B17200" w:rsidRPr="00F7263B">
              <w:rPr>
                <w:rFonts w:cs="Times New Roman"/>
                <w:sz w:val="20"/>
                <w:szCs w:val="20"/>
              </w:rPr>
              <w:t>encouraged</w:t>
            </w:r>
            <w:r w:rsidRPr="00F7263B">
              <w:rPr>
                <w:rFonts w:cs="Times New Roman"/>
                <w:sz w:val="20"/>
                <w:szCs w:val="20"/>
              </w:rPr>
              <w:t xml:space="preserve"> to take active part in the </w:t>
            </w:r>
            <w:r w:rsidR="00B17200" w:rsidRPr="00F7263B">
              <w:rPr>
                <w:rFonts w:cs="Times New Roman"/>
                <w:sz w:val="20"/>
                <w:szCs w:val="20"/>
              </w:rPr>
              <w:t>capacity building</w:t>
            </w:r>
            <w:r w:rsidRPr="00F7263B">
              <w:rPr>
                <w:rFonts w:cs="Times New Roman"/>
                <w:sz w:val="20"/>
                <w:szCs w:val="20"/>
              </w:rPr>
              <w:t xml:space="preserve"> support, facilitation of cities </w:t>
            </w:r>
            <w:r w:rsidR="00BA6589" w:rsidRPr="00F7263B">
              <w:rPr>
                <w:rFonts w:cs="Times New Roman"/>
                <w:sz w:val="20"/>
                <w:szCs w:val="20"/>
              </w:rPr>
              <w:t>own source revenue</w:t>
            </w:r>
            <w:r w:rsidRPr="00F7263B">
              <w:rPr>
                <w:rFonts w:cs="Times New Roman"/>
                <w:sz w:val="20"/>
                <w:szCs w:val="20"/>
              </w:rPr>
              <w:t xml:space="preserve">, social and environmental safeguards, audits, and backstopping support as well as mentoring and monitoring. Supported by a specific DLI. </w:t>
            </w:r>
          </w:p>
        </w:tc>
      </w:tr>
      <w:tr w:rsidR="00AB72CB" w:rsidRPr="00F7263B">
        <w:tc>
          <w:tcPr>
            <w:tcW w:w="1951"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The importance of timely audit</w:t>
            </w:r>
          </w:p>
        </w:tc>
        <w:tc>
          <w:tcPr>
            <w:tcW w:w="3402"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ULGDP has improved the coverage and timeliness of audit of cities’ final accounts</w:t>
            </w:r>
          </w:p>
        </w:tc>
        <w:tc>
          <w:tcPr>
            <w:tcW w:w="4147" w:type="dxa"/>
          </w:tcPr>
          <w:p w:rsidR="00AB72CB" w:rsidRPr="00F7263B" w:rsidRDefault="00AB72CB" w:rsidP="00AB72CB">
            <w:pPr>
              <w:autoSpaceDE w:val="0"/>
              <w:autoSpaceDN w:val="0"/>
              <w:adjustRightInd w:val="0"/>
              <w:spacing w:after="240"/>
              <w:rPr>
                <w:rFonts w:cs="Times New Roman"/>
                <w:sz w:val="20"/>
                <w:szCs w:val="20"/>
              </w:rPr>
            </w:pPr>
            <w:r w:rsidRPr="00F7263B">
              <w:rPr>
                <w:rFonts w:cs="Times New Roman"/>
                <w:sz w:val="20"/>
                <w:szCs w:val="20"/>
              </w:rPr>
              <w:t xml:space="preserve">This will be further strengthened in the ULGDP II through a specific DLI focusing on timeliness of the audit, and through strengthening of the </w:t>
            </w:r>
            <w:r w:rsidR="00913A93" w:rsidRPr="00F7263B">
              <w:rPr>
                <w:rFonts w:cs="Times New Roman"/>
                <w:sz w:val="20"/>
                <w:szCs w:val="20"/>
              </w:rPr>
              <w:t>minimum conditions</w:t>
            </w:r>
            <w:r w:rsidRPr="00F7263B">
              <w:rPr>
                <w:rFonts w:cs="Times New Roman"/>
                <w:sz w:val="20"/>
                <w:szCs w:val="20"/>
              </w:rPr>
              <w:t xml:space="preserve"> on audit results from previous FY. </w:t>
            </w:r>
          </w:p>
        </w:tc>
      </w:tr>
      <w:tr w:rsidR="00E7593E" w:rsidRPr="00F7263B">
        <w:tc>
          <w:tcPr>
            <w:tcW w:w="1951" w:type="dxa"/>
          </w:tcPr>
          <w:p w:rsidR="00E7593E" w:rsidRPr="00F7263B" w:rsidRDefault="00E7593E" w:rsidP="00AB72CB">
            <w:pPr>
              <w:autoSpaceDE w:val="0"/>
              <w:autoSpaceDN w:val="0"/>
              <w:adjustRightInd w:val="0"/>
              <w:spacing w:after="240"/>
              <w:rPr>
                <w:rFonts w:cs="Times New Roman"/>
                <w:sz w:val="20"/>
                <w:szCs w:val="20"/>
              </w:rPr>
            </w:pPr>
            <w:r w:rsidRPr="00F7263B">
              <w:rPr>
                <w:rFonts w:cs="Times New Roman"/>
                <w:sz w:val="20"/>
                <w:szCs w:val="20"/>
              </w:rPr>
              <w:t>Flow of funds improved</w:t>
            </w:r>
          </w:p>
        </w:tc>
        <w:tc>
          <w:tcPr>
            <w:tcW w:w="3402" w:type="dxa"/>
          </w:tcPr>
          <w:p w:rsidR="00E7593E" w:rsidRPr="00F7263B" w:rsidRDefault="00E7593E" w:rsidP="00AB72CB">
            <w:pPr>
              <w:autoSpaceDE w:val="0"/>
              <w:autoSpaceDN w:val="0"/>
              <w:adjustRightInd w:val="0"/>
              <w:spacing w:after="240"/>
              <w:rPr>
                <w:rFonts w:cs="Times New Roman"/>
                <w:sz w:val="20"/>
                <w:szCs w:val="20"/>
              </w:rPr>
            </w:pPr>
            <w:r w:rsidRPr="00F7263B">
              <w:rPr>
                <w:rFonts w:cs="Times New Roman"/>
                <w:sz w:val="20"/>
                <w:szCs w:val="20"/>
              </w:rPr>
              <w:t>ULGDP has proved the importance of timely and up-front grant allocations and disbursements to ULGs to ensure that absorption and utilization of grants is strengthened</w:t>
            </w:r>
          </w:p>
        </w:tc>
        <w:tc>
          <w:tcPr>
            <w:tcW w:w="4147" w:type="dxa"/>
          </w:tcPr>
          <w:p w:rsidR="00E7593E" w:rsidRPr="00F7263B" w:rsidRDefault="00E7593E" w:rsidP="00AB72CB">
            <w:pPr>
              <w:autoSpaceDE w:val="0"/>
              <w:autoSpaceDN w:val="0"/>
              <w:adjustRightInd w:val="0"/>
              <w:spacing w:after="240"/>
              <w:rPr>
                <w:rFonts w:cs="Times New Roman"/>
                <w:sz w:val="20"/>
                <w:szCs w:val="20"/>
              </w:rPr>
            </w:pPr>
            <w:r w:rsidRPr="00F7263B">
              <w:rPr>
                <w:rFonts w:cs="Times New Roman"/>
                <w:sz w:val="20"/>
                <w:szCs w:val="20"/>
              </w:rPr>
              <w:t xml:space="preserve">A more simple, timely and predictable system of disbursements of grants will be introduced with bi-annual equal installments. </w:t>
            </w:r>
          </w:p>
        </w:tc>
      </w:tr>
    </w:tbl>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ind w:left="0" w:firstLine="0"/>
        <w:jc w:val="both"/>
        <w:rPr>
          <w:rFonts w:cs="Times New Roman"/>
          <w:sz w:val="20"/>
          <w:szCs w:val="20"/>
        </w:rPr>
      </w:pPr>
      <w:r w:rsidRPr="00F7263B">
        <w:rPr>
          <w:rFonts w:cs="Times New Roman"/>
          <w:sz w:val="20"/>
          <w:szCs w:val="20"/>
        </w:rPr>
        <w:t>Based on the above, the technical design of the Program will contribute to the overall goal of efficiently producing results and reaching the Program’s objectives. The Program technical design reflects international good practice in the overall urban sector and specifically in technical standards and typology of Program activities. As well, design ensures, to the extent possible, that the incentives are in place for Program stakeholders to effectively contribute to the Program’s success. Therefore, the Program is assessed to be technically sound.</w:t>
      </w:r>
    </w:p>
    <w:p w:rsidR="006F2AAE" w:rsidRPr="00F7263B" w:rsidRDefault="006F2AAE" w:rsidP="006F2AAE">
      <w:pPr>
        <w:rPr>
          <w:sz w:val="20"/>
          <w:szCs w:val="20"/>
        </w:rPr>
      </w:pPr>
    </w:p>
    <w:p w:rsidR="00AB72CB" w:rsidRPr="00F7263B" w:rsidRDefault="00AB72CB" w:rsidP="006F2AAE">
      <w:pPr>
        <w:rPr>
          <w:b/>
          <w:sz w:val="20"/>
          <w:szCs w:val="20"/>
        </w:rPr>
      </w:pPr>
      <w:r w:rsidRPr="00F7263B">
        <w:rPr>
          <w:b/>
          <w:sz w:val="20"/>
          <w:szCs w:val="20"/>
        </w:rPr>
        <w:t xml:space="preserve">Program’s </w:t>
      </w:r>
      <w:r w:rsidR="006F2AAE" w:rsidRPr="00F7263B">
        <w:rPr>
          <w:b/>
          <w:sz w:val="20"/>
          <w:szCs w:val="20"/>
        </w:rPr>
        <w:t>e</w:t>
      </w:r>
      <w:r w:rsidRPr="00F7263B">
        <w:rPr>
          <w:b/>
          <w:sz w:val="20"/>
          <w:szCs w:val="20"/>
        </w:rPr>
        <w:t xml:space="preserve">xpenditure </w:t>
      </w:r>
      <w:r w:rsidR="006F2AAE" w:rsidRPr="00F7263B">
        <w:rPr>
          <w:b/>
          <w:sz w:val="20"/>
          <w:szCs w:val="20"/>
        </w:rPr>
        <w:t>f</w:t>
      </w:r>
      <w:r w:rsidRPr="00F7263B">
        <w:rPr>
          <w:b/>
          <w:sz w:val="20"/>
          <w:szCs w:val="20"/>
        </w:rPr>
        <w:t>ramework</w:t>
      </w:r>
    </w:p>
    <w:p w:rsidR="00AB72CB" w:rsidRPr="00F7263B" w:rsidRDefault="00AB72CB" w:rsidP="006F2AAE">
      <w:pPr>
        <w:rPr>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b/>
          <w:sz w:val="20"/>
          <w:szCs w:val="20"/>
        </w:rPr>
        <w:t>The expenditure framework of the Prog</w:t>
      </w:r>
      <w:r w:rsidR="00B1654B" w:rsidRPr="00F7263B">
        <w:rPr>
          <w:rFonts w:cs="Times New Roman"/>
          <w:b/>
          <w:sz w:val="20"/>
          <w:szCs w:val="20"/>
        </w:rPr>
        <w:t>ram will be a total of US$</w:t>
      </w:r>
      <w:r w:rsidRPr="00F7263B">
        <w:rPr>
          <w:rFonts w:cs="Times New Roman"/>
          <w:b/>
          <w:sz w:val="20"/>
          <w:szCs w:val="20"/>
        </w:rPr>
        <w:t>5</w:t>
      </w:r>
      <w:r w:rsidR="00025944" w:rsidRPr="00F7263B">
        <w:rPr>
          <w:rFonts w:cs="Times New Roman"/>
          <w:b/>
          <w:sz w:val="20"/>
          <w:szCs w:val="20"/>
        </w:rPr>
        <w:t>56</w:t>
      </w:r>
      <w:r w:rsidRPr="00F7263B">
        <w:rPr>
          <w:rFonts w:cs="Times New Roman"/>
          <w:b/>
          <w:sz w:val="20"/>
          <w:szCs w:val="20"/>
        </w:rPr>
        <w:t>.</w:t>
      </w:r>
      <w:r w:rsidR="00025944" w:rsidRPr="00F7263B">
        <w:rPr>
          <w:rFonts w:cs="Times New Roman"/>
          <w:b/>
          <w:sz w:val="20"/>
          <w:szCs w:val="20"/>
        </w:rPr>
        <w:t>5</w:t>
      </w:r>
      <w:r w:rsidRPr="00F7263B">
        <w:rPr>
          <w:rFonts w:cs="Times New Roman"/>
          <w:b/>
          <w:sz w:val="20"/>
          <w:szCs w:val="20"/>
        </w:rPr>
        <w:t xml:space="preserve"> million.</w:t>
      </w:r>
      <w:r w:rsidRPr="00F7263B">
        <w:rPr>
          <w:rFonts w:cs="Times New Roman"/>
          <w:sz w:val="20"/>
          <w:szCs w:val="20"/>
        </w:rPr>
        <w:t>US$4</w:t>
      </w:r>
      <w:r w:rsidR="00025944" w:rsidRPr="00F7263B">
        <w:rPr>
          <w:rFonts w:cs="Times New Roman"/>
          <w:sz w:val="20"/>
          <w:szCs w:val="20"/>
        </w:rPr>
        <w:t>99</w:t>
      </w:r>
      <w:r w:rsidRPr="00F7263B">
        <w:rPr>
          <w:rFonts w:cs="Times New Roman"/>
          <w:sz w:val="20"/>
          <w:szCs w:val="20"/>
        </w:rPr>
        <w:t>.</w:t>
      </w:r>
      <w:r w:rsidR="00025944" w:rsidRPr="00F7263B">
        <w:rPr>
          <w:rFonts w:cs="Times New Roman"/>
          <w:sz w:val="20"/>
          <w:szCs w:val="20"/>
        </w:rPr>
        <w:t>5</w:t>
      </w:r>
      <w:r w:rsidRPr="00F7263B">
        <w:rPr>
          <w:rFonts w:cs="Times New Roman"/>
          <w:sz w:val="20"/>
          <w:szCs w:val="20"/>
        </w:rPr>
        <w:t xml:space="preserve"> million will constitute the performance-based allocations for investments and will go directly to Program ULGs for investments </w:t>
      </w:r>
      <w:r w:rsidRPr="00F7263B">
        <w:rPr>
          <w:rFonts w:cs="Times New Roman"/>
          <w:sz w:val="20"/>
          <w:szCs w:val="20"/>
        </w:rPr>
        <w:lastRenderedPageBreak/>
        <w:t>specif</w:t>
      </w:r>
      <w:r w:rsidR="00B1654B" w:rsidRPr="00F7263B">
        <w:rPr>
          <w:rFonts w:cs="Times New Roman"/>
          <w:sz w:val="20"/>
          <w:szCs w:val="20"/>
        </w:rPr>
        <w:t>ied under the investment menu (a</w:t>
      </w:r>
      <w:r w:rsidRPr="00F7263B">
        <w:rPr>
          <w:rFonts w:cs="Times New Roman"/>
          <w:sz w:val="20"/>
          <w:szCs w:val="20"/>
        </w:rPr>
        <w:t xml:space="preserve">nnex </w:t>
      </w:r>
      <w:r w:rsidR="00E7593E" w:rsidRPr="00F7263B">
        <w:rPr>
          <w:rFonts w:cs="Times New Roman"/>
          <w:sz w:val="20"/>
          <w:szCs w:val="20"/>
        </w:rPr>
        <w:t>1</w:t>
      </w:r>
      <w:r w:rsidRPr="00F7263B">
        <w:rPr>
          <w:rFonts w:cs="Times New Roman"/>
          <w:sz w:val="20"/>
          <w:szCs w:val="20"/>
        </w:rPr>
        <w:t>). US$</w:t>
      </w:r>
      <w:r w:rsidR="00025944" w:rsidRPr="00F7263B">
        <w:rPr>
          <w:rFonts w:cs="Times New Roman"/>
          <w:sz w:val="20"/>
          <w:szCs w:val="20"/>
        </w:rPr>
        <w:t>3</w:t>
      </w:r>
      <w:r w:rsidRPr="00F7263B">
        <w:rPr>
          <w:rFonts w:cs="Times New Roman"/>
          <w:sz w:val="20"/>
          <w:szCs w:val="20"/>
        </w:rPr>
        <w:t xml:space="preserve">0 million will be for the results for which the regional governments will deliver (of which </w:t>
      </w:r>
      <w:r w:rsidR="00025944" w:rsidRPr="00F7263B">
        <w:rPr>
          <w:rFonts w:cs="Times New Roman"/>
          <w:sz w:val="20"/>
          <w:szCs w:val="20"/>
        </w:rPr>
        <w:t>14</w:t>
      </w:r>
      <w:r w:rsidRPr="00F7263B">
        <w:rPr>
          <w:rFonts w:cs="Times New Roman"/>
          <w:sz w:val="20"/>
          <w:szCs w:val="20"/>
        </w:rPr>
        <w:t xml:space="preserve"> million are related with </w:t>
      </w:r>
      <w:r w:rsidR="00B1654B" w:rsidRPr="00F7263B">
        <w:rPr>
          <w:rFonts w:cs="Times New Roman"/>
          <w:sz w:val="20"/>
          <w:szCs w:val="20"/>
        </w:rPr>
        <w:t>capacity building</w:t>
      </w:r>
      <w:r w:rsidRPr="00F7263B">
        <w:rPr>
          <w:rFonts w:cs="Times New Roman"/>
          <w:sz w:val="20"/>
          <w:szCs w:val="20"/>
        </w:rPr>
        <w:t xml:space="preserve"> support to the ULGs)</w:t>
      </w:r>
      <w:r w:rsidR="00B1654B" w:rsidRPr="00F7263B">
        <w:rPr>
          <w:rFonts w:cs="Times New Roman"/>
          <w:sz w:val="20"/>
          <w:szCs w:val="20"/>
        </w:rPr>
        <w:t>.  Finally US$</w:t>
      </w:r>
      <w:r w:rsidRPr="00F7263B">
        <w:rPr>
          <w:rFonts w:cs="Times New Roman"/>
          <w:sz w:val="20"/>
          <w:szCs w:val="20"/>
        </w:rPr>
        <w:t>2</w:t>
      </w:r>
      <w:r w:rsidR="00025944" w:rsidRPr="00F7263B">
        <w:rPr>
          <w:rFonts w:cs="Times New Roman"/>
          <w:sz w:val="20"/>
          <w:szCs w:val="20"/>
        </w:rPr>
        <w:t>7</w:t>
      </w:r>
      <w:r w:rsidRPr="00F7263B">
        <w:rPr>
          <w:rFonts w:cs="Times New Roman"/>
          <w:sz w:val="20"/>
          <w:szCs w:val="20"/>
        </w:rPr>
        <w:t xml:space="preserve"> million will support </w:t>
      </w:r>
      <w:r w:rsidR="00276BC8" w:rsidRPr="00F7263B">
        <w:rPr>
          <w:rFonts w:cs="Times New Roman"/>
          <w:sz w:val="20"/>
          <w:szCs w:val="20"/>
        </w:rPr>
        <w:t>MUDHCo</w:t>
      </w:r>
      <w:r w:rsidRPr="00F7263B">
        <w:rPr>
          <w:rFonts w:cs="Times New Roman"/>
          <w:sz w:val="20"/>
          <w:szCs w:val="20"/>
        </w:rPr>
        <w:t xml:space="preserve"> activities and results directly linked to the execution of the </w:t>
      </w:r>
      <w:r w:rsidR="00D0377C" w:rsidRPr="00F7263B">
        <w:rPr>
          <w:rFonts w:cs="Times New Roman"/>
          <w:sz w:val="20"/>
          <w:szCs w:val="20"/>
        </w:rPr>
        <w:t>performance-based</w:t>
      </w:r>
      <w:r w:rsidRPr="00F7263B">
        <w:rPr>
          <w:rFonts w:cs="Times New Roman"/>
          <w:sz w:val="20"/>
          <w:szCs w:val="20"/>
        </w:rPr>
        <w:t xml:space="preserve"> grants</w:t>
      </w:r>
      <w:r w:rsidR="00B1654B" w:rsidRPr="00F7263B">
        <w:rPr>
          <w:rFonts w:cs="Times New Roman"/>
          <w:sz w:val="20"/>
          <w:szCs w:val="20"/>
        </w:rPr>
        <w:t xml:space="preserve">, </w:t>
      </w:r>
      <w:r w:rsidRPr="00F7263B">
        <w:rPr>
          <w:rFonts w:cs="Times New Roman"/>
          <w:sz w:val="20"/>
          <w:szCs w:val="20"/>
        </w:rPr>
        <w:t>as well as for program management</w:t>
      </w:r>
      <w:r w:rsidR="00B1654B" w:rsidRPr="00F7263B">
        <w:rPr>
          <w:rFonts w:cs="Times New Roman"/>
          <w:sz w:val="20"/>
          <w:szCs w:val="20"/>
        </w:rPr>
        <w:t xml:space="preserve">.  </w:t>
      </w:r>
      <w:r w:rsidRPr="00F7263B">
        <w:rPr>
          <w:rFonts w:cs="Times New Roman"/>
          <w:sz w:val="20"/>
          <w:szCs w:val="20"/>
        </w:rPr>
        <w:t>The table below provides the overview of the main elements in the program expenditure framework.</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AB72CB" w:rsidRPr="00F7263B" w:rsidRDefault="00AB72CB" w:rsidP="00AB72CB">
      <w:pPr>
        <w:pStyle w:val="ListParagraph"/>
        <w:ind w:left="0"/>
        <w:jc w:val="both"/>
        <w:rPr>
          <w:rFonts w:cs="Times New Roman"/>
          <w:b/>
          <w:sz w:val="20"/>
          <w:szCs w:val="20"/>
        </w:rPr>
      </w:pPr>
      <w:r w:rsidRPr="00F7263B">
        <w:rPr>
          <w:rFonts w:cs="Times New Roman"/>
          <w:b/>
          <w:sz w:val="20"/>
          <w:szCs w:val="20"/>
        </w:rPr>
        <w:t>Program expenditure framework (US$, million)</w:t>
      </w:r>
    </w:p>
    <w:p w:rsidR="00025944" w:rsidRPr="00F7263B" w:rsidRDefault="00025944" w:rsidP="00AB72CB">
      <w:pPr>
        <w:pStyle w:val="ListParagraph"/>
        <w:ind w:left="0"/>
        <w:jc w:val="both"/>
        <w:rPr>
          <w:rFonts w:cs="Times New Roman"/>
          <w:b/>
          <w:sz w:val="20"/>
          <w:szCs w:val="20"/>
        </w:rPr>
      </w:pPr>
    </w:p>
    <w:tbl>
      <w:tblPr>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991"/>
        <w:gridCol w:w="990"/>
        <w:gridCol w:w="990"/>
        <w:gridCol w:w="990"/>
        <w:gridCol w:w="990"/>
        <w:gridCol w:w="988"/>
      </w:tblGrid>
      <w:tr w:rsidR="00C935A2" w:rsidRPr="00F7263B">
        <w:trPr>
          <w:trHeight w:val="300"/>
        </w:trPr>
        <w:tc>
          <w:tcPr>
            <w:tcW w:w="2085" w:type="pct"/>
            <w:shd w:val="clear" w:color="auto" w:fill="auto"/>
            <w:noWrap/>
          </w:tcPr>
          <w:p w:rsidR="00C935A2" w:rsidRPr="00F7263B" w:rsidRDefault="00C935A2" w:rsidP="00A41518">
            <w:pPr>
              <w:spacing w:before="2" w:after="2"/>
              <w:contextualSpacing/>
              <w:jc w:val="both"/>
              <w:rPr>
                <w:rFonts w:eastAsia="Times New Roman" w:cs="Times New Roman"/>
                <w:b/>
                <w:bCs/>
                <w:color w:val="000000"/>
                <w:sz w:val="20"/>
                <w:szCs w:val="20"/>
              </w:rPr>
            </w:pPr>
            <w:r w:rsidRPr="00F7263B">
              <w:rPr>
                <w:rFonts w:eastAsia="Times New Roman" w:cs="Times New Roman"/>
                <w:b/>
                <w:bCs/>
                <w:color w:val="000000"/>
                <w:sz w:val="20"/>
                <w:szCs w:val="20"/>
              </w:rPr>
              <w:t>Classification</w:t>
            </w:r>
          </w:p>
        </w:tc>
        <w:tc>
          <w:tcPr>
            <w:tcW w:w="486" w:type="pct"/>
            <w:shd w:val="clear" w:color="auto" w:fill="auto"/>
            <w:noWrap/>
          </w:tcPr>
          <w:p w:rsidR="00C935A2" w:rsidRPr="00F7263B" w:rsidRDefault="00C935A2" w:rsidP="00A41518">
            <w:pPr>
              <w:spacing w:before="2" w:after="2"/>
              <w:contextualSpacing/>
              <w:rPr>
                <w:rFonts w:eastAsia="Times New Roman" w:cs="Times New Roman"/>
                <w:b/>
                <w:bCs/>
                <w:color w:val="000000"/>
                <w:sz w:val="20"/>
                <w:szCs w:val="20"/>
              </w:rPr>
            </w:pPr>
            <w:r w:rsidRPr="00F7263B">
              <w:rPr>
                <w:rFonts w:eastAsia="Times New Roman" w:cs="Times New Roman"/>
                <w:b/>
                <w:bCs/>
                <w:color w:val="000000"/>
                <w:sz w:val="20"/>
                <w:szCs w:val="20"/>
              </w:rPr>
              <w:t>FY2015</w:t>
            </w:r>
          </w:p>
        </w:tc>
        <w:tc>
          <w:tcPr>
            <w:tcW w:w="486" w:type="pct"/>
            <w:shd w:val="clear" w:color="auto" w:fill="auto"/>
            <w:noWrap/>
          </w:tcPr>
          <w:p w:rsidR="00C935A2" w:rsidRPr="00F7263B" w:rsidRDefault="00C935A2" w:rsidP="00A41518">
            <w:pPr>
              <w:spacing w:before="2" w:after="2"/>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FY2016</w:t>
            </w:r>
          </w:p>
        </w:tc>
        <w:tc>
          <w:tcPr>
            <w:tcW w:w="486" w:type="pct"/>
            <w:shd w:val="clear" w:color="auto" w:fill="auto"/>
            <w:noWrap/>
          </w:tcPr>
          <w:p w:rsidR="00C935A2" w:rsidRPr="00F7263B" w:rsidRDefault="00C935A2" w:rsidP="00A41518">
            <w:pPr>
              <w:spacing w:before="2" w:after="2"/>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FY2017</w:t>
            </w:r>
          </w:p>
        </w:tc>
        <w:tc>
          <w:tcPr>
            <w:tcW w:w="486" w:type="pct"/>
            <w:shd w:val="clear" w:color="auto" w:fill="auto"/>
            <w:noWrap/>
          </w:tcPr>
          <w:p w:rsidR="00C935A2" w:rsidRPr="00F7263B" w:rsidRDefault="00C935A2" w:rsidP="00A41518">
            <w:pPr>
              <w:spacing w:before="2" w:after="2"/>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FY2018</w:t>
            </w:r>
          </w:p>
        </w:tc>
        <w:tc>
          <w:tcPr>
            <w:tcW w:w="486" w:type="pct"/>
            <w:shd w:val="clear" w:color="auto" w:fill="auto"/>
            <w:noWrap/>
          </w:tcPr>
          <w:p w:rsidR="00C935A2" w:rsidRPr="00F7263B" w:rsidRDefault="00C935A2" w:rsidP="00A41518">
            <w:pPr>
              <w:spacing w:before="2" w:after="2"/>
              <w:contextualSpacing/>
              <w:jc w:val="right"/>
              <w:rPr>
                <w:rFonts w:eastAsia="Times New Roman" w:cs="Times New Roman"/>
                <w:b/>
                <w:bCs/>
                <w:color w:val="000000"/>
                <w:sz w:val="20"/>
                <w:szCs w:val="20"/>
              </w:rPr>
            </w:pPr>
            <w:r w:rsidRPr="00F7263B">
              <w:rPr>
                <w:rFonts w:eastAsia="Times New Roman" w:cs="Times New Roman"/>
                <w:b/>
                <w:bCs/>
                <w:color w:val="000000"/>
                <w:sz w:val="20"/>
                <w:szCs w:val="20"/>
              </w:rPr>
              <w:t>FY2019</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b/>
                <w:bCs/>
                <w:color w:val="000000"/>
                <w:sz w:val="20"/>
                <w:szCs w:val="20"/>
              </w:rPr>
            </w:pPr>
            <w:r w:rsidRPr="00F7263B">
              <w:rPr>
                <w:rFonts w:eastAsia="Times New Roman" w:cs="Times New Roman"/>
                <w:b/>
                <w:bCs/>
                <w:color w:val="000000"/>
                <w:sz w:val="20"/>
                <w:szCs w:val="20"/>
              </w:rPr>
              <w:t xml:space="preserve">Total </w:t>
            </w:r>
          </w:p>
        </w:tc>
      </w:tr>
      <w:tr w:rsidR="00C935A2" w:rsidRPr="00F7263B">
        <w:trPr>
          <w:trHeight w:val="144"/>
        </w:trPr>
        <w:tc>
          <w:tcPr>
            <w:tcW w:w="2085" w:type="pct"/>
            <w:shd w:val="clear" w:color="auto" w:fill="auto"/>
            <w:noWrap/>
            <w:vAlign w:val="bottom"/>
          </w:tcPr>
          <w:p w:rsidR="00C935A2" w:rsidRPr="00F7263B" w:rsidRDefault="00C935A2" w:rsidP="00A41518">
            <w:pPr>
              <w:spacing w:before="2" w:after="2"/>
              <w:contextualSpacing/>
              <w:rPr>
                <w:rFonts w:eastAsia="Times New Roman" w:cs="Times New Roman"/>
                <w:color w:val="000000"/>
                <w:sz w:val="20"/>
                <w:szCs w:val="20"/>
              </w:rPr>
            </w:pPr>
            <w:r w:rsidRPr="00F7263B">
              <w:rPr>
                <w:rFonts w:eastAsia="Times New Roman" w:cs="Times New Roman"/>
                <w:color w:val="000000"/>
                <w:sz w:val="20"/>
                <w:szCs w:val="20"/>
              </w:rPr>
              <w:t>Performance based  fiscal transfers to 44 ULGs (DLIs 1, 2 and 3 which measure Program minimum conditions and performance measures)</w:t>
            </w:r>
          </w:p>
          <w:p w:rsidR="00C935A2" w:rsidRPr="00F7263B" w:rsidRDefault="00C935A2" w:rsidP="00A41518">
            <w:pPr>
              <w:spacing w:before="2" w:after="2"/>
              <w:contextualSpacing/>
              <w:rPr>
                <w:rFonts w:eastAsia="Times New Roman" w:cs="Times New Roman"/>
                <w:i/>
                <w:color w:val="000000"/>
                <w:sz w:val="20"/>
                <w:szCs w:val="20"/>
              </w:rPr>
            </w:pPr>
            <w:r w:rsidRPr="00F7263B">
              <w:rPr>
                <w:rFonts w:eastAsia="Times New Roman" w:cs="Times New Roman"/>
                <w:i/>
                <w:color w:val="000000"/>
                <w:sz w:val="20"/>
                <w:szCs w:val="20"/>
              </w:rPr>
              <w:t xml:space="preserve">      Of which from regions and cities*</w:t>
            </w:r>
          </w:p>
          <w:p w:rsidR="00C935A2" w:rsidRPr="00F7263B" w:rsidRDefault="00C935A2" w:rsidP="00A41518">
            <w:pPr>
              <w:spacing w:before="2" w:after="2"/>
              <w:contextualSpacing/>
              <w:rPr>
                <w:rFonts w:eastAsia="Times New Roman" w:cs="Times New Roman"/>
                <w:i/>
                <w:color w:val="000000"/>
                <w:sz w:val="20"/>
                <w:szCs w:val="20"/>
              </w:rPr>
            </w:pPr>
            <w:r w:rsidRPr="00F7263B">
              <w:rPr>
                <w:rFonts w:eastAsia="Times New Roman" w:cs="Times New Roman"/>
                <w:i/>
                <w:color w:val="000000"/>
                <w:sz w:val="20"/>
                <w:szCs w:val="20"/>
              </w:rPr>
              <w:t xml:space="preserve">               Of which from regions only </w:t>
            </w:r>
          </w:p>
          <w:p w:rsidR="00C935A2" w:rsidRPr="00F7263B" w:rsidRDefault="00C935A2" w:rsidP="00A41518">
            <w:pPr>
              <w:spacing w:before="2" w:after="2"/>
              <w:contextualSpacing/>
              <w:rPr>
                <w:rFonts w:eastAsia="Times New Roman" w:cs="Times New Roman"/>
                <w:color w:val="000000"/>
                <w:sz w:val="20"/>
                <w:szCs w:val="20"/>
              </w:rPr>
            </w:pPr>
            <w:r w:rsidRPr="00F7263B">
              <w:rPr>
                <w:rFonts w:eastAsia="Times New Roman" w:cs="Times New Roman"/>
                <w:i/>
                <w:color w:val="000000"/>
                <w:sz w:val="20"/>
                <w:szCs w:val="20"/>
              </w:rPr>
              <w:t xml:space="preserve">               Of which from cities only </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78.73</w:t>
            </w:r>
            <w:r w:rsidRPr="00F7263B">
              <w:rPr>
                <w:rFonts w:eastAsia="Times New Roman" w:cs="Times New Roman"/>
                <w:color w:val="000000"/>
                <w:sz w:val="20"/>
                <w:szCs w:val="20"/>
                <w:vertAlign w:val="superscript"/>
              </w:rPr>
              <w:footnoteReference w:id="46"/>
            </w: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2</w:t>
            </w:r>
            <w:r w:rsidR="00D90FDF" w:rsidRPr="00F7263B">
              <w:rPr>
                <w:rFonts w:eastAsia="Times New Roman" w:cs="Times New Roman"/>
                <w:i/>
                <w:color w:val="000000"/>
                <w:sz w:val="20"/>
                <w:szCs w:val="20"/>
              </w:rPr>
              <w:t>8.60</w:t>
            </w: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13.13</w:t>
            </w:r>
          </w:p>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i/>
                <w:color w:val="000000"/>
                <w:sz w:val="20"/>
                <w:szCs w:val="20"/>
              </w:rPr>
              <w:t>15.47</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105.20</w:t>
            </w:r>
            <w:r w:rsidRPr="00F7263B">
              <w:rPr>
                <w:rFonts w:eastAsia="Times New Roman" w:cs="Times New Roman"/>
                <w:color w:val="000000"/>
                <w:sz w:val="20"/>
                <w:szCs w:val="20"/>
                <w:vertAlign w:val="superscript"/>
              </w:rPr>
              <w:footnoteReference w:id="47"/>
            </w:r>
          </w:p>
          <w:p w:rsidR="00C935A2" w:rsidRPr="00F7263B" w:rsidRDefault="00C935A2" w:rsidP="00A41518">
            <w:pPr>
              <w:spacing w:before="2" w:after="2"/>
              <w:contextualSpacing/>
              <w:jc w:val="center"/>
              <w:rPr>
                <w:rFonts w:eastAsia="Times New Roman" w:cs="Times New Roman"/>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36.98</w:t>
            </w: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18.22</w:t>
            </w:r>
          </w:p>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i/>
                <w:color w:val="000000"/>
                <w:sz w:val="20"/>
                <w:szCs w:val="20"/>
              </w:rPr>
              <w:t>18.76</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105.20</w:t>
            </w: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36.98</w:t>
            </w: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18.22</w:t>
            </w:r>
          </w:p>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i/>
                <w:color w:val="000000"/>
                <w:sz w:val="20"/>
                <w:szCs w:val="20"/>
              </w:rPr>
              <w:t>18.76</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105.20</w:t>
            </w:r>
          </w:p>
          <w:p w:rsidR="00C935A2" w:rsidRPr="00F7263B" w:rsidRDefault="00C935A2" w:rsidP="00A41518">
            <w:pPr>
              <w:spacing w:before="2" w:after="2"/>
              <w:contextualSpacing/>
              <w:jc w:val="center"/>
              <w:rPr>
                <w:rFonts w:eastAsia="Times New Roman" w:cs="Times New Roman"/>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36.98</w:t>
            </w: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18.22</w:t>
            </w:r>
          </w:p>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i/>
                <w:color w:val="000000"/>
                <w:sz w:val="20"/>
                <w:szCs w:val="20"/>
              </w:rPr>
              <w:t>18.76</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105.20</w:t>
            </w: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36.98</w:t>
            </w: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18.22</w:t>
            </w:r>
          </w:p>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i/>
                <w:color w:val="000000"/>
                <w:sz w:val="20"/>
                <w:szCs w:val="20"/>
              </w:rPr>
              <w:t>18.76</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499.53</w:t>
            </w:r>
          </w:p>
          <w:p w:rsidR="00C935A2" w:rsidRPr="00F7263B" w:rsidRDefault="00C935A2" w:rsidP="00A41518">
            <w:pPr>
              <w:spacing w:before="2" w:after="2"/>
              <w:contextualSpacing/>
              <w:jc w:val="center"/>
              <w:rPr>
                <w:rFonts w:eastAsia="Times New Roman" w:cs="Times New Roman"/>
                <w:color w:val="000000"/>
                <w:sz w:val="20"/>
                <w:szCs w:val="20"/>
              </w:rPr>
            </w:pPr>
          </w:p>
          <w:p w:rsidR="00C935A2" w:rsidRPr="00F7263B" w:rsidRDefault="00C935A2" w:rsidP="00A41518">
            <w:pPr>
              <w:spacing w:before="2" w:after="2"/>
              <w:contextualSpacing/>
              <w:jc w:val="center"/>
              <w:rPr>
                <w:rFonts w:eastAsia="Times New Roman" w:cs="Times New Roman"/>
                <w:color w:val="000000"/>
                <w:sz w:val="20"/>
                <w:szCs w:val="20"/>
              </w:rPr>
            </w:pP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176.53</w:t>
            </w:r>
          </w:p>
          <w:p w:rsidR="00C935A2" w:rsidRPr="00F7263B" w:rsidRDefault="00C935A2" w:rsidP="00A41518">
            <w:pPr>
              <w:spacing w:before="2" w:after="2"/>
              <w:contextualSpacing/>
              <w:jc w:val="center"/>
              <w:rPr>
                <w:rFonts w:eastAsia="Times New Roman" w:cs="Times New Roman"/>
                <w:i/>
                <w:color w:val="000000"/>
                <w:sz w:val="20"/>
                <w:szCs w:val="20"/>
              </w:rPr>
            </w:pPr>
            <w:r w:rsidRPr="00F7263B">
              <w:rPr>
                <w:rFonts w:eastAsia="Times New Roman" w:cs="Times New Roman"/>
                <w:i/>
                <w:color w:val="000000"/>
                <w:sz w:val="20"/>
                <w:szCs w:val="20"/>
              </w:rPr>
              <w:t>86.01</w:t>
            </w:r>
          </w:p>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i/>
                <w:color w:val="000000"/>
                <w:sz w:val="20"/>
                <w:szCs w:val="20"/>
              </w:rPr>
              <w:t>90.52</w:t>
            </w:r>
          </w:p>
        </w:tc>
      </w:tr>
      <w:tr w:rsidR="00C935A2" w:rsidRPr="00F7263B">
        <w:trPr>
          <w:trHeight w:val="144"/>
        </w:trPr>
        <w:tc>
          <w:tcPr>
            <w:tcW w:w="2085" w:type="pct"/>
            <w:shd w:val="clear" w:color="auto" w:fill="auto"/>
            <w:noWrap/>
            <w:vAlign w:val="bottom"/>
          </w:tcPr>
          <w:p w:rsidR="00C935A2" w:rsidRPr="00F7263B" w:rsidRDefault="00C935A2" w:rsidP="00A41518">
            <w:pPr>
              <w:spacing w:before="2" w:after="2"/>
              <w:contextualSpacing/>
              <w:rPr>
                <w:rFonts w:eastAsia="Times New Roman" w:cs="Times New Roman"/>
                <w:color w:val="000000"/>
                <w:sz w:val="20"/>
                <w:szCs w:val="20"/>
              </w:rPr>
            </w:pPr>
            <w:r w:rsidRPr="00F7263B">
              <w:rPr>
                <w:rFonts w:eastAsia="Times New Roman" w:cs="Times New Roman"/>
                <w:color w:val="000000"/>
                <w:sz w:val="20"/>
                <w:szCs w:val="20"/>
              </w:rPr>
              <w:t>Capacity building and ULG support by regional governments (linked to DLIs 4, 5, 6 and 7)</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5.2</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5.2</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7.2</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5.2</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7.2</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30.0</w:t>
            </w:r>
            <w:r w:rsidR="00D90FDF" w:rsidRPr="00F7263B">
              <w:rPr>
                <w:rFonts w:eastAsia="Times New Roman" w:cs="Times New Roman"/>
                <w:color w:val="000000"/>
                <w:sz w:val="20"/>
                <w:szCs w:val="20"/>
              </w:rPr>
              <w:t>0</w:t>
            </w:r>
          </w:p>
        </w:tc>
      </w:tr>
      <w:tr w:rsidR="00C935A2" w:rsidRPr="00F7263B">
        <w:trPr>
          <w:trHeight w:val="144"/>
        </w:trPr>
        <w:tc>
          <w:tcPr>
            <w:tcW w:w="2085" w:type="pct"/>
            <w:shd w:val="clear" w:color="auto" w:fill="auto"/>
            <w:noWrap/>
            <w:vAlign w:val="bottom"/>
          </w:tcPr>
          <w:p w:rsidR="00C935A2" w:rsidRPr="00F7263B" w:rsidRDefault="00C935A2" w:rsidP="00A41518">
            <w:pPr>
              <w:spacing w:before="2" w:after="2"/>
              <w:contextualSpacing/>
              <w:rPr>
                <w:rFonts w:eastAsia="Times New Roman" w:cs="Times New Roman"/>
                <w:color w:val="000000"/>
                <w:sz w:val="20"/>
                <w:szCs w:val="20"/>
              </w:rPr>
            </w:pPr>
            <w:r w:rsidRPr="00F7263B">
              <w:rPr>
                <w:rFonts w:eastAsia="Times New Roman" w:cs="Times New Roman"/>
                <w:color w:val="000000"/>
                <w:sz w:val="20"/>
                <w:szCs w:val="20"/>
              </w:rPr>
              <w:t>Federal support and capacity building Program administration (DLIs 8 and 9)</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5.4</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5.4</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5.4</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5.4</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5.4</w:t>
            </w:r>
            <w:r w:rsidR="00D90FDF" w:rsidRPr="00F7263B">
              <w:rPr>
                <w:rFonts w:eastAsia="Times New Roman" w:cs="Times New Roman"/>
                <w:color w:val="000000"/>
                <w:sz w:val="20"/>
                <w:szCs w:val="20"/>
              </w:rPr>
              <w:t>0</w:t>
            </w:r>
          </w:p>
        </w:tc>
        <w:tc>
          <w:tcPr>
            <w:tcW w:w="486" w:type="pct"/>
            <w:shd w:val="clear" w:color="auto" w:fill="auto"/>
            <w:noWrap/>
          </w:tcPr>
          <w:p w:rsidR="00C935A2" w:rsidRPr="00F7263B" w:rsidRDefault="00C935A2" w:rsidP="00A41518">
            <w:pPr>
              <w:spacing w:before="2" w:after="2"/>
              <w:contextualSpacing/>
              <w:jc w:val="center"/>
              <w:rPr>
                <w:rFonts w:eastAsia="Times New Roman" w:cs="Times New Roman"/>
                <w:color w:val="000000"/>
                <w:sz w:val="20"/>
                <w:szCs w:val="20"/>
              </w:rPr>
            </w:pPr>
            <w:r w:rsidRPr="00F7263B">
              <w:rPr>
                <w:rFonts w:eastAsia="Times New Roman" w:cs="Times New Roman"/>
                <w:color w:val="000000"/>
                <w:sz w:val="20"/>
                <w:szCs w:val="20"/>
              </w:rPr>
              <w:t>27.00</w:t>
            </w:r>
          </w:p>
        </w:tc>
      </w:tr>
      <w:tr w:rsidR="00C935A2" w:rsidRPr="00F7263B">
        <w:trPr>
          <w:trHeight w:val="144"/>
        </w:trPr>
        <w:tc>
          <w:tcPr>
            <w:tcW w:w="2085" w:type="pct"/>
            <w:shd w:val="clear" w:color="auto" w:fill="auto"/>
            <w:noWrap/>
          </w:tcPr>
          <w:p w:rsidR="00C935A2" w:rsidRPr="00F7263B" w:rsidRDefault="00C935A2" w:rsidP="00A41518">
            <w:pPr>
              <w:spacing w:before="2" w:after="2"/>
              <w:contextualSpacing/>
              <w:jc w:val="both"/>
              <w:rPr>
                <w:rFonts w:eastAsia="Times New Roman" w:cs="Times New Roman"/>
                <w:b/>
                <w:color w:val="000000"/>
                <w:sz w:val="20"/>
                <w:szCs w:val="20"/>
              </w:rPr>
            </w:pPr>
            <w:r w:rsidRPr="00F7263B">
              <w:rPr>
                <w:rFonts w:eastAsia="Times New Roman" w:cs="Times New Roman"/>
                <w:b/>
                <w:color w:val="000000"/>
                <w:sz w:val="20"/>
                <w:szCs w:val="20"/>
              </w:rPr>
              <w:t>Total</w:t>
            </w:r>
          </w:p>
        </w:tc>
        <w:tc>
          <w:tcPr>
            <w:tcW w:w="486" w:type="pct"/>
            <w:shd w:val="clear" w:color="auto" w:fill="auto"/>
            <w:noWrap/>
          </w:tcPr>
          <w:p w:rsidR="00C935A2" w:rsidRPr="00F7263B" w:rsidRDefault="00C935A2" w:rsidP="00A41518">
            <w:pPr>
              <w:autoSpaceDE w:val="0"/>
              <w:autoSpaceDN w:val="0"/>
              <w:adjustRightInd w:val="0"/>
              <w:spacing w:before="2" w:after="2"/>
              <w:jc w:val="center"/>
              <w:rPr>
                <w:rFonts w:cs="Times New Roman"/>
                <w:b/>
                <w:bCs/>
                <w:color w:val="000000"/>
                <w:sz w:val="20"/>
                <w:szCs w:val="20"/>
              </w:rPr>
            </w:pPr>
            <w:r w:rsidRPr="00F7263B">
              <w:rPr>
                <w:rFonts w:cs="Times New Roman"/>
                <w:b/>
                <w:bCs/>
                <w:color w:val="000000"/>
                <w:sz w:val="20"/>
                <w:szCs w:val="20"/>
              </w:rPr>
              <w:t>89.33</w:t>
            </w:r>
          </w:p>
        </w:tc>
        <w:tc>
          <w:tcPr>
            <w:tcW w:w="486" w:type="pct"/>
            <w:shd w:val="clear" w:color="auto" w:fill="auto"/>
            <w:noWrap/>
          </w:tcPr>
          <w:p w:rsidR="00C935A2" w:rsidRPr="00F7263B" w:rsidRDefault="00C935A2" w:rsidP="00A41518">
            <w:pPr>
              <w:autoSpaceDE w:val="0"/>
              <w:autoSpaceDN w:val="0"/>
              <w:adjustRightInd w:val="0"/>
              <w:spacing w:before="2" w:after="2"/>
              <w:jc w:val="center"/>
              <w:rPr>
                <w:rFonts w:cs="Times New Roman"/>
                <w:b/>
                <w:bCs/>
                <w:color w:val="000000"/>
                <w:sz w:val="20"/>
                <w:szCs w:val="20"/>
              </w:rPr>
            </w:pPr>
            <w:r w:rsidRPr="00F7263B">
              <w:rPr>
                <w:rFonts w:cs="Times New Roman"/>
                <w:b/>
                <w:bCs/>
                <w:color w:val="000000"/>
                <w:sz w:val="20"/>
                <w:szCs w:val="20"/>
              </w:rPr>
              <w:t>115.80</w:t>
            </w:r>
          </w:p>
        </w:tc>
        <w:tc>
          <w:tcPr>
            <w:tcW w:w="486" w:type="pct"/>
            <w:shd w:val="clear" w:color="auto" w:fill="auto"/>
            <w:noWrap/>
          </w:tcPr>
          <w:p w:rsidR="00C935A2" w:rsidRPr="00F7263B" w:rsidRDefault="00C935A2" w:rsidP="00A41518">
            <w:pPr>
              <w:autoSpaceDE w:val="0"/>
              <w:autoSpaceDN w:val="0"/>
              <w:adjustRightInd w:val="0"/>
              <w:spacing w:before="2" w:after="2"/>
              <w:jc w:val="center"/>
              <w:rPr>
                <w:rFonts w:cs="Times New Roman"/>
                <w:b/>
                <w:bCs/>
                <w:color w:val="000000"/>
                <w:sz w:val="20"/>
                <w:szCs w:val="20"/>
              </w:rPr>
            </w:pPr>
            <w:r w:rsidRPr="00F7263B">
              <w:rPr>
                <w:rFonts w:cs="Times New Roman"/>
                <w:b/>
                <w:bCs/>
                <w:color w:val="000000"/>
                <w:sz w:val="20"/>
                <w:szCs w:val="20"/>
              </w:rPr>
              <w:t>117.80</w:t>
            </w:r>
          </w:p>
        </w:tc>
        <w:tc>
          <w:tcPr>
            <w:tcW w:w="486" w:type="pct"/>
            <w:shd w:val="clear" w:color="auto" w:fill="auto"/>
            <w:noWrap/>
          </w:tcPr>
          <w:p w:rsidR="00C935A2" w:rsidRPr="00F7263B" w:rsidRDefault="00C935A2" w:rsidP="00A41518">
            <w:pPr>
              <w:autoSpaceDE w:val="0"/>
              <w:autoSpaceDN w:val="0"/>
              <w:adjustRightInd w:val="0"/>
              <w:spacing w:before="2" w:after="2"/>
              <w:jc w:val="center"/>
              <w:rPr>
                <w:rFonts w:cs="Times New Roman"/>
                <w:b/>
                <w:bCs/>
                <w:color w:val="000000"/>
                <w:sz w:val="20"/>
                <w:szCs w:val="20"/>
              </w:rPr>
            </w:pPr>
            <w:r w:rsidRPr="00F7263B">
              <w:rPr>
                <w:rFonts w:cs="Times New Roman"/>
                <w:b/>
                <w:bCs/>
                <w:color w:val="000000"/>
                <w:sz w:val="20"/>
                <w:szCs w:val="20"/>
              </w:rPr>
              <w:t>115.80</w:t>
            </w:r>
          </w:p>
        </w:tc>
        <w:tc>
          <w:tcPr>
            <w:tcW w:w="486" w:type="pct"/>
            <w:shd w:val="clear" w:color="auto" w:fill="auto"/>
            <w:noWrap/>
          </w:tcPr>
          <w:p w:rsidR="00C935A2" w:rsidRPr="00F7263B" w:rsidRDefault="00C935A2" w:rsidP="00A41518">
            <w:pPr>
              <w:autoSpaceDE w:val="0"/>
              <w:autoSpaceDN w:val="0"/>
              <w:adjustRightInd w:val="0"/>
              <w:spacing w:before="2" w:after="2"/>
              <w:jc w:val="center"/>
              <w:rPr>
                <w:rFonts w:cs="Times New Roman"/>
                <w:b/>
                <w:bCs/>
                <w:color w:val="000000"/>
                <w:sz w:val="20"/>
                <w:szCs w:val="20"/>
              </w:rPr>
            </w:pPr>
            <w:r w:rsidRPr="00F7263B">
              <w:rPr>
                <w:rFonts w:cs="Times New Roman"/>
                <w:b/>
                <w:bCs/>
                <w:color w:val="000000"/>
                <w:sz w:val="20"/>
                <w:szCs w:val="20"/>
              </w:rPr>
              <w:t>117,80</w:t>
            </w:r>
          </w:p>
        </w:tc>
        <w:tc>
          <w:tcPr>
            <w:tcW w:w="486" w:type="pct"/>
            <w:shd w:val="clear" w:color="auto" w:fill="auto"/>
            <w:noWrap/>
          </w:tcPr>
          <w:p w:rsidR="00C935A2" w:rsidRPr="00F7263B" w:rsidRDefault="00C935A2" w:rsidP="00A41518">
            <w:pPr>
              <w:autoSpaceDE w:val="0"/>
              <w:autoSpaceDN w:val="0"/>
              <w:adjustRightInd w:val="0"/>
              <w:spacing w:before="2" w:after="2"/>
              <w:jc w:val="center"/>
              <w:rPr>
                <w:rFonts w:cs="Times New Roman"/>
                <w:b/>
                <w:bCs/>
                <w:color w:val="000000"/>
                <w:sz w:val="20"/>
                <w:szCs w:val="20"/>
              </w:rPr>
            </w:pPr>
            <w:r w:rsidRPr="00F7263B">
              <w:rPr>
                <w:rFonts w:cs="Times New Roman"/>
                <w:b/>
                <w:bCs/>
                <w:color w:val="000000"/>
                <w:sz w:val="20"/>
                <w:szCs w:val="20"/>
              </w:rPr>
              <w:t>556.53</w:t>
            </w:r>
          </w:p>
        </w:tc>
      </w:tr>
    </w:tbl>
    <w:p w:rsidR="00025944" w:rsidRPr="00F7263B" w:rsidRDefault="00025944" w:rsidP="00AB72CB">
      <w:pPr>
        <w:pStyle w:val="ListParagraph"/>
        <w:ind w:left="0"/>
        <w:jc w:val="both"/>
        <w:rPr>
          <w:rFonts w:cs="Times New Roman"/>
          <w:b/>
          <w:sz w:val="20"/>
          <w:szCs w:val="20"/>
        </w:rPr>
      </w:pPr>
    </w:p>
    <w:p w:rsidR="00AB72CB" w:rsidRPr="00F7263B" w:rsidRDefault="00AB72CB" w:rsidP="00AB72CB">
      <w:pPr>
        <w:pStyle w:val="ListParagraph"/>
        <w:autoSpaceDE w:val="0"/>
        <w:autoSpaceDN w:val="0"/>
        <w:adjustRightInd w:val="0"/>
        <w:spacing w:after="240"/>
        <w:ind w:left="0"/>
        <w:jc w:val="both"/>
        <w:rPr>
          <w:rFonts w:cs="Times New Roman"/>
          <w:sz w:val="20"/>
          <w:szCs w:val="20"/>
        </w:rPr>
      </w:pPr>
      <w:r w:rsidRPr="00F7263B">
        <w:rPr>
          <w:rFonts w:cs="Times New Roman"/>
          <w:sz w:val="20"/>
          <w:szCs w:val="20"/>
        </w:rPr>
        <w:t xml:space="preserve">* Regions and cities contribute to the </w:t>
      </w:r>
      <w:r w:rsidR="00D0377C" w:rsidRPr="00F7263B">
        <w:rPr>
          <w:rFonts w:cs="Times New Roman"/>
          <w:sz w:val="20"/>
          <w:szCs w:val="20"/>
        </w:rPr>
        <w:t>performance-based</w:t>
      </w:r>
      <w:r w:rsidRPr="00F7263B">
        <w:rPr>
          <w:rFonts w:cs="Times New Roman"/>
          <w:sz w:val="20"/>
          <w:szCs w:val="20"/>
        </w:rPr>
        <w:t xml:space="preserve"> allocations in the following manner: </w:t>
      </w:r>
      <w:r w:rsidR="00C032F5" w:rsidRPr="00F7263B">
        <w:rPr>
          <w:rFonts w:cs="Times New Roman"/>
          <w:sz w:val="20"/>
          <w:szCs w:val="20"/>
        </w:rPr>
        <w:t>established r</w:t>
      </w:r>
      <w:r w:rsidRPr="00F7263B">
        <w:rPr>
          <w:rFonts w:cs="Times New Roman"/>
          <w:sz w:val="20"/>
          <w:szCs w:val="20"/>
        </w:rPr>
        <w:t xml:space="preserve">egions: (Amhara, </w:t>
      </w:r>
      <w:r w:rsidR="0054500B" w:rsidRPr="00F7263B">
        <w:rPr>
          <w:rFonts w:cs="Times New Roman"/>
          <w:sz w:val="20"/>
          <w:szCs w:val="20"/>
        </w:rPr>
        <w:t>Oromia</w:t>
      </w:r>
      <w:r w:rsidRPr="00F7263B">
        <w:rPr>
          <w:rFonts w:cs="Times New Roman"/>
          <w:sz w:val="20"/>
          <w:szCs w:val="20"/>
        </w:rPr>
        <w:t>, SNNPR, and Tigray): 30</w:t>
      </w:r>
      <w:r w:rsidR="00C032F5" w:rsidRPr="00F7263B">
        <w:rPr>
          <w:rFonts w:cs="Times New Roman"/>
          <w:sz w:val="20"/>
          <w:szCs w:val="20"/>
        </w:rPr>
        <w:t xml:space="preserve"> percent</w:t>
      </w:r>
      <w:r w:rsidRPr="00F7263B">
        <w:rPr>
          <w:rFonts w:cs="Times New Roman"/>
          <w:sz w:val="20"/>
          <w:szCs w:val="20"/>
        </w:rPr>
        <w:t xml:space="preserve"> funding in addition to IDA grants, </w:t>
      </w:r>
      <w:r w:rsidR="00C032F5" w:rsidRPr="00F7263B">
        <w:rPr>
          <w:rFonts w:cs="Times New Roman"/>
          <w:sz w:val="20"/>
          <w:szCs w:val="20"/>
        </w:rPr>
        <w:t>developing regional states</w:t>
      </w:r>
      <w:r w:rsidRPr="00F7263B">
        <w:rPr>
          <w:rFonts w:cs="Times New Roman"/>
          <w:sz w:val="20"/>
          <w:szCs w:val="20"/>
        </w:rPr>
        <w:t>: 20</w:t>
      </w:r>
      <w:r w:rsidR="00C032F5" w:rsidRPr="00F7263B">
        <w:rPr>
          <w:rFonts w:cs="Times New Roman"/>
          <w:sz w:val="20"/>
          <w:szCs w:val="20"/>
        </w:rPr>
        <w:t xml:space="preserve"> percent</w:t>
      </w:r>
      <w:r w:rsidRPr="00F7263B">
        <w:rPr>
          <w:rFonts w:cs="Times New Roman"/>
          <w:sz w:val="20"/>
          <w:szCs w:val="20"/>
        </w:rPr>
        <w:t xml:space="preserve">. Existing ULGDP ULGs: 30 </w:t>
      </w:r>
      <w:r w:rsidR="00C032F5" w:rsidRPr="00F7263B">
        <w:rPr>
          <w:rFonts w:cs="Times New Roman"/>
          <w:sz w:val="20"/>
          <w:szCs w:val="20"/>
        </w:rPr>
        <w:t>percent</w:t>
      </w:r>
      <w:r w:rsidRPr="00F7263B">
        <w:rPr>
          <w:rFonts w:cs="Times New Roman"/>
          <w:sz w:val="20"/>
          <w:szCs w:val="20"/>
        </w:rPr>
        <w:t xml:space="preserve">, new cities in the </w:t>
      </w:r>
      <w:r w:rsidR="00C032F5" w:rsidRPr="00F7263B">
        <w:rPr>
          <w:rFonts w:cs="Times New Roman"/>
          <w:sz w:val="20"/>
          <w:szCs w:val="20"/>
        </w:rPr>
        <w:t>developing regional states</w:t>
      </w:r>
      <w:r w:rsidRPr="00F7263B">
        <w:rPr>
          <w:rFonts w:cs="Times New Roman"/>
          <w:sz w:val="20"/>
          <w:szCs w:val="20"/>
        </w:rPr>
        <w:t xml:space="preserve"> 10 </w:t>
      </w:r>
      <w:r w:rsidR="00C032F5" w:rsidRPr="00F7263B">
        <w:rPr>
          <w:rFonts w:cs="Times New Roman"/>
          <w:sz w:val="20"/>
          <w:szCs w:val="20"/>
        </w:rPr>
        <w:t>percent</w:t>
      </w:r>
      <w:r w:rsidRPr="00F7263B">
        <w:rPr>
          <w:rFonts w:cs="Times New Roman"/>
          <w:sz w:val="20"/>
          <w:szCs w:val="20"/>
        </w:rPr>
        <w:t xml:space="preserve"> and other new cities: 20 </w:t>
      </w:r>
      <w:r w:rsidR="00C032F5" w:rsidRPr="00F7263B">
        <w:rPr>
          <w:rFonts w:cs="Times New Roman"/>
          <w:sz w:val="20"/>
          <w:szCs w:val="20"/>
        </w:rPr>
        <w:t>percent</w:t>
      </w:r>
      <w:r w:rsidRPr="00F7263B">
        <w:rPr>
          <w:rFonts w:cs="Times New Roman"/>
          <w:sz w:val="20"/>
          <w:szCs w:val="20"/>
        </w:rPr>
        <w:t>. Ha</w:t>
      </w:r>
      <w:r w:rsidR="00B17200" w:rsidRPr="00F7263B">
        <w:rPr>
          <w:rFonts w:cs="Times New Roman"/>
          <w:sz w:val="20"/>
          <w:szCs w:val="20"/>
        </w:rPr>
        <w:t>rar and DiraDawa contribute 50</w:t>
      </w:r>
      <w:r w:rsidR="00C032F5" w:rsidRPr="00F7263B">
        <w:rPr>
          <w:rFonts w:cs="Times New Roman"/>
          <w:sz w:val="20"/>
          <w:szCs w:val="20"/>
        </w:rPr>
        <w:t xml:space="preserve"> percent</w:t>
      </w:r>
      <w:r w:rsidRPr="00F7263B">
        <w:rPr>
          <w:rFonts w:cs="Times New Roman"/>
          <w:sz w:val="20"/>
          <w:szCs w:val="20"/>
        </w:rPr>
        <w:t xml:space="preserve"> in addition to the IDA grants (both the regional and city contribution).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Expenditure performance under ULGDP has been satisfactory, with no major expenditure performance issues throughout implementation since 2008</w:t>
      </w:r>
      <w:r w:rsidR="00C032F5" w:rsidRPr="00F7263B">
        <w:rPr>
          <w:rFonts w:cs="Times New Roman"/>
          <w:sz w:val="20"/>
          <w:szCs w:val="20"/>
        </w:rPr>
        <w:t xml:space="preserve">.  </w:t>
      </w:r>
      <w:r w:rsidRPr="00F7263B">
        <w:rPr>
          <w:rFonts w:cs="Times New Roman"/>
          <w:sz w:val="20"/>
          <w:szCs w:val="20"/>
        </w:rPr>
        <w:t>Due to satisfactory implementation and higher than expected disbursements, additional IDA and counterpart funding were added to the Program in 2011</w:t>
      </w:r>
      <w:r w:rsidR="00C032F5" w:rsidRPr="00F7263B">
        <w:rPr>
          <w:rFonts w:cs="Times New Roman"/>
          <w:sz w:val="20"/>
          <w:szCs w:val="20"/>
        </w:rPr>
        <w:t xml:space="preserve">.  </w:t>
      </w:r>
      <w:r w:rsidRPr="00F7263B">
        <w:rPr>
          <w:rFonts w:cs="Times New Roman"/>
          <w:sz w:val="20"/>
          <w:szCs w:val="20"/>
        </w:rPr>
        <w:t xml:space="preserve">It is expected, albeit with some potential delays in the final completion, that all funds from the current ULGDP will have been exhausted by June 2014, as the ULG commitments are above the available funding from the ULGDP grants whereby ULGs will have to contribute more from </w:t>
      </w:r>
      <w:r w:rsidR="00BA6589" w:rsidRPr="00F7263B">
        <w:rPr>
          <w:rFonts w:cs="Times New Roman"/>
          <w:sz w:val="20"/>
          <w:szCs w:val="20"/>
        </w:rPr>
        <w:t>own source revenue</w:t>
      </w:r>
      <w:r w:rsidRPr="00F7263B">
        <w:rPr>
          <w:rFonts w:cs="Times New Roman"/>
          <w:sz w:val="20"/>
          <w:szCs w:val="20"/>
        </w:rPr>
        <w:t>s and/or other sources</w:t>
      </w:r>
      <w:r w:rsidR="00C032F5" w:rsidRPr="00F7263B">
        <w:rPr>
          <w:rFonts w:cs="Times New Roman"/>
          <w:sz w:val="20"/>
          <w:szCs w:val="20"/>
        </w:rPr>
        <w:t xml:space="preserve">.  </w:t>
      </w:r>
      <w:r w:rsidRPr="00F7263B">
        <w:rPr>
          <w:rFonts w:cs="Times New Roman"/>
          <w:sz w:val="20"/>
          <w:szCs w:val="20"/>
        </w:rPr>
        <w:t xml:space="preserve">The new system of disbursement linked allocations linked directly with the results of the APAs, advanced timing of the APAs, and higher reliance on </w:t>
      </w:r>
      <w:r w:rsidR="00830508" w:rsidRPr="00F7263B">
        <w:rPr>
          <w:rFonts w:cs="Times New Roman"/>
          <w:sz w:val="20"/>
          <w:szCs w:val="20"/>
        </w:rPr>
        <w:t>government</w:t>
      </w:r>
      <w:r w:rsidRPr="00F7263B">
        <w:rPr>
          <w:rFonts w:cs="Times New Roman"/>
          <w:sz w:val="20"/>
          <w:szCs w:val="20"/>
        </w:rPr>
        <w:t xml:space="preserve"> systems and procedures, is expected to further enhance the current implementation and absorption rates</w:t>
      </w:r>
      <w:r w:rsidR="00C032F5" w:rsidRPr="00F7263B">
        <w:rPr>
          <w:rFonts w:cs="Times New Roman"/>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simple population based allocation formula of the ULGDP, which is adjusted according to the performance of the ULG as determined in the APAs will be maintained</w:t>
      </w:r>
      <w:r w:rsidR="00C032F5" w:rsidRPr="00F7263B">
        <w:rPr>
          <w:rFonts w:cs="Times New Roman"/>
          <w:sz w:val="20"/>
          <w:szCs w:val="20"/>
        </w:rPr>
        <w:t xml:space="preserve">.  </w:t>
      </w:r>
      <w:r w:rsidRPr="00F7263B">
        <w:rPr>
          <w:rFonts w:cs="Times New Roman"/>
          <w:sz w:val="20"/>
          <w:szCs w:val="20"/>
        </w:rPr>
        <w:t>Disbursement model will build on and further refine the current system, and be based onthe relative performance of ULGs, where every point will count in the calculations of the disbursement amounts, and will ensure that each ULG is compared with the average performance, and rewarded if above this average</w:t>
      </w:r>
      <w:r w:rsidR="00C032F5" w:rsidRPr="00F7263B">
        <w:rPr>
          <w:rFonts w:cs="Times New Roman"/>
          <w:sz w:val="20"/>
          <w:szCs w:val="20"/>
        </w:rPr>
        <w:t xml:space="preserve">.  </w:t>
      </w:r>
      <w:r w:rsidRPr="00F7263B">
        <w:rPr>
          <w:rFonts w:cs="Times New Roman"/>
          <w:sz w:val="20"/>
          <w:szCs w:val="20"/>
        </w:rPr>
        <w:t xml:space="preserve">The current static system, where ULGs are grouped into </w:t>
      </w:r>
      <w:r w:rsidR="00500C71" w:rsidRPr="00F7263B">
        <w:rPr>
          <w:rFonts w:cs="Times New Roman"/>
          <w:sz w:val="20"/>
          <w:szCs w:val="20"/>
        </w:rPr>
        <w:t>(</w:t>
      </w:r>
      <w:r w:rsidRPr="00F7263B">
        <w:rPr>
          <w:rFonts w:cs="Times New Roman"/>
          <w:sz w:val="20"/>
          <w:szCs w:val="20"/>
        </w:rPr>
        <w:t xml:space="preserve">1) non-access, </w:t>
      </w:r>
      <w:r w:rsidR="00500C71" w:rsidRPr="00F7263B">
        <w:rPr>
          <w:rFonts w:cs="Times New Roman"/>
          <w:sz w:val="20"/>
          <w:szCs w:val="20"/>
        </w:rPr>
        <w:t>(</w:t>
      </w:r>
      <w:r w:rsidRPr="00F7263B">
        <w:rPr>
          <w:rFonts w:cs="Times New Roman"/>
          <w:sz w:val="20"/>
          <w:szCs w:val="20"/>
        </w:rPr>
        <w:t xml:space="preserve">2) static allocation and </w:t>
      </w:r>
      <w:r w:rsidR="00500C71" w:rsidRPr="00F7263B">
        <w:rPr>
          <w:rFonts w:cs="Times New Roman"/>
          <w:sz w:val="20"/>
          <w:szCs w:val="20"/>
        </w:rPr>
        <w:t>(</w:t>
      </w:r>
      <w:r w:rsidRPr="00F7263B">
        <w:rPr>
          <w:rFonts w:cs="Times New Roman"/>
          <w:sz w:val="20"/>
          <w:szCs w:val="20"/>
        </w:rPr>
        <w:t>3) accelerated allocation (+ 20</w:t>
      </w:r>
      <w:r w:rsidR="00A26D53" w:rsidRPr="00F7263B">
        <w:rPr>
          <w:rFonts w:cs="Times New Roman"/>
          <w:sz w:val="20"/>
          <w:szCs w:val="20"/>
        </w:rPr>
        <w:t xml:space="preserve"> percent</w:t>
      </w:r>
      <w:r w:rsidRPr="00F7263B">
        <w:rPr>
          <w:rFonts w:cs="Times New Roman"/>
          <w:sz w:val="20"/>
          <w:szCs w:val="20"/>
        </w:rPr>
        <w:t>) will thus be improved and fully integrated with the allocation formula on a continuous scale where incentives are kept on all levels of performance, on a scale between 0</w:t>
      </w:r>
      <w:r w:rsidR="00A26D53" w:rsidRPr="00F7263B">
        <w:rPr>
          <w:rFonts w:cs="Times New Roman"/>
          <w:sz w:val="20"/>
          <w:szCs w:val="20"/>
        </w:rPr>
        <w:t>–</w:t>
      </w:r>
      <w:r w:rsidRPr="00F7263B">
        <w:rPr>
          <w:rFonts w:cs="Times New Roman"/>
          <w:sz w:val="20"/>
          <w:szCs w:val="20"/>
        </w:rPr>
        <w:t>100.</w:t>
      </w:r>
    </w:p>
    <w:p w:rsidR="00AB72CB" w:rsidRPr="00F7263B" w:rsidRDefault="00AB72CB" w:rsidP="00AB72CB">
      <w:pPr>
        <w:pStyle w:val="ListParagraph"/>
        <w:ind w:left="0"/>
        <w:rPr>
          <w:rFonts w:cs="Times New Roman"/>
          <w:sz w:val="20"/>
          <w:szCs w:val="20"/>
        </w:rPr>
      </w:pPr>
    </w:p>
    <w:p w:rsidR="006E7278" w:rsidRPr="00F7263B" w:rsidRDefault="00AB72CB" w:rsidP="00E9566D">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Disbursements of Program funds from IDA to government</w:t>
      </w:r>
      <w:r w:rsidR="005B1287" w:rsidRPr="00F7263B">
        <w:rPr>
          <w:rFonts w:cs="Times New Roman"/>
          <w:sz w:val="20"/>
          <w:szCs w:val="20"/>
        </w:rPr>
        <w:t xml:space="preserve"> will be once a year.  Disbursements</w:t>
      </w:r>
      <w:r w:rsidRPr="00F7263B">
        <w:rPr>
          <w:rFonts w:cs="Times New Roman"/>
          <w:sz w:val="20"/>
          <w:szCs w:val="20"/>
        </w:rPr>
        <w:t xml:space="preserve"> from </w:t>
      </w:r>
      <w:r w:rsidR="005B1287" w:rsidRPr="00F7263B">
        <w:rPr>
          <w:rFonts w:cs="Times New Roman"/>
          <w:sz w:val="20"/>
          <w:szCs w:val="20"/>
        </w:rPr>
        <w:t>MoFED</w:t>
      </w:r>
      <w:r w:rsidRPr="00F7263B">
        <w:rPr>
          <w:rFonts w:cs="Times New Roman"/>
          <w:sz w:val="20"/>
          <w:szCs w:val="20"/>
        </w:rPr>
        <w:t xml:space="preserve">to </w:t>
      </w:r>
      <w:r w:rsidR="005B1287" w:rsidRPr="00F7263B">
        <w:rPr>
          <w:rFonts w:cs="Times New Roman"/>
          <w:sz w:val="20"/>
          <w:szCs w:val="20"/>
        </w:rPr>
        <w:t xml:space="preserve">BoFED, and from BoFEDs to OFEDs will be twice a year, </w:t>
      </w:r>
      <w:r w:rsidRPr="00F7263B">
        <w:rPr>
          <w:rFonts w:cs="Times New Roman"/>
          <w:sz w:val="20"/>
          <w:szCs w:val="20"/>
        </w:rPr>
        <w:t xml:space="preserve">based on the results </w:t>
      </w:r>
      <w:r w:rsidR="005B1287" w:rsidRPr="00F7263B">
        <w:rPr>
          <w:rFonts w:cs="Times New Roman"/>
          <w:sz w:val="20"/>
          <w:szCs w:val="20"/>
        </w:rPr>
        <w:t>of the APA</w:t>
      </w:r>
      <w:r w:rsidRPr="00F7263B">
        <w:rPr>
          <w:rFonts w:cs="Times New Roman"/>
          <w:sz w:val="20"/>
          <w:szCs w:val="20"/>
        </w:rPr>
        <w:t xml:space="preserve"> (flows to ULGs will be in the beginning of </w:t>
      </w:r>
      <w:r w:rsidR="005B1287" w:rsidRPr="00F7263B">
        <w:rPr>
          <w:rFonts w:cs="Times New Roman"/>
          <w:sz w:val="20"/>
          <w:szCs w:val="20"/>
        </w:rPr>
        <w:t>July</w:t>
      </w:r>
      <w:r w:rsidRPr="00F7263B">
        <w:rPr>
          <w:rFonts w:cs="Times New Roman"/>
          <w:sz w:val="20"/>
          <w:szCs w:val="20"/>
        </w:rPr>
        <w:t>and January of each year)</w:t>
      </w:r>
      <w:r w:rsidR="00C032F5" w:rsidRPr="00F7263B">
        <w:rPr>
          <w:rFonts w:cs="Times New Roman"/>
          <w:sz w:val="20"/>
          <w:szCs w:val="20"/>
        </w:rPr>
        <w:t>.</w:t>
      </w:r>
      <w:r w:rsidR="005B1287" w:rsidRPr="00F7263B">
        <w:rPr>
          <w:rStyle w:val="FootnoteReference"/>
          <w:rFonts w:cs="Times New Roman"/>
          <w:sz w:val="20"/>
          <w:szCs w:val="20"/>
        </w:rPr>
        <w:footnoteReference w:id="48"/>
      </w:r>
      <w:r w:rsidRPr="00F7263B">
        <w:rPr>
          <w:rFonts w:cs="Times New Roman"/>
          <w:sz w:val="20"/>
          <w:szCs w:val="20"/>
        </w:rPr>
        <w:t>The annual disbursement amount will be predictable as determined in the APAs</w:t>
      </w:r>
      <w:r w:rsidR="00C032F5" w:rsidRPr="00F7263B">
        <w:rPr>
          <w:rFonts w:cs="Times New Roman"/>
          <w:sz w:val="20"/>
          <w:szCs w:val="20"/>
        </w:rPr>
        <w:t xml:space="preserve">.  </w:t>
      </w:r>
      <w:r w:rsidRPr="00F7263B">
        <w:rPr>
          <w:rFonts w:cs="Times New Roman"/>
          <w:sz w:val="20"/>
          <w:szCs w:val="20"/>
        </w:rPr>
        <w:t>Program funding will be predictable and in full sync with local government budgeting cycle</w:t>
      </w:r>
      <w:r w:rsidR="00C032F5" w:rsidRPr="00F7263B">
        <w:rPr>
          <w:rFonts w:cs="Times New Roman"/>
          <w:sz w:val="20"/>
          <w:szCs w:val="20"/>
        </w:rPr>
        <w:t xml:space="preserve">.  </w:t>
      </w:r>
      <w:r w:rsidRPr="00F7263B">
        <w:rPr>
          <w:rFonts w:cs="Times New Roman"/>
          <w:sz w:val="20"/>
          <w:szCs w:val="20"/>
        </w:rPr>
        <w:t>To ensure predictability, ULGDP indicative plannin</w:t>
      </w:r>
      <w:r w:rsidR="00C032F5" w:rsidRPr="00F7263B">
        <w:rPr>
          <w:rFonts w:cs="Times New Roman"/>
          <w:sz w:val="20"/>
          <w:szCs w:val="20"/>
        </w:rPr>
        <w:t xml:space="preserve">g figures </w:t>
      </w:r>
      <w:r w:rsidRPr="00F7263B">
        <w:rPr>
          <w:rFonts w:cs="Times New Roman"/>
          <w:sz w:val="20"/>
          <w:szCs w:val="20"/>
        </w:rPr>
        <w:t xml:space="preserve">will be shared with ULGs and </w:t>
      </w:r>
      <w:r w:rsidR="00BD1B5F" w:rsidRPr="00F7263B">
        <w:rPr>
          <w:rFonts w:cs="Times New Roman"/>
          <w:sz w:val="20"/>
          <w:szCs w:val="20"/>
        </w:rPr>
        <w:t>regional government</w:t>
      </w:r>
      <w:r w:rsidRPr="00F7263B">
        <w:rPr>
          <w:rFonts w:cs="Times New Roman"/>
          <w:sz w:val="20"/>
          <w:szCs w:val="20"/>
        </w:rPr>
        <w:t xml:space="preserve">s the entire period, although actual annual disbursements will be based on performance </w:t>
      </w:r>
      <w:r w:rsidRPr="00F7263B">
        <w:rPr>
          <w:rFonts w:cs="Times New Roman"/>
          <w:sz w:val="20"/>
          <w:szCs w:val="20"/>
        </w:rPr>
        <w:lastRenderedPageBreak/>
        <w:t>assessment results and compliance with the DLIs</w:t>
      </w:r>
      <w:r w:rsidR="00C032F5" w:rsidRPr="00F7263B">
        <w:rPr>
          <w:rFonts w:cs="Times New Roman"/>
          <w:sz w:val="20"/>
          <w:szCs w:val="20"/>
        </w:rPr>
        <w:t xml:space="preserve">.  </w:t>
      </w:r>
      <w:r w:rsidRPr="00F7263B">
        <w:rPr>
          <w:rFonts w:cs="Times New Roman"/>
          <w:sz w:val="20"/>
          <w:szCs w:val="20"/>
        </w:rPr>
        <w:t>Like the current ULGDP, the Program funds will be protected from any budget cuts</w:t>
      </w:r>
      <w:r w:rsidR="00C032F5" w:rsidRPr="00F7263B">
        <w:rPr>
          <w:rFonts w:cs="Times New Roman"/>
          <w:sz w:val="20"/>
          <w:szCs w:val="20"/>
        </w:rPr>
        <w:t xml:space="preserve">.  </w:t>
      </w:r>
      <w:r w:rsidRPr="00F7263B">
        <w:rPr>
          <w:rFonts w:cs="Times New Roman"/>
          <w:sz w:val="20"/>
          <w:szCs w:val="20"/>
        </w:rPr>
        <w:t xml:space="preserve">Cities will be informed about their actual disbursement for the following </w:t>
      </w:r>
      <w:r w:rsidR="00A26D53" w:rsidRPr="00F7263B">
        <w:rPr>
          <w:rFonts w:cs="Times New Roman"/>
          <w:sz w:val="20"/>
          <w:szCs w:val="20"/>
        </w:rPr>
        <w:t>fiscal year</w:t>
      </w:r>
      <w:r w:rsidRPr="00F7263B">
        <w:rPr>
          <w:rFonts w:cs="Times New Roman"/>
          <w:sz w:val="20"/>
          <w:szCs w:val="20"/>
        </w:rPr>
        <w:t xml:space="preserve"> in Nov</w:t>
      </w:r>
      <w:r w:rsidR="00A26D53" w:rsidRPr="00F7263B">
        <w:rPr>
          <w:rFonts w:cs="Times New Roman"/>
          <w:sz w:val="20"/>
          <w:szCs w:val="20"/>
        </w:rPr>
        <w:t>ember</w:t>
      </w:r>
      <w:r w:rsidRPr="00F7263B">
        <w:rPr>
          <w:rFonts w:cs="Times New Roman"/>
          <w:sz w:val="20"/>
          <w:szCs w:val="20"/>
        </w:rPr>
        <w:t>/Dec</w:t>
      </w:r>
      <w:r w:rsidR="00A26D53" w:rsidRPr="00F7263B">
        <w:rPr>
          <w:rFonts w:cs="Times New Roman"/>
          <w:sz w:val="20"/>
          <w:szCs w:val="20"/>
        </w:rPr>
        <w:t>ember</w:t>
      </w:r>
      <w:r w:rsidR="00E7593E" w:rsidRPr="00F7263B">
        <w:rPr>
          <w:rFonts w:cs="Times New Roman"/>
          <w:sz w:val="20"/>
          <w:szCs w:val="20"/>
        </w:rPr>
        <w:t xml:space="preserve"> (with final confirmation in January)</w:t>
      </w:r>
      <w:r w:rsidRPr="00F7263B">
        <w:rPr>
          <w:rFonts w:cs="Times New Roman"/>
          <w:sz w:val="20"/>
          <w:szCs w:val="20"/>
        </w:rPr>
        <w:t xml:space="preserve"> of each year, immediately after the assessment exercise, so as to give the ULGs ample time for their planning and budgeting process which is completed in May of each year</w:t>
      </w:r>
      <w:r w:rsidR="00E7593E" w:rsidRPr="00F7263B">
        <w:rPr>
          <w:rFonts w:cs="Times New Roman"/>
          <w:sz w:val="20"/>
          <w:szCs w:val="20"/>
        </w:rPr>
        <w:t xml:space="preserve"> prior to the </w:t>
      </w:r>
      <w:r w:rsidR="005B1287" w:rsidRPr="00F7263B">
        <w:rPr>
          <w:rFonts w:cs="Times New Roman"/>
          <w:sz w:val="20"/>
          <w:szCs w:val="20"/>
        </w:rPr>
        <w:t xml:space="preserve">financial year </w:t>
      </w:r>
      <w:r w:rsidR="00E7593E" w:rsidRPr="00F7263B">
        <w:rPr>
          <w:rFonts w:cs="Times New Roman"/>
          <w:sz w:val="20"/>
          <w:szCs w:val="20"/>
        </w:rPr>
        <w:t>where disbursements take place</w:t>
      </w:r>
      <w:r w:rsidRPr="00F7263B">
        <w:rPr>
          <w:rFonts w:cs="Times New Roman"/>
          <w:sz w:val="20"/>
          <w:szCs w:val="20"/>
        </w:rPr>
        <w:t>.</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The current ULGDP is included in the national budget and it is proclaimed at the federal level under revenue and expenditures for </w:t>
      </w:r>
      <w:r w:rsidR="00276BC8" w:rsidRPr="00F7263B">
        <w:rPr>
          <w:rFonts w:cs="Times New Roman"/>
          <w:sz w:val="20"/>
          <w:szCs w:val="20"/>
        </w:rPr>
        <w:t>MUDHCo</w:t>
      </w:r>
      <w:r w:rsidR="00C032F5" w:rsidRPr="00F7263B">
        <w:rPr>
          <w:rFonts w:cs="Times New Roman"/>
          <w:sz w:val="20"/>
          <w:szCs w:val="20"/>
        </w:rPr>
        <w:t xml:space="preserve">.  </w:t>
      </w:r>
      <w:r w:rsidRPr="00F7263B">
        <w:rPr>
          <w:rFonts w:cs="Times New Roman"/>
          <w:sz w:val="20"/>
          <w:szCs w:val="20"/>
        </w:rPr>
        <w:t xml:space="preserve">To ensure that the reporting of the Program expenditures are integrated into the national </w:t>
      </w:r>
      <w:r w:rsidR="00A26D53" w:rsidRPr="00F7263B">
        <w:rPr>
          <w:rFonts w:cs="Times New Roman"/>
          <w:sz w:val="20"/>
          <w:szCs w:val="20"/>
        </w:rPr>
        <w:t>public financial management</w:t>
      </w:r>
      <w:r w:rsidRPr="00F7263B">
        <w:rPr>
          <w:rFonts w:cs="Times New Roman"/>
          <w:sz w:val="20"/>
          <w:szCs w:val="20"/>
        </w:rPr>
        <w:t xml:space="preserve"> system codes will be established in the charts of accounts for regions and cities</w:t>
      </w:r>
      <w:r w:rsidR="00C032F5" w:rsidRPr="00F7263B">
        <w:rPr>
          <w:rFonts w:cs="Times New Roman"/>
          <w:sz w:val="20"/>
          <w:szCs w:val="20"/>
        </w:rPr>
        <w:t xml:space="preserve">.  </w:t>
      </w:r>
      <w:r w:rsidRPr="00F7263B">
        <w:rPr>
          <w:rFonts w:cs="Times New Roman"/>
          <w:sz w:val="20"/>
          <w:szCs w:val="20"/>
        </w:rPr>
        <w:t xml:space="preserve">This will bring greater ease in accounting for expenditure from the Program, consolidating aggregate ULG figures and strengthening the use of the national </w:t>
      </w:r>
      <w:r w:rsidR="00A26D53" w:rsidRPr="00F7263B">
        <w:rPr>
          <w:rFonts w:cs="Times New Roman"/>
          <w:sz w:val="20"/>
          <w:szCs w:val="20"/>
        </w:rPr>
        <w:t>public financial management</w:t>
      </w:r>
      <w:r w:rsidRPr="00F7263B">
        <w:rPr>
          <w:rFonts w:cs="Times New Roman"/>
          <w:sz w:val="20"/>
          <w:szCs w:val="20"/>
        </w:rPr>
        <w:t xml:space="preserve"> system, IBEX</w:t>
      </w:r>
      <w:r w:rsidR="00C032F5" w:rsidRPr="00F7263B">
        <w:rPr>
          <w:rFonts w:cs="Times New Roman"/>
          <w:sz w:val="20"/>
          <w:szCs w:val="20"/>
        </w:rPr>
        <w:t xml:space="preserve">.  </w:t>
      </w:r>
      <w:r w:rsidRPr="00F7263B">
        <w:rPr>
          <w:rFonts w:cs="Times New Roman"/>
          <w:sz w:val="20"/>
          <w:szCs w:val="20"/>
        </w:rPr>
        <w:t xml:space="preserve">Ethiopia has a well-developed budget classification and charts of accounts, which the Program will make use of, and few additional codes will be established for the main expenditure items in the </w:t>
      </w:r>
      <w:r w:rsidR="00830508" w:rsidRPr="00F7263B">
        <w:rPr>
          <w:rFonts w:cs="Times New Roman"/>
          <w:sz w:val="20"/>
          <w:szCs w:val="20"/>
        </w:rPr>
        <w:t>government’s charts of a</w:t>
      </w:r>
      <w:r w:rsidRPr="00F7263B">
        <w:rPr>
          <w:rFonts w:cs="Times New Roman"/>
          <w:sz w:val="20"/>
          <w:szCs w:val="20"/>
        </w:rPr>
        <w:t>ccounts</w:t>
      </w:r>
      <w:r w:rsidR="00C032F5" w:rsidRPr="00F7263B">
        <w:rPr>
          <w:rFonts w:cs="Times New Roman"/>
          <w:sz w:val="20"/>
          <w:szCs w:val="20"/>
        </w:rPr>
        <w:t xml:space="preserve">.  </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Program grants (performance</w:t>
      </w:r>
      <w:r w:rsidR="00E7593E" w:rsidRPr="00F7263B">
        <w:rPr>
          <w:rFonts w:cs="Times New Roman"/>
          <w:sz w:val="20"/>
          <w:szCs w:val="20"/>
        </w:rPr>
        <w:t>-</w:t>
      </w:r>
      <w:r w:rsidRPr="00F7263B">
        <w:rPr>
          <w:rFonts w:cs="Times New Roman"/>
          <w:sz w:val="20"/>
          <w:szCs w:val="20"/>
        </w:rPr>
        <w:t xml:space="preserve">based capital grants and capacity building funds) are to be seen as specific purpose grants in the </w:t>
      </w:r>
      <w:r w:rsidR="00830508" w:rsidRPr="00F7263B">
        <w:rPr>
          <w:rFonts w:cs="Times New Roman"/>
          <w:sz w:val="20"/>
          <w:szCs w:val="20"/>
        </w:rPr>
        <w:t>government’sf</w:t>
      </w:r>
      <w:r w:rsidRPr="00F7263B">
        <w:rPr>
          <w:rFonts w:cs="Times New Roman"/>
          <w:sz w:val="20"/>
          <w:szCs w:val="20"/>
        </w:rPr>
        <w:t xml:space="preserve">iscal </w:t>
      </w:r>
      <w:r w:rsidR="00830508" w:rsidRPr="00F7263B">
        <w:rPr>
          <w:rFonts w:cs="Times New Roman"/>
          <w:sz w:val="20"/>
          <w:szCs w:val="20"/>
        </w:rPr>
        <w:t>d</w:t>
      </w:r>
      <w:r w:rsidRPr="00F7263B">
        <w:rPr>
          <w:rFonts w:cs="Times New Roman"/>
          <w:sz w:val="20"/>
          <w:szCs w:val="20"/>
        </w:rPr>
        <w:t>ecentrali</w:t>
      </w:r>
      <w:r w:rsidR="00830508" w:rsidRPr="00F7263B">
        <w:rPr>
          <w:rFonts w:cs="Times New Roman"/>
          <w:sz w:val="20"/>
          <w:szCs w:val="20"/>
        </w:rPr>
        <w:t>z</w:t>
      </w:r>
      <w:r w:rsidRPr="00F7263B">
        <w:rPr>
          <w:rFonts w:cs="Times New Roman"/>
          <w:sz w:val="20"/>
          <w:szCs w:val="20"/>
        </w:rPr>
        <w:t xml:space="preserve">ation </w:t>
      </w:r>
      <w:r w:rsidR="00830508" w:rsidRPr="00F7263B">
        <w:rPr>
          <w:rFonts w:cs="Times New Roman"/>
          <w:sz w:val="20"/>
          <w:szCs w:val="20"/>
        </w:rPr>
        <w:t>s</w:t>
      </w:r>
      <w:r w:rsidRPr="00F7263B">
        <w:rPr>
          <w:rFonts w:cs="Times New Roman"/>
          <w:sz w:val="20"/>
          <w:szCs w:val="20"/>
        </w:rPr>
        <w:t>trategy 2004</w:t>
      </w:r>
      <w:r w:rsidR="00830508" w:rsidRPr="00F7263B">
        <w:rPr>
          <w:rFonts w:cs="Times New Roman"/>
          <w:sz w:val="20"/>
          <w:szCs w:val="20"/>
        </w:rPr>
        <w:t>,</w:t>
      </w:r>
      <w:r w:rsidRPr="00F7263B">
        <w:rPr>
          <w:rFonts w:cs="Times New Roman"/>
          <w:sz w:val="20"/>
          <w:szCs w:val="20"/>
        </w:rPr>
        <w:t xml:space="preserve"> and will target specific outcomes in terms institutional improvements and infrastructure and service delivery, although these are not </w:t>
      </w:r>
      <w:r w:rsidRPr="00F7263B">
        <w:rPr>
          <w:rFonts w:cs="Times New Roman"/>
          <w:i/>
          <w:sz w:val="20"/>
          <w:szCs w:val="20"/>
        </w:rPr>
        <w:t>sector</w:t>
      </w:r>
      <w:r w:rsidRPr="00F7263B">
        <w:rPr>
          <w:rFonts w:cs="Times New Roman"/>
          <w:sz w:val="20"/>
          <w:szCs w:val="20"/>
        </w:rPr>
        <w:t xml:space="preserve"> specific, but multi-sectoral reflecting the needs for urban development across sectors</w:t>
      </w:r>
      <w:r w:rsidR="00C032F5" w:rsidRPr="00F7263B">
        <w:rPr>
          <w:rFonts w:cs="Times New Roman"/>
          <w:sz w:val="20"/>
          <w:szCs w:val="20"/>
        </w:rPr>
        <w:t xml:space="preserve">.  </w:t>
      </w:r>
      <w:r w:rsidRPr="00F7263B">
        <w:rPr>
          <w:rFonts w:cs="Times New Roman"/>
          <w:sz w:val="20"/>
          <w:szCs w:val="20"/>
        </w:rPr>
        <w:t>It will promote the future roll out of support to ULGs as a genuine part of the intergovernmental fiscal framework</w:t>
      </w:r>
      <w:r w:rsidR="00C032F5" w:rsidRPr="00F7263B">
        <w:rPr>
          <w:rFonts w:cs="Times New Roman"/>
          <w:sz w:val="20"/>
          <w:szCs w:val="20"/>
        </w:rPr>
        <w:t xml:space="preserve">.  </w:t>
      </w:r>
    </w:p>
    <w:p w:rsidR="00AB72CB" w:rsidRPr="00F7263B" w:rsidRDefault="00AB72CB" w:rsidP="00AB72CB">
      <w:pPr>
        <w:pStyle w:val="ListParagraph"/>
        <w:ind w:left="0"/>
        <w:rPr>
          <w:rFonts w:cs="Times New Roman"/>
          <w:color w:val="000000"/>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color w:val="000000"/>
          <w:sz w:val="20"/>
          <w:szCs w:val="20"/>
        </w:rPr>
        <w:t xml:space="preserve">As explained </w:t>
      </w:r>
      <w:r w:rsidR="005B1287" w:rsidRPr="00F7263B">
        <w:rPr>
          <w:rFonts w:cs="Times New Roman"/>
          <w:color w:val="000000"/>
          <w:sz w:val="20"/>
          <w:szCs w:val="20"/>
        </w:rPr>
        <w:t>above</w:t>
      </w:r>
      <w:r w:rsidRPr="00F7263B">
        <w:rPr>
          <w:rFonts w:cs="Times New Roman"/>
          <w:color w:val="000000"/>
          <w:sz w:val="20"/>
          <w:szCs w:val="20"/>
        </w:rPr>
        <w:t xml:space="preserve">, ULGDP </w:t>
      </w:r>
      <w:r w:rsidR="00D0377C" w:rsidRPr="00F7263B">
        <w:rPr>
          <w:rFonts w:cs="Times New Roman"/>
          <w:color w:val="000000"/>
          <w:sz w:val="20"/>
          <w:szCs w:val="20"/>
        </w:rPr>
        <w:t>performance-based</w:t>
      </w:r>
      <w:r w:rsidR="00BA6589" w:rsidRPr="00F7263B">
        <w:rPr>
          <w:rFonts w:cs="Times New Roman"/>
          <w:color w:val="000000"/>
          <w:sz w:val="20"/>
          <w:szCs w:val="20"/>
        </w:rPr>
        <w:t xml:space="preserve"> grant</w:t>
      </w:r>
      <w:r w:rsidRPr="00F7263B">
        <w:rPr>
          <w:rFonts w:cs="Times New Roman"/>
          <w:color w:val="000000"/>
          <w:sz w:val="20"/>
          <w:szCs w:val="20"/>
        </w:rPr>
        <w:t xml:space="preserve"> will have indicative allocations </w:t>
      </w:r>
      <w:r w:rsidR="00500C71" w:rsidRPr="00F7263B">
        <w:rPr>
          <w:rFonts w:cs="Times New Roman"/>
          <w:color w:val="000000"/>
          <w:sz w:val="20"/>
          <w:szCs w:val="20"/>
        </w:rPr>
        <w:t>(</w:t>
      </w:r>
      <w:r w:rsidRPr="00F7263B">
        <w:rPr>
          <w:rFonts w:cs="Times New Roman"/>
          <w:color w:val="000000"/>
          <w:sz w:val="20"/>
          <w:szCs w:val="20"/>
        </w:rPr>
        <w:t xml:space="preserve">see </w:t>
      </w:r>
      <w:r w:rsidR="00500C71" w:rsidRPr="00F7263B">
        <w:rPr>
          <w:rFonts w:cs="Times New Roman"/>
          <w:color w:val="000000"/>
          <w:sz w:val="20"/>
          <w:szCs w:val="20"/>
        </w:rPr>
        <w:t>a</w:t>
      </w:r>
      <w:r w:rsidRPr="00F7263B">
        <w:rPr>
          <w:rFonts w:cs="Times New Roman"/>
          <w:color w:val="000000"/>
          <w:sz w:val="20"/>
          <w:szCs w:val="20"/>
        </w:rPr>
        <w:t>nnex 3 for detailed amounts per each Program ULG</w:t>
      </w:r>
      <w:r w:rsidR="00500C71" w:rsidRPr="00F7263B">
        <w:rPr>
          <w:rFonts w:cs="Times New Roman"/>
          <w:color w:val="000000"/>
          <w:sz w:val="20"/>
          <w:szCs w:val="20"/>
        </w:rPr>
        <w:t>)</w:t>
      </w:r>
      <w:r w:rsidR="00C032F5" w:rsidRPr="00F7263B">
        <w:rPr>
          <w:rFonts w:cs="Times New Roman"/>
          <w:color w:val="000000"/>
          <w:sz w:val="20"/>
          <w:szCs w:val="20"/>
        </w:rPr>
        <w:t xml:space="preserve">.  </w:t>
      </w:r>
      <w:r w:rsidRPr="00F7263B">
        <w:rPr>
          <w:rFonts w:cs="Times New Roman"/>
          <w:color w:val="000000"/>
          <w:sz w:val="20"/>
          <w:szCs w:val="20"/>
        </w:rPr>
        <w:t>The actual annual disbursement to a given local government will depend on that local government’s performance as determined by the annual performance assessments</w:t>
      </w:r>
      <w:r w:rsidR="00C032F5" w:rsidRPr="00F7263B">
        <w:rPr>
          <w:rFonts w:cs="Times New Roman"/>
          <w:color w:val="000000"/>
          <w:sz w:val="20"/>
          <w:szCs w:val="20"/>
        </w:rPr>
        <w:t xml:space="preserve">.  </w:t>
      </w:r>
      <w:r w:rsidRPr="00F7263B">
        <w:rPr>
          <w:rFonts w:cs="Times New Roman"/>
          <w:color w:val="000000"/>
          <w:sz w:val="20"/>
          <w:szCs w:val="20"/>
        </w:rPr>
        <w:t>The graph below shows the typical range of per capita disbursement depending on the performance of a ULG against the average performance (in this example set as 60 points on a scale from 0</w:t>
      </w:r>
      <w:r w:rsidR="005B1287" w:rsidRPr="00F7263B">
        <w:rPr>
          <w:rFonts w:cs="Times New Roman"/>
          <w:color w:val="000000"/>
          <w:sz w:val="20"/>
          <w:szCs w:val="20"/>
        </w:rPr>
        <w:t>–</w:t>
      </w:r>
      <w:r w:rsidRPr="00F7263B">
        <w:rPr>
          <w:rFonts w:cs="Times New Roman"/>
          <w:color w:val="000000"/>
          <w:sz w:val="20"/>
          <w:szCs w:val="20"/>
        </w:rPr>
        <w:t>100), and the allocation is the first 2014/</w:t>
      </w:r>
      <w:r w:rsidR="00500C71" w:rsidRPr="00F7263B">
        <w:rPr>
          <w:rFonts w:cs="Times New Roman"/>
          <w:color w:val="000000"/>
          <w:sz w:val="20"/>
          <w:szCs w:val="20"/>
        </w:rPr>
        <w:t>15 with an average of US$</w:t>
      </w:r>
      <w:r w:rsidRPr="00F7263B">
        <w:rPr>
          <w:rFonts w:cs="Times New Roman"/>
          <w:color w:val="000000"/>
          <w:sz w:val="20"/>
          <w:szCs w:val="20"/>
        </w:rPr>
        <w:t>1</w:t>
      </w:r>
      <w:r w:rsidR="004F1BFB" w:rsidRPr="00F7263B">
        <w:rPr>
          <w:rFonts w:cs="Times New Roman"/>
          <w:color w:val="000000"/>
          <w:sz w:val="20"/>
          <w:szCs w:val="20"/>
        </w:rPr>
        <w:t>5.69</w:t>
      </w:r>
      <w:r w:rsidRPr="00F7263B">
        <w:rPr>
          <w:rFonts w:cs="Times New Roman"/>
          <w:color w:val="000000"/>
          <w:sz w:val="20"/>
          <w:szCs w:val="20"/>
        </w:rPr>
        <w:t xml:space="preserve"> per capita (for the existing ULGDP ULGs), and with examples of what average performance scores on the three ULG performance-related DLIs will result in</w:t>
      </w:r>
      <w:r w:rsidR="00C032F5" w:rsidRPr="00F7263B">
        <w:rPr>
          <w:rFonts w:cs="Times New Roman"/>
          <w:color w:val="000000"/>
          <w:sz w:val="20"/>
          <w:szCs w:val="20"/>
        </w:rPr>
        <w:t xml:space="preserve">.  </w:t>
      </w:r>
      <w:r w:rsidRPr="00F7263B">
        <w:rPr>
          <w:rFonts w:cs="Times New Roman"/>
          <w:color w:val="000000"/>
          <w:sz w:val="20"/>
          <w:szCs w:val="20"/>
        </w:rPr>
        <w:t xml:space="preserve">New 26 Program ULGs will only get access to the DLI </w:t>
      </w:r>
      <w:r w:rsidR="005B1287" w:rsidRPr="00F7263B">
        <w:rPr>
          <w:rFonts w:cs="Times New Roman"/>
          <w:color w:val="000000"/>
          <w:sz w:val="20"/>
          <w:szCs w:val="20"/>
        </w:rPr>
        <w:t>1</w:t>
      </w:r>
      <w:r w:rsidRPr="00F7263B">
        <w:rPr>
          <w:rFonts w:cs="Times New Roman"/>
          <w:color w:val="000000"/>
          <w:sz w:val="20"/>
          <w:szCs w:val="20"/>
        </w:rPr>
        <w:t xml:space="preserve">, the </w:t>
      </w:r>
      <w:r w:rsidR="00D81609" w:rsidRPr="00F7263B">
        <w:rPr>
          <w:rFonts w:cs="Times New Roman"/>
          <w:color w:val="000000"/>
          <w:sz w:val="20"/>
          <w:szCs w:val="20"/>
        </w:rPr>
        <w:t>minimum condition</w:t>
      </w:r>
      <w:r w:rsidRPr="00F7263B">
        <w:rPr>
          <w:rFonts w:cs="Times New Roman"/>
          <w:color w:val="000000"/>
          <w:sz w:val="20"/>
          <w:szCs w:val="20"/>
        </w:rPr>
        <w:t xml:space="preserve"> linked allocations in the first Program year, to ensure that they gradually build up the capacity to handle and absorb funds</w:t>
      </w:r>
      <w:r w:rsidR="00C032F5" w:rsidRPr="00F7263B">
        <w:rPr>
          <w:rFonts w:cs="Times New Roman"/>
          <w:color w:val="000000"/>
          <w:sz w:val="20"/>
          <w:szCs w:val="20"/>
        </w:rPr>
        <w:t xml:space="preserve">.  </w:t>
      </w:r>
      <w:r w:rsidRPr="00F7263B">
        <w:rPr>
          <w:rFonts w:cs="Times New Roman"/>
          <w:color w:val="000000"/>
          <w:sz w:val="20"/>
          <w:szCs w:val="20"/>
        </w:rPr>
        <w:t>The allocation will ra</w:t>
      </w:r>
      <w:r w:rsidR="00500C71" w:rsidRPr="00F7263B">
        <w:rPr>
          <w:rFonts w:cs="Times New Roman"/>
          <w:color w:val="000000"/>
          <w:sz w:val="20"/>
          <w:szCs w:val="20"/>
        </w:rPr>
        <w:t>nge between non-compliance (US$</w:t>
      </w:r>
      <w:r w:rsidRPr="00F7263B">
        <w:rPr>
          <w:rFonts w:cs="Times New Roman"/>
          <w:color w:val="000000"/>
          <w:sz w:val="20"/>
          <w:szCs w:val="20"/>
        </w:rPr>
        <w:t xml:space="preserve">0), compliance with the </w:t>
      </w:r>
      <w:r w:rsidR="00913A93" w:rsidRPr="00F7263B">
        <w:rPr>
          <w:rFonts w:cs="Times New Roman"/>
          <w:color w:val="000000"/>
          <w:sz w:val="20"/>
          <w:szCs w:val="20"/>
        </w:rPr>
        <w:t>minimum conditions</w:t>
      </w:r>
      <w:r w:rsidRPr="00F7263B">
        <w:rPr>
          <w:rFonts w:cs="Times New Roman"/>
          <w:color w:val="000000"/>
          <w:sz w:val="20"/>
          <w:szCs w:val="20"/>
        </w:rPr>
        <w:t xml:space="preserve"> (only US$</w:t>
      </w:r>
      <w:r w:rsidR="00500C71" w:rsidRPr="00F7263B">
        <w:rPr>
          <w:rFonts w:cs="Times New Roman"/>
          <w:color w:val="000000"/>
          <w:sz w:val="20"/>
          <w:szCs w:val="20"/>
        </w:rPr>
        <w:t>4.14</w:t>
      </w:r>
      <w:r w:rsidRPr="00F7263B">
        <w:rPr>
          <w:rFonts w:cs="Times New Roman"/>
          <w:color w:val="000000"/>
          <w:sz w:val="20"/>
          <w:szCs w:val="20"/>
        </w:rPr>
        <w:t>), and top performance US$2</w:t>
      </w:r>
      <w:r w:rsidR="004F1BFB" w:rsidRPr="00F7263B">
        <w:rPr>
          <w:rFonts w:cs="Times New Roman"/>
          <w:color w:val="000000"/>
          <w:sz w:val="20"/>
          <w:szCs w:val="20"/>
        </w:rPr>
        <w:t>2</w:t>
      </w:r>
      <w:r w:rsidRPr="00F7263B">
        <w:rPr>
          <w:rFonts w:cs="Times New Roman"/>
          <w:color w:val="000000"/>
          <w:sz w:val="20"/>
          <w:szCs w:val="20"/>
        </w:rPr>
        <w:t>.</w:t>
      </w:r>
      <w:r w:rsidR="004F1BFB" w:rsidRPr="00F7263B">
        <w:rPr>
          <w:rFonts w:cs="Times New Roman"/>
          <w:color w:val="000000"/>
          <w:sz w:val="20"/>
          <w:szCs w:val="20"/>
        </w:rPr>
        <w:t>8</w:t>
      </w:r>
      <w:r w:rsidRPr="00F7263B">
        <w:rPr>
          <w:rFonts w:cs="Times New Roman"/>
          <w:color w:val="000000"/>
          <w:sz w:val="20"/>
          <w:szCs w:val="20"/>
        </w:rPr>
        <w:t xml:space="preserve"> per capita</w:t>
      </w:r>
      <w:r w:rsidR="00017A8D" w:rsidRPr="00F7263B">
        <w:rPr>
          <w:rFonts w:cs="Times New Roman"/>
          <w:color w:val="000000"/>
          <w:sz w:val="20"/>
          <w:szCs w:val="20"/>
        </w:rPr>
        <w:t xml:space="preserve"> for 2014/15</w:t>
      </w:r>
      <w:r w:rsidR="00C032F5" w:rsidRPr="00F7263B">
        <w:rPr>
          <w:rFonts w:cs="Times New Roman"/>
          <w:color w:val="000000"/>
          <w:sz w:val="20"/>
          <w:szCs w:val="20"/>
        </w:rPr>
        <w:t xml:space="preserve">.  </w:t>
      </w:r>
      <w:r w:rsidRPr="00F7263B">
        <w:rPr>
          <w:rFonts w:cs="Times New Roman"/>
          <w:color w:val="000000"/>
          <w:sz w:val="20"/>
          <w:szCs w:val="20"/>
        </w:rPr>
        <w:t>The system is designed in manner where every point has an impact on the allocation</w:t>
      </w:r>
      <w:r w:rsidR="00C032F5" w:rsidRPr="00F7263B">
        <w:rPr>
          <w:rFonts w:cs="Times New Roman"/>
          <w:color w:val="000000"/>
          <w:sz w:val="20"/>
          <w:szCs w:val="20"/>
        </w:rPr>
        <w:t xml:space="preserve">.  </w:t>
      </w:r>
      <w:r w:rsidR="005B1287" w:rsidRPr="00F7263B">
        <w:rPr>
          <w:rFonts w:cs="Times New Roman"/>
          <w:color w:val="000000"/>
          <w:sz w:val="20"/>
          <w:szCs w:val="20"/>
        </w:rPr>
        <w:t>For example,</w:t>
      </w:r>
      <w:r w:rsidR="00017A8D" w:rsidRPr="00F7263B">
        <w:rPr>
          <w:rFonts w:cs="Times New Roman"/>
          <w:color w:val="000000"/>
          <w:sz w:val="20"/>
          <w:szCs w:val="20"/>
        </w:rPr>
        <w:t xml:space="preserve"> an average size ULG with a relatively small increase in</w:t>
      </w:r>
      <w:r w:rsidR="001921B5" w:rsidRPr="00F7263B">
        <w:rPr>
          <w:rFonts w:cs="Times New Roman"/>
          <w:color w:val="000000"/>
          <w:sz w:val="20"/>
          <w:szCs w:val="20"/>
        </w:rPr>
        <w:t xml:space="preserve"> average</w:t>
      </w:r>
      <w:r w:rsidR="00017A8D" w:rsidRPr="00F7263B">
        <w:rPr>
          <w:rFonts w:cs="Times New Roman"/>
          <w:color w:val="000000"/>
          <w:sz w:val="20"/>
          <w:szCs w:val="20"/>
        </w:rPr>
        <w:t xml:space="preserve"> performance on 3 point from 60 to 63 points in 2014/15</w:t>
      </w:r>
      <w:r w:rsidR="004F1BFB" w:rsidRPr="00F7263B">
        <w:rPr>
          <w:rFonts w:cs="Times New Roman"/>
          <w:color w:val="000000"/>
          <w:sz w:val="20"/>
          <w:szCs w:val="20"/>
        </w:rPr>
        <w:t xml:space="preserve"> on DLI 2</w:t>
      </w:r>
      <w:r w:rsidR="00017A8D" w:rsidRPr="00F7263B">
        <w:rPr>
          <w:rFonts w:cs="Times New Roman"/>
          <w:color w:val="000000"/>
          <w:sz w:val="20"/>
          <w:szCs w:val="20"/>
        </w:rPr>
        <w:t xml:space="preserve"> (all other ULGs equal) will receive an extra per capita allocation on</w:t>
      </w:r>
      <w:r w:rsidR="005B1287" w:rsidRPr="00F7263B">
        <w:rPr>
          <w:rFonts w:cs="Times New Roman"/>
          <w:color w:val="000000"/>
          <w:sz w:val="20"/>
          <w:szCs w:val="20"/>
        </w:rPr>
        <w:t>US$</w:t>
      </w:r>
      <w:r w:rsidR="00AC0B7C" w:rsidRPr="00F7263B">
        <w:rPr>
          <w:rFonts w:cs="Times New Roman"/>
          <w:color w:val="000000"/>
          <w:sz w:val="20"/>
          <w:szCs w:val="20"/>
        </w:rPr>
        <w:t>0.</w:t>
      </w:r>
      <w:r w:rsidR="004F1BFB" w:rsidRPr="00F7263B">
        <w:rPr>
          <w:rFonts w:cs="Times New Roman"/>
          <w:color w:val="000000"/>
          <w:sz w:val="20"/>
          <w:szCs w:val="20"/>
        </w:rPr>
        <w:t>4</w:t>
      </w:r>
      <w:r w:rsidR="00AC0B7C" w:rsidRPr="00F7263B">
        <w:rPr>
          <w:rFonts w:cs="Times New Roman"/>
          <w:color w:val="000000"/>
          <w:sz w:val="20"/>
          <w:szCs w:val="20"/>
        </w:rPr>
        <w:t xml:space="preserve"> (3.</w:t>
      </w:r>
      <w:r w:rsidR="005B1287" w:rsidRPr="00F7263B">
        <w:rPr>
          <w:rFonts w:cs="Times New Roman"/>
          <w:color w:val="000000"/>
          <w:sz w:val="20"/>
          <w:szCs w:val="20"/>
        </w:rPr>
        <w:t>6 percent increase</w:t>
      </w:r>
      <w:r w:rsidR="00AC0B7C" w:rsidRPr="00F7263B">
        <w:rPr>
          <w:rFonts w:cs="Times New Roman"/>
          <w:color w:val="000000"/>
          <w:sz w:val="20"/>
          <w:szCs w:val="20"/>
        </w:rPr>
        <w:t xml:space="preserve">) or </w:t>
      </w:r>
      <w:r w:rsidR="005B1287" w:rsidRPr="00F7263B">
        <w:rPr>
          <w:rFonts w:cs="Times New Roman"/>
          <w:color w:val="000000"/>
          <w:sz w:val="20"/>
          <w:szCs w:val="20"/>
        </w:rPr>
        <w:t>US$</w:t>
      </w:r>
      <w:r w:rsidR="004F1BFB" w:rsidRPr="00F7263B">
        <w:rPr>
          <w:rFonts w:cs="Times New Roman"/>
          <w:color w:val="000000"/>
          <w:sz w:val="20"/>
          <w:szCs w:val="20"/>
        </w:rPr>
        <w:t>39</w:t>
      </w:r>
      <w:r w:rsidR="005B1287" w:rsidRPr="00F7263B">
        <w:rPr>
          <w:rFonts w:cs="Times New Roman"/>
          <w:color w:val="000000"/>
          <w:sz w:val="20"/>
          <w:szCs w:val="20"/>
        </w:rPr>
        <w:t>,</w:t>
      </w:r>
      <w:r w:rsidR="004F1BFB" w:rsidRPr="00F7263B">
        <w:rPr>
          <w:rFonts w:cs="Times New Roman"/>
          <w:color w:val="000000"/>
          <w:sz w:val="20"/>
          <w:szCs w:val="20"/>
        </w:rPr>
        <w:t>535</w:t>
      </w:r>
      <w:r w:rsidR="00017A8D" w:rsidRPr="00F7263B">
        <w:rPr>
          <w:rFonts w:cs="Times New Roman"/>
          <w:color w:val="000000"/>
          <w:sz w:val="20"/>
          <w:szCs w:val="20"/>
        </w:rPr>
        <w:t xml:space="preserve">. </w:t>
      </w:r>
    </w:p>
    <w:p w:rsidR="00AB72CB" w:rsidRPr="00F7263B" w:rsidRDefault="00AB72CB" w:rsidP="00AB72CB">
      <w:pPr>
        <w:pStyle w:val="ListParagraph"/>
        <w:tabs>
          <w:tab w:val="left" w:pos="810"/>
        </w:tabs>
        <w:spacing w:before="240" w:after="240"/>
        <w:ind w:left="0"/>
        <w:jc w:val="both"/>
        <w:rPr>
          <w:rFonts w:cs="Times New Roman"/>
          <w:b/>
          <w:i/>
          <w:color w:val="000000"/>
          <w:sz w:val="20"/>
          <w:szCs w:val="20"/>
        </w:rPr>
      </w:pPr>
    </w:p>
    <w:p w:rsidR="00AB72CB" w:rsidRPr="00F7263B" w:rsidRDefault="00AB72CB" w:rsidP="00AB72CB">
      <w:pPr>
        <w:pStyle w:val="ListParagraph"/>
        <w:tabs>
          <w:tab w:val="left" w:pos="810"/>
        </w:tabs>
        <w:spacing w:before="240" w:after="240"/>
        <w:ind w:left="0"/>
        <w:jc w:val="both"/>
        <w:rPr>
          <w:rFonts w:cs="Times New Roman"/>
          <w:b/>
          <w:color w:val="000000"/>
          <w:sz w:val="20"/>
          <w:szCs w:val="20"/>
        </w:rPr>
      </w:pPr>
      <w:r w:rsidRPr="00F7263B">
        <w:rPr>
          <w:rFonts w:cs="Times New Roman"/>
          <w:b/>
          <w:color w:val="000000"/>
          <w:sz w:val="20"/>
          <w:szCs w:val="20"/>
        </w:rPr>
        <w:t>Range of annual per capita allocation for a typical ULG depending on performance on the minimum conditions and performance measures (</w:t>
      </w:r>
      <w:r w:rsidR="005B1287" w:rsidRPr="00F7263B">
        <w:rPr>
          <w:rFonts w:cs="Times New Roman"/>
          <w:b/>
          <w:color w:val="000000"/>
          <w:sz w:val="20"/>
          <w:szCs w:val="20"/>
        </w:rPr>
        <w:t>20</w:t>
      </w:r>
      <w:r w:rsidRPr="00F7263B">
        <w:rPr>
          <w:rFonts w:cs="Times New Roman"/>
          <w:b/>
          <w:color w:val="000000"/>
          <w:sz w:val="20"/>
          <w:szCs w:val="20"/>
        </w:rPr>
        <w:t>15</w:t>
      </w:r>
      <w:r w:rsidR="005B1287" w:rsidRPr="00F7263B">
        <w:rPr>
          <w:rFonts w:cs="Times New Roman"/>
          <w:b/>
          <w:color w:val="000000"/>
          <w:sz w:val="20"/>
          <w:szCs w:val="20"/>
        </w:rPr>
        <w:t>/16</w:t>
      </w:r>
      <w:r w:rsidRPr="00F7263B">
        <w:rPr>
          <w:rFonts w:cs="Times New Roman"/>
          <w:b/>
          <w:color w:val="000000"/>
          <w:sz w:val="20"/>
          <w:szCs w:val="20"/>
        </w:rPr>
        <w:t>)</w:t>
      </w:r>
    </w:p>
    <w:p w:rsidR="00AB72CB" w:rsidRPr="00F7263B" w:rsidRDefault="00AB72CB" w:rsidP="00AB72CB">
      <w:pPr>
        <w:pStyle w:val="ListParagraph"/>
        <w:tabs>
          <w:tab w:val="left" w:pos="810"/>
        </w:tabs>
        <w:spacing w:before="240" w:after="240"/>
        <w:ind w:left="0"/>
        <w:jc w:val="both"/>
        <w:rPr>
          <w:rFonts w:cs="Times New Roman"/>
          <w:b/>
          <w:i/>
          <w:color w:val="000000"/>
          <w:sz w:val="20"/>
          <w:szCs w:val="20"/>
        </w:rPr>
      </w:pPr>
    </w:p>
    <w:p w:rsidR="00AD30E9" w:rsidRPr="00F7263B" w:rsidRDefault="00D90FDF" w:rsidP="00AB72CB">
      <w:pPr>
        <w:pStyle w:val="ListParagraph"/>
        <w:tabs>
          <w:tab w:val="left" w:pos="810"/>
        </w:tabs>
        <w:spacing w:before="240" w:after="240"/>
        <w:ind w:left="0"/>
        <w:jc w:val="both"/>
        <w:rPr>
          <w:rFonts w:cs="Times New Roman"/>
          <w:b/>
          <w:i/>
          <w:color w:val="000000"/>
          <w:sz w:val="20"/>
          <w:szCs w:val="20"/>
        </w:rPr>
      </w:pPr>
      <w:r w:rsidRPr="00F7263B">
        <w:rPr>
          <w:rFonts w:cs="Times New Roman"/>
          <w:b/>
          <w:i/>
          <w:noProof/>
          <w:color w:val="000000"/>
          <w:sz w:val="20"/>
          <w:szCs w:val="20"/>
        </w:rPr>
        <w:lastRenderedPageBreak/>
        <w:drawing>
          <wp:inline distT="0" distB="0" distL="0" distR="0">
            <wp:extent cx="5948680" cy="2948940"/>
            <wp:effectExtent l="25400" t="25400" r="20320" b="0"/>
            <wp:docPr id="5" name="D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72CB" w:rsidRPr="00F7263B" w:rsidRDefault="00AB72CB" w:rsidP="00AB72CB">
      <w:pPr>
        <w:pStyle w:val="ListParagraph"/>
        <w:tabs>
          <w:tab w:val="left" w:pos="810"/>
        </w:tabs>
        <w:spacing w:before="240" w:after="240"/>
        <w:ind w:left="0"/>
        <w:jc w:val="center"/>
        <w:rPr>
          <w:rFonts w:cs="Times New Roman"/>
          <w:b/>
          <w:noProof/>
          <w:color w:val="000000"/>
          <w:sz w:val="20"/>
          <w:szCs w:val="20"/>
          <w:lang w:eastAsia="da-DK"/>
        </w:rPr>
      </w:pPr>
    </w:p>
    <w:p w:rsidR="00AB72CB" w:rsidRPr="00F7263B" w:rsidRDefault="00AB72CB" w:rsidP="00BD3705">
      <w:pPr>
        <w:rPr>
          <w:b/>
          <w:sz w:val="20"/>
          <w:szCs w:val="20"/>
        </w:rPr>
      </w:pPr>
      <w:r w:rsidRPr="00F7263B">
        <w:rPr>
          <w:b/>
          <w:sz w:val="20"/>
          <w:szCs w:val="20"/>
        </w:rPr>
        <w:t xml:space="preserve">Program’s </w:t>
      </w:r>
      <w:r w:rsidR="00BD3705" w:rsidRPr="00F7263B">
        <w:rPr>
          <w:b/>
          <w:sz w:val="20"/>
          <w:szCs w:val="20"/>
        </w:rPr>
        <w:t>r</w:t>
      </w:r>
      <w:r w:rsidRPr="00F7263B">
        <w:rPr>
          <w:b/>
          <w:sz w:val="20"/>
          <w:szCs w:val="20"/>
        </w:rPr>
        <w:t xml:space="preserve">esults </w:t>
      </w:r>
      <w:r w:rsidR="00BD3705" w:rsidRPr="00F7263B">
        <w:rPr>
          <w:b/>
          <w:sz w:val="20"/>
          <w:szCs w:val="20"/>
        </w:rPr>
        <w:t>f</w:t>
      </w:r>
      <w:r w:rsidRPr="00F7263B">
        <w:rPr>
          <w:b/>
          <w:sz w:val="20"/>
          <w:szCs w:val="20"/>
        </w:rPr>
        <w:t xml:space="preserve">ramework and </w:t>
      </w:r>
      <w:r w:rsidR="00BD3705" w:rsidRPr="00F7263B">
        <w:rPr>
          <w:b/>
          <w:sz w:val="20"/>
          <w:szCs w:val="20"/>
        </w:rPr>
        <w:t>m</w:t>
      </w:r>
      <w:r w:rsidRPr="00F7263B">
        <w:rPr>
          <w:b/>
          <w:sz w:val="20"/>
          <w:szCs w:val="20"/>
        </w:rPr>
        <w:t xml:space="preserve">onitoring and </w:t>
      </w:r>
      <w:r w:rsidR="00BD3705" w:rsidRPr="00F7263B">
        <w:rPr>
          <w:b/>
          <w:sz w:val="20"/>
          <w:szCs w:val="20"/>
        </w:rPr>
        <w:t>e</w:t>
      </w:r>
      <w:r w:rsidRPr="00F7263B">
        <w:rPr>
          <w:b/>
          <w:sz w:val="20"/>
          <w:szCs w:val="20"/>
        </w:rPr>
        <w:t>valuation</w:t>
      </w:r>
    </w:p>
    <w:p w:rsidR="00AB72CB" w:rsidRPr="00F7263B" w:rsidRDefault="00AB72CB" w:rsidP="00BD3705">
      <w:pPr>
        <w:rPr>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The Program will be monitored, and evaluated through the use of number of M&amp;E tools throughout implementation including regularly reports from ULGs to </w:t>
      </w:r>
      <w:r w:rsidR="00276BC8" w:rsidRPr="00F7263B">
        <w:rPr>
          <w:rFonts w:cs="Times New Roman"/>
          <w:sz w:val="20"/>
          <w:szCs w:val="20"/>
        </w:rPr>
        <w:t>MUDHCo</w:t>
      </w:r>
      <w:r w:rsidRPr="00F7263B">
        <w:rPr>
          <w:rFonts w:cs="Times New Roman"/>
          <w:sz w:val="20"/>
          <w:szCs w:val="20"/>
        </w:rPr>
        <w:t xml:space="preserve">, the </w:t>
      </w:r>
      <w:r w:rsidR="00BD3705" w:rsidRPr="00F7263B">
        <w:rPr>
          <w:rFonts w:cs="Times New Roman"/>
          <w:sz w:val="20"/>
          <w:szCs w:val="20"/>
        </w:rPr>
        <w:t>APAs</w:t>
      </w:r>
      <w:r w:rsidRPr="00F7263B">
        <w:rPr>
          <w:rFonts w:cs="Times New Roman"/>
          <w:sz w:val="20"/>
          <w:szCs w:val="20"/>
        </w:rPr>
        <w:t xml:space="preserve">, </w:t>
      </w:r>
      <w:r w:rsidR="00BD3705" w:rsidRPr="00F7263B">
        <w:rPr>
          <w:rFonts w:cs="Times New Roman"/>
          <w:sz w:val="20"/>
          <w:szCs w:val="20"/>
        </w:rPr>
        <w:t>v</w:t>
      </w:r>
      <w:r w:rsidRPr="00F7263B">
        <w:rPr>
          <w:rFonts w:cs="Times New Roman"/>
          <w:sz w:val="20"/>
          <w:szCs w:val="20"/>
        </w:rPr>
        <w:t xml:space="preserve">alue for </w:t>
      </w:r>
      <w:r w:rsidR="00BD3705" w:rsidRPr="00F7263B">
        <w:rPr>
          <w:rFonts w:cs="Times New Roman"/>
          <w:sz w:val="20"/>
          <w:szCs w:val="20"/>
        </w:rPr>
        <w:t>money a</w:t>
      </w:r>
      <w:r w:rsidRPr="00F7263B">
        <w:rPr>
          <w:rFonts w:cs="Times New Roman"/>
          <w:sz w:val="20"/>
          <w:szCs w:val="20"/>
        </w:rPr>
        <w:t>udits</w:t>
      </w:r>
      <w:r w:rsidR="00BD3705" w:rsidRPr="00F7263B">
        <w:rPr>
          <w:rFonts w:cs="Times New Roman"/>
          <w:sz w:val="20"/>
          <w:szCs w:val="20"/>
        </w:rPr>
        <w:t>,</w:t>
      </w:r>
      <w:r w:rsidRPr="00F7263B">
        <w:rPr>
          <w:rFonts w:cs="Times New Roman"/>
          <w:sz w:val="20"/>
          <w:szCs w:val="20"/>
        </w:rPr>
        <w:t xml:space="preserve"> and </w:t>
      </w:r>
      <w:r w:rsidR="005B1287" w:rsidRPr="00F7263B">
        <w:rPr>
          <w:rFonts w:cs="Times New Roman"/>
          <w:sz w:val="20"/>
          <w:szCs w:val="20"/>
        </w:rPr>
        <w:t xml:space="preserve">the </w:t>
      </w:r>
      <w:r w:rsidR="00BD3705" w:rsidRPr="00F7263B">
        <w:rPr>
          <w:rFonts w:cs="Times New Roman"/>
          <w:sz w:val="20"/>
          <w:szCs w:val="20"/>
        </w:rPr>
        <w:t>midterm r</w:t>
      </w:r>
      <w:r w:rsidRPr="00F7263B">
        <w:rPr>
          <w:rFonts w:cs="Times New Roman"/>
          <w:sz w:val="20"/>
          <w:szCs w:val="20"/>
        </w:rPr>
        <w:t>eview.</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The Program data (revenues and expenditures), including physical investments to be financed, will be captured using the national </w:t>
      </w:r>
      <w:r w:rsidR="005B1287" w:rsidRPr="00F7263B">
        <w:rPr>
          <w:rFonts w:cs="Times New Roman"/>
          <w:sz w:val="20"/>
          <w:szCs w:val="20"/>
        </w:rPr>
        <w:t>public financial management</w:t>
      </w:r>
      <w:r w:rsidRPr="00F7263B">
        <w:rPr>
          <w:rFonts w:cs="Times New Roman"/>
          <w:sz w:val="20"/>
          <w:szCs w:val="20"/>
        </w:rPr>
        <w:t>system, IBEX</w:t>
      </w:r>
      <w:r w:rsidR="00BD3705" w:rsidRPr="00F7263B">
        <w:rPr>
          <w:rFonts w:cs="Times New Roman"/>
          <w:sz w:val="20"/>
          <w:szCs w:val="20"/>
        </w:rPr>
        <w:t xml:space="preserve">.  </w:t>
      </w:r>
      <w:r w:rsidRPr="00F7263B">
        <w:rPr>
          <w:rFonts w:cs="Times New Roman"/>
          <w:sz w:val="20"/>
          <w:szCs w:val="20"/>
        </w:rPr>
        <w:t xml:space="preserve">This financial reporting tool will be supplemented by the national ULGDP M&amp;E system managed by </w:t>
      </w:r>
      <w:r w:rsidR="00276BC8" w:rsidRPr="00F7263B">
        <w:rPr>
          <w:rFonts w:cs="Times New Roman"/>
          <w:sz w:val="20"/>
          <w:szCs w:val="20"/>
        </w:rPr>
        <w:t>MUDHCo</w:t>
      </w:r>
      <w:r w:rsidRPr="00F7263B">
        <w:rPr>
          <w:rFonts w:cs="Times New Roman"/>
          <w:sz w:val="20"/>
          <w:szCs w:val="20"/>
        </w:rPr>
        <w:t xml:space="preserve"> which track, among other things, progress across ULGs towards Program’s indicators</w:t>
      </w:r>
      <w:r w:rsidR="00BD3705" w:rsidRPr="00F7263B">
        <w:rPr>
          <w:rFonts w:cs="Times New Roman"/>
          <w:sz w:val="20"/>
          <w:szCs w:val="20"/>
        </w:rPr>
        <w:t xml:space="preserve">.  </w:t>
      </w:r>
      <w:r w:rsidRPr="00F7263B">
        <w:rPr>
          <w:rFonts w:cs="Times New Roman"/>
          <w:sz w:val="20"/>
          <w:szCs w:val="20"/>
        </w:rPr>
        <w:t xml:space="preserve">Practice under ULGDP will be maintained where the ULGs collect key data and share it with </w:t>
      </w:r>
      <w:r w:rsidR="00276BC8" w:rsidRPr="00F7263B">
        <w:rPr>
          <w:rFonts w:cs="Times New Roman"/>
          <w:sz w:val="20"/>
          <w:szCs w:val="20"/>
        </w:rPr>
        <w:t>MUDHCo</w:t>
      </w:r>
      <w:r w:rsidR="005B1287" w:rsidRPr="00F7263B">
        <w:rPr>
          <w:rFonts w:cs="Times New Roman"/>
          <w:sz w:val="20"/>
          <w:szCs w:val="20"/>
        </w:rPr>
        <w:t>twice a year</w:t>
      </w:r>
      <w:r w:rsidR="00BD3705" w:rsidRPr="00F7263B">
        <w:rPr>
          <w:rFonts w:cs="Times New Roman"/>
          <w:sz w:val="20"/>
          <w:szCs w:val="20"/>
        </w:rPr>
        <w:t xml:space="preserve">.  </w:t>
      </w:r>
      <w:r w:rsidRPr="00F7263B">
        <w:rPr>
          <w:rFonts w:cs="Times New Roman"/>
          <w:sz w:val="20"/>
          <w:szCs w:val="20"/>
        </w:rPr>
        <w:t xml:space="preserve">The ministry consolidates and analyzes the field data submitted by ULGs and updates the Program’s results framework </w:t>
      </w:r>
      <w:r w:rsidR="005B1287" w:rsidRPr="00F7263B">
        <w:rPr>
          <w:rFonts w:cs="Times New Roman"/>
          <w:sz w:val="20"/>
          <w:szCs w:val="20"/>
        </w:rPr>
        <w:t>twice a year</w:t>
      </w:r>
      <w:r w:rsidR="00BD3705" w:rsidRPr="00F7263B">
        <w:rPr>
          <w:rFonts w:cs="Times New Roman"/>
          <w:sz w:val="20"/>
          <w:szCs w:val="20"/>
        </w:rPr>
        <w:t xml:space="preserve">.  </w:t>
      </w:r>
      <w:r w:rsidRPr="00F7263B">
        <w:rPr>
          <w:rFonts w:cs="Times New Roman"/>
          <w:sz w:val="20"/>
          <w:szCs w:val="20"/>
        </w:rPr>
        <w:t xml:space="preserve">As </w:t>
      </w:r>
      <w:r w:rsidR="005B1287" w:rsidRPr="00F7263B">
        <w:rPr>
          <w:rFonts w:cs="Times New Roman"/>
          <w:sz w:val="20"/>
          <w:szCs w:val="20"/>
        </w:rPr>
        <w:t>with</w:t>
      </w:r>
      <w:r w:rsidRPr="00F7263B">
        <w:rPr>
          <w:rFonts w:cs="Times New Roman"/>
          <w:sz w:val="20"/>
          <w:szCs w:val="20"/>
        </w:rPr>
        <w:t xml:space="preserve">current practice, </w:t>
      </w:r>
      <w:r w:rsidR="00276BC8" w:rsidRPr="00F7263B">
        <w:rPr>
          <w:rFonts w:cs="Times New Roman"/>
          <w:sz w:val="20"/>
          <w:szCs w:val="20"/>
        </w:rPr>
        <w:t>MUDHCo</w:t>
      </w:r>
      <w:r w:rsidRPr="00F7263B">
        <w:rPr>
          <w:rFonts w:cs="Times New Roman"/>
          <w:sz w:val="20"/>
          <w:szCs w:val="20"/>
        </w:rPr>
        <w:t xml:space="preserve"> will continue to share the monitoring information and analysis with the Bank on a regular basis</w:t>
      </w:r>
      <w:r w:rsidR="00BD3705" w:rsidRPr="00F7263B">
        <w:rPr>
          <w:rFonts w:cs="Times New Roman"/>
          <w:sz w:val="20"/>
          <w:szCs w:val="20"/>
        </w:rPr>
        <w:t xml:space="preserve">.  </w:t>
      </w:r>
      <w:r w:rsidRPr="00F7263B">
        <w:rPr>
          <w:rFonts w:cs="Times New Roman"/>
          <w:sz w:val="20"/>
          <w:szCs w:val="20"/>
        </w:rPr>
        <w:t>As explained above, it will also use this as part of the annual Program report</w:t>
      </w:r>
      <w:r w:rsidR="00BD3705" w:rsidRPr="00F7263B">
        <w:rPr>
          <w:rFonts w:cs="Times New Roman"/>
          <w:sz w:val="20"/>
          <w:szCs w:val="20"/>
        </w:rPr>
        <w:t xml:space="preserve">.  </w:t>
      </w:r>
      <w:r w:rsidRPr="00F7263B">
        <w:rPr>
          <w:rFonts w:cs="Times New Roman"/>
          <w:sz w:val="20"/>
          <w:szCs w:val="20"/>
        </w:rPr>
        <w:t xml:space="preserve">The ministry will also develop reporting formats for the use of the capacity building funds (under the general </w:t>
      </w:r>
      <w:r w:rsidR="005B1287" w:rsidRPr="00F7263B">
        <w:rPr>
          <w:rFonts w:cs="Times New Roman"/>
          <w:sz w:val="20"/>
          <w:szCs w:val="20"/>
        </w:rPr>
        <w:t xml:space="preserve">performance-based </w:t>
      </w:r>
      <w:r w:rsidRPr="00F7263B">
        <w:rPr>
          <w:rFonts w:cs="Times New Roman"/>
          <w:sz w:val="20"/>
          <w:szCs w:val="20"/>
        </w:rPr>
        <w:t xml:space="preserve">grant) for ULGs and </w:t>
      </w:r>
      <w:r w:rsidR="00BD1B5F" w:rsidRPr="00F7263B">
        <w:rPr>
          <w:rFonts w:cs="Times New Roman"/>
          <w:sz w:val="20"/>
          <w:szCs w:val="20"/>
        </w:rPr>
        <w:t>regional government</w:t>
      </w:r>
      <w:r w:rsidRPr="00F7263B">
        <w:rPr>
          <w:rFonts w:cs="Times New Roman"/>
          <w:sz w:val="20"/>
          <w:szCs w:val="20"/>
        </w:rPr>
        <w:t>s</w:t>
      </w:r>
      <w:r w:rsidR="00BD3705" w:rsidRPr="00F7263B">
        <w:rPr>
          <w:rFonts w:cs="Times New Roman"/>
          <w:sz w:val="20"/>
          <w:szCs w:val="20"/>
        </w:rPr>
        <w:t xml:space="preserve">.  </w:t>
      </w:r>
      <w:r w:rsidRPr="00F7263B">
        <w:rPr>
          <w:rFonts w:cs="Times New Roman"/>
          <w:sz w:val="20"/>
          <w:szCs w:val="20"/>
        </w:rPr>
        <w:t>These reports will be aggregated and</w:t>
      </w:r>
      <w:r w:rsidR="005B1287" w:rsidRPr="00F7263B">
        <w:rPr>
          <w:rFonts w:cs="Times New Roman"/>
          <w:sz w:val="20"/>
          <w:szCs w:val="20"/>
        </w:rPr>
        <w:t xml:space="preserve"> the information</w:t>
      </w:r>
      <w:r w:rsidRPr="00F7263B">
        <w:rPr>
          <w:rFonts w:cs="Times New Roman"/>
          <w:sz w:val="20"/>
          <w:szCs w:val="20"/>
        </w:rPr>
        <w:t xml:space="preserve"> included in the annual Program report</w:t>
      </w:r>
      <w:r w:rsidR="00BD3705" w:rsidRPr="00F7263B">
        <w:rPr>
          <w:rFonts w:cs="Times New Roman"/>
          <w:sz w:val="20"/>
          <w:szCs w:val="20"/>
        </w:rPr>
        <w:t xml:space="preserve">.  </w:t>
      </w:r>
      <w:r w:rsidRPr="00F7263B">
        <w:rPr>
          <w:rFonts w:cs="Times New Roman"/>
          <w:sz w:val="20"/>
          <w:szCs w:val="20"/>
        </w:rPr>
        <w:t xml:space="preserve">The ministry, in addition to the regular updates of Program’s results framework, also uses the data from the national monitoring system to commission independent </w:t>
      </w:r>
      <w:r w:rsidRPr="00F7263B">
        <w:rPr>
          <w:rFonts w:cs="Times New Roman"/>
          <w:bCs/>
          <w:sz w:val="20"/>
          <w:szCs w:val="20"/>
        </w:rPr>
        <w:t>reviews and a series of studies of service delivery, benchmarking of services</w:t>
      </w:r>
      <w:r w:rsidR="005B1287" w:rsidRPr="00F7263B">
        <w:rPr>
          <w:rFonts w:cs="Times New Roman"/>
          <w:bCs/>
          <w:sz w:val="20"/>
          <w:szCs w:val="20"/>
        </w:rPr>
        <w:t>,and the like</w:t>
      </w:r>
      <w:r w:rsidR="00BD3705" w:rsidRPr="00F7263B">
        <w:rPr>
          <w:rFonts w:cs="Times New Roman"/>
          <w:bCs/>
          <w:sz w:val="20"/>
          <w:szCs w:val="20"/>
        </w:rPr>
        <w:t xml:space="preserve">.  </w:t>
      </w:r>
      <w:r w:rsidRPr="00F7263B">
        <w:rPr>
          <w:rFonts w:cs="Times New Roman"/>
          <w:bCs/>
          <w:sz w:val="20"/>
          <w:szCs w:val="20"/>
        </w:rPr>
        <w:t>This practice, established under ULGDP, will be maintained under the Program.</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As under </w:t>
      </w:r>
      <w:r w:rsidR="00BD3705" w:rsidRPr="00F7263B">
        <w:rPr>
          <w:rFonts w:cs="Times New Roman"/>
          <w:sz w:val="20"/>
          <w:szCs w:val="20"/>
        </w:rPr>
        <w:t xml:space="preserve">the </w:t>
      </w:r>
      <w:r w:rsidRPr="00F7263B">
        <w:rPr>
          <w:rFonts w:cs="Times New Roman"/>
          <w:sz w:val="20"/>
          <w:szCs w:val="20"/>
        </w:rPr>
        <w:t xml:space="preserve">ULGDP, </w:t>
      </w:r>
      <w:r w:rsidR="00276BC8" w:rsidRPr="00F7263B">
        <w:rPr>
          <w:rFonts w:cs="Times New Roman"/>
          <w:sz w:val="20"/>
          <w:szCs w:val="20"/>
        </w:rPr>
        <w:t>MUDHCo</w:t>
      </w:r>
      <w:r w:rsidRPr="00F7263B">
        <w:rPr>
          <w:rFonts w:cs="Times New Roman"/>
          <w:sz w:val="20"/>
          <w:szCs w:val="20"/>
        </w:rPr>
        <w:t xml:space="preserve"> is also responsible for planning and supervising the implementation of the annual performance assessment, which is the major M&amp;E tool to verify the performance of the ULGs</w:t>
      </w:r>
      <w:r w:rsidR="00BD3705" w:rsidRPr="00F7263B">
        <w:rPr>
          <w:rFonts w:cs="Times New Roman"/>
          <w:sz w:val="20"/>
          <w:szCs w:val="20"/>
        </w:rPr>
        <w:t xml:space="preserve">.  </w:t>
      </w:r>
      <w:r w:rsidRPr="00F7263B">
        <w:rPr>
          <w:rFonts w:cs="Times New Roman"/>
          <w:sz w:val="20"/>
          <w:szCs w:val="20"/>
        </w:rPr>
        <w:t>The annual assessment will be carried out by an independent firm to ensure the objectivity of the process</w:t>
      </w:r>
      <w:r w:rsidR="00BD3705" w:rsidRPr="00F7263B">
        <w:rPr>
          <w:rFonts w:cs="Times New Roman"/>
          <w:sz w:val="20"/>
          <w:szCs w:val="20"/>
        </w:rPr>
        <w:t xml:space="preserve">.  </w:t>
      </w:r>
      <w:r w:rsidRPr="00F7263B">
        <w:rPr>
          <w:rFonts w:cs="Times New Roman"/>
          <w:sz w:val="20"/>
          <w:szCs w:val="20"/>
        </w:rPr>
        <w:t>The assessment will be carried out in line with the Performance Assessment Manual, which is being developed by the ministry, with its content and quality acceptable to the Bank</w:t>
      </w:r>
      <w:r w:rsidR="00BD3705" w:rsidRPr="00F7263B">
        <w:rPr>
          <w:rFonts w:cs="Times New Roman"/>
          <w:sz w:val="20"/>
          <w:szCs w:val="20"/>
        </w:rPr>
        <w:t xml:space="preserve">.  </w:t>
      </w:r>
      <w:r w:rsidRPr="00F7263B">
        <w:rPr>
          <w:rFonts w:cs="Times New Roman"/>
          <w:sz w:val="20"/>
          <w:szCs w:val="20"/>
        </w:rPr>
        <w:t>The manual will provide clear definitions for each indicator</w:t>
      </w:r>
      <w:r w:rsidR="005B1287" w:rsidRPr="00F7263B">
        <w:rPr>
          <w:rFonts w:cs="Times New Roman"/>
          <w:sz w:val="20"/>
          <w:szCs w:val="20"/>
        </w:rPr>
        <w:t>,</w:t>
      </w:r>
      <w:r w:rsidRPr="00F7263B">
        <w:rPr>
          <w:rFonts w:cs="Times New Roman"/>
          <w:sz w:val="20"/>
          <w:szCs w:val="20"/>
        </w:rPr>
        <w:t xml:space="preserve"> as well as comprehensive guidance on the scoring</w:t>
      </w:r>
      <w:r w:rsidR="00BD3705" w:rsidRPr="00F7263B">
        <w:rPr>
          <w:rFonts w:cs="Times New Roman"/>
          <w:sz w:val="20"/>
          <w:szCs w:val="20"/>
        </w:rPr>
        <w:t xml:space="preserve">.  </w:t>
      </w:r>
      <w:r w:rsidRPr="00F7263B">
        <w:rPr>
          <w:rFonts w:cs="Times New Roman"/>
          <w:sz w:val="20"/>
          <w:szCs w:val="20"/>
        </w:rPr>
        <w:t>Adjustments, which might be needed to the performance indicators and scoring, will be done throughout implementation and particularly at the mid-term review to address any possible shortcomings or changes on the ground</w:t>
      </w:r>
      <w:r w:rsidR="00BD3705" w:rsidRPr="00F7263B">
        <w:rPr>
          <w:rFonts w:cs="Times New Roman"/>
          <w:sz w:val="20"/>
          <w:szCs w:val="20"/>
        </w:rPr>
        <w:t xml:space="preserve">.  </w:t>
      </w:r>
      <w:r w:rsidRPr="00F7263B">
        <w:rPr>
          <w:rFonts w:cs="Times New Roman"/>
          <w:sz w:val="20"/>
          <w:szCs w:val="20"/>
        </w:rPr>
        <w:t xml:space="preserve">The internal </w:t>
      </w:r>
      <w:r w:rsidR="00276BC8" w:rsidRPr="00F7263B">
        <w:rPr>
          <w:rFonts w:cs="Times New Roman"/>
          <w:sz w:val="20"/>
          <w:szCs w:val="20"/>
        </w:rPr>
        <w:t>MUDHCo</w:t>
      </w:r>
      <w:r w:rsidRPr="00F7263B">
        <w:rPr>
          <w:rFonts w:cs="Times New Roman"/>
          <w:sz w:val="20"/>
          <w:szCs w:val="20"/>
        </w:rPr>
        <w:t xml:space="preserve"> M&amp;E system will capture key data that will allow an assessment of the decentralization support structure, </w:t>
      </w:r>
      <w:r w:rsidR="00BD3705" w:rsidRPr="00F7263B">
        <w:rPr>
          <w:rFonts w:cs="Times New Roman"/>
          <w:sz w:val="20"/>
          <w:szCs w:val="20"/>
        </w:rPr>
        <w:t xml:space="preserve">for example, </w:t>
      </w:r>
      <w:r w:rsidRPr="00F7263B">
        <w:rPr>
          <w:rFonts w:cs="Times New Roman"/>
          <w:sz w:val="20"/>
          <w:szCs w:val="20"/>
        </w:rPr>
        <w:t xml:space="preserve">capacity of </w:t>
      </w:r>
      <w:r w:rsidR="00276BC8" w:rsidRPr="00F7263B">
        <w:rPr>
          <w:rFonts w:cs="Times New Roman"/>
          <w:sz w:val="20"/>
          <w:szCs w:val="20"/>
        </w:rPr>
        <w:t>MUDHCo</w:t>
      </w:r>
      <w:r w:rsidRPr="00F7263B">
        <w:rPr>
          <w:rFonts w:cs="Times New Roman"/>
          <w:sz w:val="20"/>
          <w:szCs w:val="20"/>
        </w:rPr>
        <w:t xml:space="preserve"> to ensure timely and agreed transfers of funds to the ULGs and the institutions’ ability to provide needed capacity development and technical assistance to the ULGs.</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lastRenderedPageBreak/>
        <w:t xml:space="preserve">The results of the annual audits conducted by the </w:t>
      </w:r>
      <w:r w:rsidR="005B1287" w:rsidRPr="00F7263B">
        <w:rPr>
          <w:rFonts w:cs="Times New Roman"/>
          <w:sz w:val="20"/>
          <w:szCs w:val="20"/>
        </w:rPr>
        <w:t>ORAGs</w:t>
      </w:r>
      <w:r w:rsidR="00BD3705" w:rsidRPr="00F7263B">
        <w:rPr>
          <w:rFonts w:cs="Times New Roman"/>
          <w:sz w:val="20"/>
          <w:szCs w:val="20"/>
        </w:rPr>
        <w:t xml:space="preserve"> and the v</w:t>
      </w:r>
      <w:r w:rsidRPr="00F7263B">
        <w:rPr>
          <w:rFonts w:cs="Times New Roman"/>
          <w:sz w:val="20"/>
          <w:szCs w:val="20"/>
        </w:rPr>
        <w:t>aluefor</w:t>
      </w:r>
      <w:r w:rsidR="00BD3705" w:rsidRPr="00F7263B">
        <w:rPr>
          <w:rFonts w:cs="Times New Roman"/>
          <w:sz w:val="20"/>
          <w:szCs w:val="20"/>
        </w:rPr>
        <w:t xml:space="preserve"> m</w:t>
      </w:r>
      <w:r w:rsidRPr="00F7263B">
        <w:rPr>
          <w:rFonts w:cs="Times New Roman"/>
          <w:sz w:val="20"/>
          <w:szCs w:val="20"/>
        </w:rPr>
        <w:t xml:space="preserve">oney </w:t>
      </w:r>
      <w:r w:rsidR="00BD3705" w:rsidRPr="00F7263B">
        <w:rPr>
          <w:rFonts w:cs="Times New Roman"/>
          <w:sz w:val="20"/>
          <w:szCs w:val="20"/>
        </w:rPr>
        <w:t>a</w:t>
      </w:r>
      <w:r w:rsidRPr="00F7263B">
        <w:rPr>
          <w:rFonts w:cs="Times New Roman"/>
          <w:sz w:val="20"/>
          <w:szCs w:val="20"/>
        </w:rPr>
        <w:t>udits which the ministry will commission and will be included in the annual performance assessments, will also be important tools in tracking the institutional and infrastructure performance improvements</w:t>
      </w:r>
      <w:r w:rsidR="00BD3705" w:rsidRPr="00F7263B">
        <w:rPr>
          <w:rFonts w:cs="Times New Roman"/>
          <w:sz w:val="20"/>
          <w:szCs w:val="20"/>
        </w:rPr>
        <w:t xml:space="preserve">.  </w:t>
      </w:r>
      <w:r w:rsidRPr="00F7263B">
        <w:rPr>
          <w:rFonts w:cs="Times New Roman"/>
          <w:sz w:val="20"/>
          <w:szCs w:val="20"/>
        </w:rPr>
        <w:t>As well, the Program monitoring system will include and leverage the results of the internal audit for internal control and the external audits done by (or on behalf of) the O</w:t>
      </w:r>
      <w:r w:rsidR="00BD3705" w:rsidRPr="00F7263B">
        <w:rPr>
          <w:rFonts w:cs="Times New Roman"/>
          <w:sz w:val="20"/>
          <w:szCs w:val="20"/>
        </w:rPr>
        <w:t>R</w:t>
      </w:r>
      <w:r w:rsidRPr="00F7263B">
        <w:rPr>
          <w:rFonts w:cs="Times New Roman"/>
          <w:sz w:val="20"/>
          <w:szCs w:val="20"/>
        </w:rPr>
        <w:t>AG</w:t>
      </w:r>
      <w:r w:rsidR="005B1287" w:rsidRPr="00F7263B">
        <w:rPr>
          <w:rFonts w:cs="Times New Roman"/>
          <w:sz w:val="20"/>
          <w:szCs w:val="20"/>
        </w:rPr>
        <w:t>s</w:t>
      </w:r>
      <w:r w:rsidR="00BD3705" w:rsidRPr="00F7263B">
        <w:rPr>
          <w:rFonts w:cs="Times New Roman"/>
          <w:sz w:val="20"/>
          <w:szCs w:val="20"/>
        </w:rPr>
        <w:t xml:space="preserve">.  </w:t>
      </w:r>
      <w:r w:rsidRPr="00F7263B">
        <w:rPr>
          <w:rFonts w:cs="Times New Roman"/>
          <w:sz w:val="20"/>
          <w:szCs w:val="20"/>
        </w:rPr>
        <w:t>Internal audit will play an important monitoring role, going beyond fiduciary aspects and, will include adherence to the Program implementation framework as set in the operational manual</w:t>
      </w:r>
      <w:r w:rsidR="00BD3705" w:rsidRPr="00F7263B">
        <w:rPr>
          <w:rFonts w:cs="Times New Roman"/>
          <w:sz w:val="20"/>
          <w:szCs w:val="20"/>
        </w:rPr>
        <w:t xml:space="preserve">.  </w:t>
      </w:r>
      <w:r w:rsidRPr="00F7263B">
        <w:rPr>
          <w:rFonts w:cs="Times New Roman"/>
          <w:sz w:val="20"/>
          <w:szCs w:val="20"/>
        </w:rPr>
        <w:t>In addition the internal auditors report to the council and their reports are generally acted upon</w:t>
      </w:r>
      <w:r w:rsidR="00BD3705" w:rsidRPr="00F7263B">
        <w:rPr>
          <w:rFonts w:cs="Times New Roman"/>
          <w:sz w:val="20"/>
          <w:szCs w:val="20"/>
        </w:rPr>
        <w:t xml:space="preserve">.  </w:t>
      </w:r>
      <w:r w:rsidRPr="00F7263B">
        <w:rPr>
          <w:rFonts w:cs="Times New Roman"/>
          <w:sz w:val="20"/>
          <w:szCs w:val="20"/>
        </w:rPr>
        <w:t>Proper functioning of the ULG internal audit will be a performance indicator to promote improved performance in this area</w:t>
      </w:r>
      <w:r w:rsidR="00BD3705" w:rsidRPr="00F7263B">
        <w:rPr>
          <w:rFonts w:cs="Times New Roman"/>
          <w:sz w:val="20"/>
          <w:szCs w:val="20"/>
        </w:rPr>
        <w:t xml:space="preserve">.  </w:t>
      </w:r>
      <w:r w:rsidRPr="00F7263B">
        <w:rPr>
          <w:rFonts w:cs="Times New Roman"/>
          <w:sz w:val="20"/>
          <w:szCs w:val="20"/>
        </w:rPr>
        <w:t>In addition, the annual external audit reports by the O</w:t>
      </w:r>
      <w:r w:rsidR="00BD3705" w:rsidRPr="00F7263B">
        <w:rPr>
          <w:rFonts w:cs="Times New Roman"/>
          <w:sz w:val="20"/>
          <w:szCs w:val="20"/>
        </w:rPr>
        <w:t>R</w:t>
      </w:r>
      <w:r w:rsidRPr="00F7263B">
        <w:rPr>
          <w:rFonts w:cs="Times New Roman"/>
          <w:sz w:val="20"/>
          <w:szCs w:val="20"/>
        </w:rPr>
        <w:t>AG</w:t>
      </w:r>
      <w:r w:rsidR="00BD3705" w:rsidRPr="00F7263B">
        <w:rPr>
          <w:rFonts w:cs="Times New Roman"/>
          <w:sz w:val="20"/>
          <w:szCs w:val="20"/>
        </w:rPr>
        <w:t>s</w:t>
      </w:r>
      <w:r w:rsidRPr="00F7263B">
        <w:rPr>
          <w:rFonts w:cs="Times New Roman"/>
          <w:sz w:val="20"/>
          <w:szCs w:val="20"/>
        </w:rPr>
        <w:t xml:space="preserve"> are tabled to the councils and at the regional level</w:t>
      </w:r>
      <w:r w:rsidR="00BD3705" w:rsidRPr="00F7263B">
        <w:rPr>
          <w:rFonts w:cs="Times New Roman"/>
          <w:sz w:val="20"/>
          <w:szCs w:val="20"/>
        </w:rPr>
        <w:t xml:space="preserve">.  </w:t>
      </w:r>
      <w:r w:rsidRPr="00F7263B">
        <w:rPr>
          <w:rFonts w:cs="Times New Roman"/>
          <w:sz w:val="20"/>
          <w:szCs w:val="20"/>
        </w:rPr>
        <w:t>Analysis of external audit shows that they generally adhere with international standardsand practices</w:t>
      </w:r>
      <w:r w:rsidR="00BD3705" w:rsidRPr="00F7263B">
        <w:rPr>
          <w:rFonts w:cs="Times New Roman"/>
          <w:sz w:val="20"/>
          <w:szCs w:val="20"/>
        </w:rPr>
        <w:t>.</w:t>
      </w:r>
      <w:r w:rsidR="00BD3705" w:rsidRPr="00F7263B">
        <w:rPr>
          <w:rStyle w:val="FootnoteReference"/>
          <w:rFonts w:cs="Times New Roman"/>
          <w:sz w:val="20"/>
          <w:szCs w:val="20"/>
        </w:rPr>
        <w:footnoteReference w:id="49"/>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276BC8"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MUDHCo</w:t>
      </w:r>
      <w:r w:rsidR="00AB72CB" w:rsidRPr="00F7263B">
        <w:rPr>
          <w:rFonts w:cs="Times New Roman"/>
          <w:sz w:val="20"/>
          <w:szCs w:val="20"/>
        </w:rPr>
        <w:t xml:space="preserve"> has been monitoring and reporting on the ULGDP successfully</w:t>
      </w:r>
      <w:r w:rsidR="00BD3705" w:rsidRPr="00F7263B">
        <w:rPr>
          <w:rFonts w:cs="Times New Roman"/>
          <w:sz w:val="20"/>
          <w:szCs w:val="20"/>
        </w:rPr>
        <w:t xml:space="preserve">.  </w:t>
      </w:r>
      <w:r w:rsidR="00AB72CB" w:rsidRPr="00F7263B">
        <w:rPr>
          <w:rFonts w:cs="Times New Roman"/>
          <w:sz w:val="20"/>
          <w:szCs w:val="20"/>
        </w:rPr>
        <w:t xml:space="preserve">However, given the increase in the scope of the Program, there will be a need to strengthen the M&amp;E unit of the </w:t>
      </w:r>
      <w:r w:rsidRPr="00F7263B">
        <w:rPr>
          <w:rFonts w:cs="Times New Roman"/>
          <w:sz w:val="20"/>
          <w:szCs w:val="20"/>
        </w:rPr>
        <w:t>MUDHCo</w:t>
      </w:r>
      <w:r w:rsidR="00AB72CB" w:rsidRPr="00F7263B">
        <w:rPr>
          <w:rFonts w:cs="Times New Roman"/>
          <w:sz w:val="20"/>
          <w:szCs w:val="20"/>
        </w:rPr>
        <w:t xml:space="preserve"> with additional staff and capacity, which is included in the Program action plan</w:t>
      </w:r>
      <w:r w:rsidR="00BD3705" w:rsidRPr="00F7263B">
        <w:rPr>
          <w:rFonts w:cs="Times New Roman"/>
          <w:sz w:val="20"/>
          <w:szCs w:val="20"/>
        </w:rPr>
        <w:t xml:space="preserve">.  </w:t>
      </w:r>
      <w:r w:rsidR="00AB72CB" w:rsidRPr="00F7263B">
        <w:rPr>
          <w:rFonts w:cs="Times New Roman"/>
          <w:sz w:val="20"/>
          <w:szCs w:val="20"/>
        </w:rPr>
        <w:t>The focus areas of the ministry’s M&amp;E department for the Program will be (</w:t>
      </w:r>
      <w:r w:rsidR="00260DC8" w:rsidRPr="00F7263B">
        <w:rPr>
          <w:rFonts w:cs="Times New Roman"/>
          <w:sz w:val="20"/>
          <w:szCs w:val="20"/>
        </w:rPr>
        <w:t>a</w:t>
      </w:r>
      <w:r w:rsidR="00AB72CB" w:rsidRPr="00F7263B">
        <w:rPr>
          <w:rFonts w:cs="Times New Roman"/>
          <w:sz w:val="20"/>
          <w:szCs w:val="20"/>
        </w:rPr>
        <w:t>) generation of regular consolidated data on unit costs, spending across sectors and types of investments, as well as benefits of these investments; (</w:t>
      </w:r>
      <w:r w:rsidR="00260DC8" w:rsidRPr="00F7263B">
        <w:rPr>
          <w:rFonts w:cs="Times New Roman"/>
          <w:sz w:val="20"/>
          <w:szCs w:val="20"/>
        </w:rPr>
        <w:t>b</w:t>
      </w:r>
      <w:r w:rsidR="00AB72CB" w:rsidRPr="00F7263B">
        <w:rPr>
          <w:rFonts w:cs="Times New Roman"/>
          <w:sz w:val="20"/>
          <w:szCs w:val="20"/>
        </w:rPr>
        <w:t xml:space="preserve">) provision of support to 44 ULGs (focusing mainly on the new 26 ULGs) and </w:t>
      </w:r>
      <w:r w:rsidR="00BD1B5F" w:rsidRPr="00F7263B">
        <w:rPr>
          <w:rFonts w:cs="Times New Roman"/>
          <w:sz w:val="20"/>
          <w:szCs w:val="20"/>
        </w:rPr>
        <w:t>regional government</w:t>
      </w:r>
      <w:r w:rsidR="00AB72CB" w:rsidRPr="00F7263B">
        <w:rPr>
          <w:rFonts w:cs="Times New Roman"/>
          <w:sz w:val="20"/>
          <w:szCs w:val="20"/>
        </w:rPr>
        <w:t>s on the use of the reporting formats, application of M&amp;E information for planning and budgeting purposes</w:t>
      </w:r>
      <w:r w:rsidR="00260DC8" w:rsidRPr="00F7263B">
        <w:rPr>
          <w:rFonts w:cs="Times New Roman"/>
          <w:sz w:val="20"/>
          <w:szCs w:val="20"/>
        </w:rPr>
        <w:t>,</w:t>
      </w:r>
      <w:r w:rsidR="00AB72CB" w:rsidRPr="00F7263B">
        <w:rPr>
          <w:rFonts w:cs="Times New Roman"/>
          <w:sz w:val="20"/>
          <w:szCs w:val="20"/>
        </w:rPr>
        <w:t xml:space="preserve"> and related M&amp;E system to capture activities and impact, and (</w:t>
      </w:r>
      <w:r w:rsidR="00260DC8" w:rsidRPr="00F7263B">
        <w:rPr>
          <w:rFonts w:cs="Times New Roman"/>
          <w:sz w:val="20"/>
          <w:szCs w:val="20"/>
        </w:rPr>
        <w:t>c</w:t>
      </w:r>
      <w:r w:rsidR="00AB72CB" w:rsidRPr="00F7263B">
        <w:rPr>
          <w:rFonts w:cs="Times New Roman"/>
          <w:sz w:val="20"/>
          <w:szCs w:val="20"/>
        </w:rPr>
        <w:t>) production of high quality analysis regarding trends and development within ULG own source revenues</w:t>
      </w:r>
      <w:r w:rsidR="00BD3705" w:rsidRPr="00F7263B">
        <w:rPr>
          <w:rFonts w:cs="Times New Roman"/>
          <w:sz w:val="20"/>
          <w:szCs w:val="20"/>
        </w:rPr>
        <w:t xml:space="preserve">.  </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current ULGDP has shown ULGs capacity to provide physical and financial reports on a regular basis (although sometimes with delays), although the quality of these reports needs improvement</w:t>
      </w:r>
      <w:r w:rsidR="00BD3705" w:rsidRPr="00F7263B">
        <w:rPr>
          <w:rFonts w:cs="Times New Roman"/>
          <w:sz w:val="20"/>
          <w:szCs w:val="20"/>
        </w:rPr>
        <w:t xml:space="preserve">.  </w:t>
      </w:r>
      <w:r w:rsidRPr="00F7263B">
        <w:rPr>
          <w:rFonts w:cs="Times New Roman"/>
          <w:sz w:val="20"/>
          <w:szCs w:val="20"/>
        </w:rPr>
        <w:t>There will be need for a capacity building support within this area in ULGDP II, especially to the 26 new ULGs</w:t>
      </w:r>
      <w:r w:rsidR="00BD3705" w:rsidRPr="00F7263B">
        <w:rPr>
          <w:rFonts w:cs="Times New Roman"/>
          <w:sz w:val="20"/>
          <w:szCs w:val="20"/>
        </w:rPr>
        <w:t xml:space="preserve">.  </w:t>
      </w:r>
      <w:r w:rsidRPr="00F7263B">
        <w:rPr>
          <w:rFonts w:cs="Times New Roman"/>
          <w:sz w:val="20"/>
          <w:szCs w:val="20"/>
        </w:rPr>
        <w:t>M&amp;E capacity at federal, regional and ULG level will be enhanced through training of staff in M&amp;E, engineering, finance and procurement so that they are able to compile timely progress reports for monitoring the implementation progress of the various activities under the Program</w:t>
      </w:r>
      <w:r w:rsidR="00BD3705" w:rsidRPr="00F7263B">
        <w:rPr>
          <w:rFonts w:cs="Times New Roman"/>
          <w:sz w:val="20"/>
          <w:szCs w:val="20"/>
        </w:rPr>
        <w:t xml:space="preserve">.  </w:t>
      </w:r>
      <w:r w:rsidRPr="00F7263B">
        <w:rPr>
          <w:rFonts w:cs="Times New Roman"/>
          <w:sz w:val="20"/>
          <w:szCs w:val="20"/>
        </w:rPr>
        <w:t xml:space="preserve">The additional M&amp;E specialist to be recruited under the Program at the ministry will provide hands on support and mentoring to the </w:t>
      </w:r>
      <w:r w:rsidR="00276BC8" w:rsidRPr="00F7263B">
        <w:rPr>
          <w:rFonts w:cs="Times New Roman"/>
          <w:sz w:val="20"/>
          <w:szCs w:val="20"/>
        </w:rPr>
        <w:t>MUDHCo</w:t>
      </w:r>
      <w:r w:rsidRPr="00F7263B">
        <w:rPr>
          <w:rFonts w:cs="Times New Roman"/>
          <w:sz w:val="20"/>
          <w:szCs w:val="20"/>
        </w:rPr>
        <w:t xml:space="preserve"> staff and to the regions in M&amp;E issues related with urban development and the implementation of the ULGDP.</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Program PDO is to e</w:t>
      </w:r>
      <w:r w:rsidRPr="00F7263B">
        <w:rPr>
          <w:rFonts w:cs="Times New Roman"/>
          <w:bCs/>
          <w:sz w:val="20"/>
          <w:szCs w:val="20"/>
        </w:rPr>
        <w:t>nhance institutional capacity of participating cities in developing and sustaining urban infrastructure and services</w:t>
      </w:r>
      <w:r w:rsidR="00BD3705" w:rsidRPr="00F7263B">
        <w:rPr>
          <w:rFonts w:cs="Times New Roman"/>
          <w:bCs/>
          <w:sz w:val="20"/>
          <w:szCs w:val="20"/>
        </w:rPr>
        <w:t xml:space="preserve">.  </w:t>
      </w:r>
      <w:r w:rsidRPr="00F7263B">
        <w:rPr>
          <w:rFonts w:cs="Times New Roman"/>
          <w:bCs/>
          <w:sz w:val="20"/>
          <w:szCs w:val="20"/>
        </w:rPr>
        <w:t xml:space="preserve">The Program will produce enhanced institutional performance in: </w:t>
      </w:r>
      <w:r w:rsidR="00260DC8" w:rsidRPr="00F7263B">
        <w:rPr>
          <w:rFonts w:cs="Times New Roman"/>
          <w:bCs/>
          <w:sz w:val="20"/>
          <w:szCs w:val="20"/>
        </w:rPr>
        <w:t>(a</w:t>
      </w:r>
      <w:r w:rsidRPr="00F7263B">
        <w:rPr>
          <w:rFonts w:cs="Times New Roman"/>
          <w:bCs/>
          <w:sz w:val="20"/>
          <w:szCs w:val="20"/>
        </w:rPr>
        <w:t xml:space="preserve">) enhanced community participation in local government budgeting and planning; </w:t>
      </w:r>
      <w:r w:rsidR="00260DC8" w:rsidRPr="00F7263B">
        <w:rPr>
          <w:rFonts w:cs="Times New Roman"/>
          <w:bCs/>
          <w:sz w:val="20"/>
          <w:szCs w:val="20"/>
        </w:rPr>
        <w:t>(b</w:t>
      </w:r>
      <w:r w:rsidRPr="00F7263B">
        <w:rPr>
          <w:rFonts w:cs="Times New Roman"/>
          <w:bCs/>
          <w:sz w:val="20"/>
          <w:szCs w:val="20"/>
        </w:rPr>
        <w:t xml:space="preserve">) efficient fiduciary management, </w:t>
      </w:r>
      <w:r w:rsidR="00260DC8" w:rsidRPr="00F7263B">
        <w:rPr>
          <w:rFonts w:cs="Times New Roman"/>
          <w:bCs/>
          <w:sz w:val="20"/>
          <w:szCs w:val="20"/>
        </w:rPr>
        <w:t>(c</w:t>
      </w:r>
      <w:r w:rsidRPr="00F7263B">
        <w:rPr>
          <w:rFonts w:cs="Times New Roman"/>
          <w:bCs/>
          <w:sz w:val="20"/>
          <w:szCs w:val="20"/>
        </w:rPr>
        <w:t xml:space="preserve">) increased amount of own source revenues, </w:t>
      </w:r>
      <w:r w:rsidR="00260DC8" w:rsidRPr="00F7263B">
        <w:rPr>
          <w:rFonts w:cs="Times New Roman"/>
          <w:bCs/>
          <w:sz w:val="20"/>
          <w:szCs w:val="20"/>
        </w:rPr>
        <w:t>(d</w:t>
      </w:r>
      <w:r w:rsidRPr="00F7263B">
        <w:rPr>
          <w:rFonts w:cs="Times New Roman"/>
          <w:bCs/>
          <w:sz w:val="20"/>
          <w:szCs w:val="20"/>
        </w:rPr>
        <w:t xml:space="preserve">) improved infrastructure, service delivery and operational and maintenance systems; </w:t>
      </w:r>
      <w:r w:rsidR="00260DC8" w:rsidRPr="00F7263B">
        <w:rPr>
          <w:rFonts w:cs="Times New Roman"/>
          <w:bCs/>
          <w:sz w:val="20"/>
          <w:szCs w:val="20"/>
        </w:rPr>
        <w:t>(e</w:t>
      </w:r>
      <w:r w:rsidRPr="00F7263B">
        <w:rPr>
          <w:rFonts w:cs="Times New Roman"/>
          <w:bCs/>
          <w:sz w:val="20"/>
          <w:szCs w:val="20"/>
        </w:rPr>
        <w:t>) strengthening of accountability and oversight systems</w:t>
      </w:r>
      <w:r w:rsidR="00BD3705" w:rsidRPr="00F7263B">
        <w:rPr>
          <w:rFonts w:cs="Times New Roman"/>
          <w:bCs/>
          <w:sz w:val="20"/>
          <w:szCs w:val="20"/>
        </w:rPr>
        <w:t xml:space="preserve">.  </w:t>
      </w:r>
      <w:r w:rsidR="00260DC8" w:rsidRPr="00F7263B">
        <w:rPr>
          <w:rFonts w:cs="Times New Roman"/>
          <w:bCs/>
          <w:sz w:val="20"/>
          <w:szCs w:val="20"/>
        </w:rPr>
        <w:t xml:space="preserve">The </w:t>
      </w:r>
      <w:r w:rsidRPr="00F7263B">
        <w:rPr>
          <w:rFonts w:cs="Times New Roman"/>
          <w:bCs/>
          <w:sz w:val="20"/>
          <w:szCs w:val="20"/>
        </w:rPr>
        <w:t>Program’s specific outcomes, outputs and targets are included in the</w:t>
      </w:r>
      <w:r w:rsidR="00E7593E" w:rsidRPr="00F7263B">
        <w:rPr>
          <w:rFonts w:cs="Times New Roman"/>
          <w:bCs/>
          <w:sz w:val="20"/>
          <w:szCs w:val="20"/>
        </w:rPr>
        <w:t xml:space="preserve"> main text of the</w:t>
      </w:r>
      <w:r w:rsidRPr="00F7263B">
        <w:rPr>
          <w:rFonts w:cs="Times New Roman"/>
          <w:bCs/>
          <w:sz w:val="20"/>
          <w:szCs w:val="20"/>
        </w:rPr>
        <w:t xml:space="preserve"> P</w:t>
      </w:r>
      <w:r w:rsidR="00260DC8" w:rsidRPr="00F7263B">
        <w:rPr>
          <w:rFonts w:cs="Times New Roman"/>
          <w:bCs/>
          <w:sz w:val="20"/>
          <w:szCs w:val="20"/>
        </w:rPr>
        <w:t xml:space="preserve">rogram </w:t>
      </w:r>
      <w:r w:rsidRPr="00F7263B">
        <w:rPr>
          <w:rFonts w:cs="Times New Roman"/>
          <w:bCs/>
          <w:sz w:val="20"/>
          <w:szCs w:val="20"/>
        </w:rPr>
        <w:t>A</w:t>
      </w:r>
      <w:r w:rsidR="00260DC8" w:rsidRPr="00F7263B">
        <w:rPr>
          <w:rFonts w:cs="Times New Roman"/>
          <w:bCs/>
          <w:sz w:val="20"/>
          <w:szCs w:val="20"/>
        </w:rPr>
        <w:t xml:space="preserve">ppraisal </w:t>
      </w:r>
      <w:r w:rsidRPr="00F7263B">
        <w:rPr>
          <w:rFonts w:cs="Times New Roman"/>
          <w:bCs/>
          <w:sz w:val="20"/>
          <w:szCs w:val="20"/>
        </w:rPr>
        <w:t>D</w:t>
      </w:r>
      <w:r w:rsidR="00260DC8" w:rsidRPr="00F7263B">
        <w:rPr>
          <w:rFonts w:cs="Times New Roman"/>
          <w:bCs/>
          <w:sz w:val="20"/>
          <w:szCs w:val="20"/>
        </w:rPr>
        <w:t>ocument</w:t>
      </w:r>
      <w:r w:rsidR="00BD3705" w:rsidRPr="00F7263B">
        <w:rPr>
          <w:rFonts w:cs="Times New Roman"/>
          <w:bCs/>
          <w:sz w:val="20"/>
          <w:szCs w:val="20"/>
        </w:rPr>
        <w:t xml:space="preserve">.  </w:t>
      </w:r>
      <w:r w:rsidRPr="00F7263B">
        <w:rPr>
          <w:rFonts w:cs="Times New Roman"/>
          <w:bCs/>
          <w:sz w:val="20"/>
          <w:szCs w:val="20"/>
        </w:rPr>
        <w:t xml:space="preserve">The annual performance assessment system and the </w:t>
      </w:r>
      <w:r w:rsidR="00B17200" w:rsidRPr="00F7263B">
        <w:rPr>
          <w:rFonts w:cs="Times New Roman"/>
          <w:bCs/>
          <w:sz w:val="20"/>
          <w:szCs w:val="20"/>
        </w:rPr>
        <w:t>adjustment in the allocations are</w:t>
      </w:r>
      <w:r w:rsidRPr="00F7263B">
        <w:rPr>
          <w:rFonts w:cs="Times New Roman"/>
          <w:bCs/>
          <w:sz w:val="20"/>
          <w:szCs w:val="20"/>
        </w:rPr>
        <w:t xml:space="preserve"> designed in a manner, which ensure that the allocations can be accelerated if the average performance of the ULGs is above the expected levels</w:t>
      </w:r>
      <w:r w:rsidR="00BD3705" w:rsidRPr="00F7263B">
        <w:rPr>
          <w:rFonts w:cs="Times New Roman"/>
          <w:bCs/>
          <w:sz w:val="20"/>
          <w:szCs w:val="20"/>
        </w:rPr>
        <w:t xml:space="preserve">.  </w:t>
      </w:r>
      <w:r w:rsidRPr="00F7263B">
        <w:rPr>
          <w:rFonts w:cs="Times New Roman"/>
          <w:bCs/>
          <w:sz w:val="20"/>
          <w:szCs w:val="20"/>
        </w:rPr>
        <w:t>Second, each ULG has incentives to improve performance as every point is counting in the result-based allocations</w:t>
      </w:r>
      <w:r w:rsidR="00BD3705" w:rsidRPr="00F7263B">
        <w:rPr>
          <w:rFonts w:cs="Times New Roman"/>
          <w:bCs/>
          <w:sz w:val="20"/>
          <w:szCs w:val="20"/>
        </w:rPr>
        <w:t xml:space="preserve">.  </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Program DLIs pertaining to ULGs (the first 3 DLIs) capture the ULG’s performance in relationship with the PDO</w:t>
      </w:r>
      <w:r w:rsidR="00BD3705" w:rsidRPr="00F7263B">
        <w:rPr>
          <w:rFonts w:cs="Times New Roman"/>
          <w:sz w:val="20"/>
          <w:szCs w:val="20"/>
        </w:rPr>
        <w:t xml:space="preserve">.  </w:t>
      </w:r>
      <w:r w:rsidR="00260DC8" w:rsidRPr="00F7263B">
        <w:rPr>
          <w:rFonts w:cs="Times New Roman"/>
          <w:sz w:val="20"/>
          <w:szCs w:val="20"/>
        </w:rPr>
        <w:t>These will be measured by: (a</w:t>
      </w:r>
      <w:r w:rsidRPr="00F7263B">
        <w:rPr>
          <w:rFonts w:cs="Times New Roman"/>
          <w:sz w:val="20"/>
          <w:szCs w:val="20"/>
        </w:rPr>
        <w:t>) number of cities in compliance with the minimum access conditions; (</w:t>
      </w:r>
      <w:r w:rsidR="00260DC8" w:rsidRPr="00F7263B">
        <w:rPr>
          <w:rFonts w:cs="Times New Roman"/>
          <w:sz w:val="20"/>
          <w:szCs w:val="20"/>
        </w:rPr>
        <w:t>b</w:t>
      </w:r>
      <w:r w:rsidRPr="00F7263B">
        <w:rPr>
          <w:rFonts w:cs="Times New Roman"/>
          <w:sz w:val="20"/>
          <w:szCs w:val="20"/>
        </w:rPr>
        <w:t xml:space="preserve">) the percentage/number of cities with strengthened performance in core areas such as planning, PFM, procurement, </w:t>
      </w:r>
      <w:r w:rsidR="00BA6589" w:rsidRPr="00F7263B">
        <w:rPr>
          <w:rFonts w:cs="Times New Roman"/>
          <w:sz w:val="20"/>
          <w:szCs w:val="20"/>
        </w:rPr>
        <w:t>own source revenue</w:t>
      </w:r>
      <w:r w:rsidRPr="00F7263B">
        <w:rPr>
          <w:rFonts w:cs="Times New Roman"/>
          <w:sz w:val="20"/>
          <w:szCs w:val="20"/>
        </w:rPr>
        <w:t>, safeguards and accountability; (</w:t>
      </w:r>
      <w:r w:rsidR="00260DC8" w:rsidRPr="00F7263B">
        <w:rPr>
          <w:rFonts w:cs="Times New Roman"/>
          <w:sz w:val="20"/>
          <w:szCs w:val="20"/>
        </w:rPr>
        <w:t>c</w:t>
      </w:r>
      <w:r w:rsidRPr="00F7263B">
        <w:rPr>
          <w:rFonts w:cs="Times New Roman"/>
          <w:sz w:val="20"/>
          <w:szCs w:val="20"/>
        </w:rPr>
        <w:t>) percentage of total planned infrastructure complete</w:t>
      </w:r>
      <w:r w:rsidR="00260DC8" w:rsidRPr="00F7263B">
        <w:rPr>
          <w:rFonts w:cs="Times New Roman"/>
          <w:sz w:val="20"/>
          <w:szCs w:val="20"/>
        </w:rPr>
        <w:t>d by participating cities, and percent</w:t>
      </w:r>
      <w:r w:rsidRPr="00F7263B">
        <w:rPr>
          <w:rFonts w:cs="Times New Roman"/>
          <w:sz w:val="20"/>
          <w:szCs w:val="20"/>
        </w:rPr>
        <w:t xml:space="preserve"> planned capital investment plans actually implemented and maintenance performance</w:t>
      </w:r>
      <w:r w:rsidR="00BD3705" w:rsidRPr="00F7263B">
        <w:rPr>
          <w:rFonts w:cs="Times New Roman"/>
          <w:sz w:val="20"/>
          <w:szCs w:val="20"/>
        </w:rPr>
        <w:t xml:space="preserve">.  </w:t>
      </w:r>
      <w:r w:rsidRPr="00F7263B">
        <w:rPr>
          <w:rFonts w:cs="Times New Roman"/>
          <w:sz w:val="20"/>
          <w:szCs w:val="20"/>
        </w:rPr>
        <w:t xml:space="preserve">The federal and regional DLIs will closely monitor the federal and regional performance under the program in areas of timely annual performance assessments, </w:t>
      </w:r>
      <w:r w:rsidR="00260DC8" w:rsidRPr="00F7263B">
        <w:rPr>
          <w:rFonts w:cs="Times New Roman"/>
          <w:sz w:val="20"/>
          <w:szCs w:val="20"/>
        </w:rPr>
        <w:t>capacity building</w:t>
      </w:r>
      <w:r w:rsidRPr="00F7263B">
        <w:rPr>
          <w:rFonts w:cs="Times New Roman"/>
          <w:sz w:val="20"/>
          <w:szCs w:val="20"/>
        </w:rPr>
        <w:t xml:space="preserve"> support, oversight</w:t>
      </w:r>
      <w:r w:rsidR="00260DC8" w:rsidRPr="00F7263B">
        <w:rPr>
          <w:rFonts w:cs="Times New Roman"/>
          <w:sz w:val="20"/>
          <w:szCs w:val="20"/>
        </w:rPr>
        <w:t>,</w:t>
      </w:r>
      <w:r w:rsidRPr="00F7263B">
        <w:rPr>
          <w:rFonts w:cs="Times New Roman"/>
          <w:sz w:val="20"/>
          <w:szCs w:val="20"/>
        </w:rPr>
        <w:t xml:space="preserve"> and timely audit.</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 First, the annual performance assessments will be synchronized with the ULG planning and budgeting processes, and will be advanced so the results are ready by November of each year</w:t>
      </w:r>
      <w:r w:rsidR="00E7593E" w:rsidRPr="00F7263B">
        <w:rPr>
          <w:rFonts w:cs="Times New Roman"/>
          <w:sz w:val="20"/>
          <w:szCs w:val="20"/>
        </w:rPr>
        <w:t xml:space="preserve"> (with incorporation of the final audit results in January)</w:t>
      </w:r>
      <w:r w:rsidR="00BD3705" w:rsidRPr="00F7263B">
        <w:rPr>
          <w:rFonts w:cs="Times New Roman"/>
          <w:sz w:val="20"/>
          <w:szCs w:val="20"/>
        </w:rPr>
        <w:t xml:space="preserve">.  </w:t>
      </w:r>
      <w:r w:rsidRPr="00F7263B">
        <w:rPr>
          <w:rFonts w:cs="Times New Roman"/>
          <w:sz w:val="20"/>
          <w:szCs w:val="20"/>
        </w:rPr>
        <w:t xml:space="preserve">Second, the M&amp;E framework will be strengthened to ensure comprehensive information </w:t>
      </w:r>
      <w:r w:rsidRPr="00F7263B">
        <w:rPr>
          <w:rFonts w:cs="Times New Roman"/>
          <w:sz w:val="20"/>
          <w:szCs w:val="20"/>
        </w:rPr>
        <w:lastRenderedPageBreak/>
        <w:t>on employment generated, number of beneficiaries, and outputs of the investments in a manner, which can be quantified across the ULGs, and the physical progress reporting system will be standardized and computerized.</w:t>
      </w:r>
      <w:r w:rsidR="00260DC8" w:rsidRPr="00F7263B">
        <w:rPr>
          <w:rStyle w:val="FootnoteReference"/>
          <w:rFonts w:cs="Times New Roman"/>
          <w:sz w:val="20"/>
          <w:szCs w:val="20"/>
        </w:rPr>
        <w:footnoteReference w:id="50"/>
      </w:r>
    </w:p>
    <w:p w:rsidR="00AB72CB" w:rsidRPr="00F7263B" w:rsidRDefault="00AB72CB" w:rsidP="00AB72CB">
      <w:pPr>
        <w:pStyle w:val="ListParagraph"/>
        <w:ind w:left="0"/>
        <w:rPr>
          <w:rFonts w:cs="Times New Roman"/>
          <w:sz w:val="20"/>
          <w:szCs w:val="20"/>
        </w:rPr>
      </w:pPr>
    </w:p>
    <w:p w:rsidR="006E7278" w:rsidRPr="00F7263B" w:rsidRDefault="00AF73B3"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t</w:t>
      </w:r>
      <w:r w:rsidR="00AB72CB" w:rsidRPr="00F7263B">
        <w:rPr>
          <w:rFonts w:cs="Times New Roman"/>
          <w:sz w:val="20"/>
          <w:szCs w:val="20"/>
        </w:rPr>
        <w:t xml:space="preserve">able below presents the various inter-linked tools which will be used to monitor and report on the Program: </w:t>
      </w:r>
    </w:p>
    <w:p w:rsidR="00AB72CB" w:rsidRPr="00F7263B" w:rsidRDefault="00AB72CB" w:rsidP="00254260">
      <w:pPr>
        <w:pStyle w:val="ListParagraph"/>
        <w:tabs>
          <w:tab w:val="left" w:pos="0"/>
        </w:tabs>
        <w:ind w:left="0"/>
        <w:jc w:val="both"/>
        <w:rPr>
          <w:rFonts w:cs="Times New Roman"/>
          <w:sz w:val="20"/>
          <w:szCs w:val="20"/>
        </w:rPr>
      </w:pPr>
    </w:p>
    <w:p w:rsidR="00EE3924" w:rsidRPr="00F7263B" w:rsidRDefault="00EE3924" w:rsidP="00254260">
      <w:pPr>
        <w:pStyle w:val="Caption"/>
        <w:jc w:val="both"/>
      </w:pPr>
      <w:r w:rsidRPr="00F7263B">
        <w:t>Data generation and collection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3780"/>
        <w:gridCol w:w="2250"/>
      </w:tblGrid>
      <w:tr w:rsidR="00EE3924" w:rsidRPr="00F7263B" w:rsidTr="00DA2BBC">
        <w:trPr>
          <w:tblHeader/>
        </w:trPr>
        <w:tc>
          <w:tcPr>
            <w:tcW w:w="3330" w:type="dxa"/>
            <w:shd w:val="clear" w:color="auto" w:fill="D9D9D9" w:themeFill="background1" w:themeFillShade="D9"/>
          </w:tcPr>
          <w:p w:rsidR="00EE3924" w:rsidRPr="00F7263B" w:rsidRDefault="00EE3924" w:rsidP="00DA2BBC">
            <w:pPr>
              <w:tabs>
                <w:tab w:val="left" w:pos="0"/>
              </w:tabs>
              <w:contextualSpacing/>
              <w:jc w:val="both"/>
              <w:rPr>
                <w:rFonts w:cs="Times New Roman"/>
                <w:b/>
                <w:sz w:val="20"/>
                <w:szCs w:val="20"/>
              </w:rPr>
            </w:pPr>
            <w:r w:rsidRPr="00F7263B">
              <w:rPr>
                <w:rFonts w:cs="Times New Roman"/>
                <w:b/>
                <w:sz w:val="20"/>
                <w:szCs w:val="20"/>
              </w:rPr>
              <w:t>Type of information</w:t>
            </w:r>
          </w:p>
        </w:tc>
        <w:tc>
          <w:tcPr>
            <w:tcW w:w="3780" w:type="dxa"/>
            <w:shd w:val="clear" w:color="auto" w:fill="D9D9D9" w:themeFill="background1" w:themeFillShade="D9"/>
          </w:tcPr>
          <w:p w:rsidR="00EE3924" w:rsidRPr="00F7263B" w:rsidRDefault="00EE3924" w:rsidP="00DA2BBC">
            <w:pPr>
              <w:tabs>
                <w:tab w:val="left" w:pos="0"/>
              </w:tabs>
              <w:contextualSpacing/>
              <w:jc w:val="center"/>
              <w:rPr>
                <w:rFonts w:cs="Times New Roman"/>
                <w:b/>
                <w:sz w:val="20"/>
                <w:szCs w:val="20"/>
              </w:rPr>
            </w:pPr>
            <w:r w:rsidRPr="00F7263B">
              <w:rPr>
                <w:rFonts w:cs="Times New Roman"/>
                <w:b/>
                <w:sz w:val="20"/>
                <w:szCs w:val="20"/>
              </w:rPr>
              <w:t>Means</w:t>
            </w:r>
          </w:p>
        </w:tc>
        <w:tc>
          <w:tcPr>
            <w:tcW w:w="2250" w:type="dxa"/>
            <w:shd w:val="clear" w:color="auto" w:fill="D9D9D9" w:themeFill="background1" w:themeFillShade="D9"/>
          </w:tcPr>
          <w:p w:rsidR="00EE3924" w:rsidRPr="00F7263B" w:rsidRDefault="00EE3924" w:rsidP="00DA2BBC">
            <w:pPr>
              <w:tabs>
                <w:tab w:val="left" w:pos="0"/>
              </w:tabs>
              <w:contextualSpacing/>
              <w:jc w:val="center"/>
              <w:rPr>
                <w:rFonts w:cs="Times New Roman"/>
                <w:b/>
                <w:sz w:val="20"/>
                <w:szCs w:val="20"/>
              </w:rPr>
            </w:pPr>
            <w:r w:rsidRPr="00F7263B">
              <w:rPr>
                <w:rFonts w:cs="Times New Roman"/>
                <w:b/>
                <w:sz w:val="20"/>
                <w:szCs w:val="20"/>
              </w:rPr>
              <w:t>Frequency</w:t>
            </w:r>
          </w:p>
        </w:tc>
      </w:tr>
      <w:tr w:rsidR="00EE3924" w:rsidRPr="00F7263B" w:rsidTr="00DA2BBC">
        <w:trPr>
          <w:trHeight w:val="353"/>
        </w:trPr>
        <w:tc>
          <w:tcPr>
            <w:tcW w:w="3330" w:type="dxa"/>
            <w:vMerge w:val="restart"/>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Implementation experience,institutional performance, physical progress and outputs, technical aspects of the Program, and achievement of the key performance indicators.</w:t>
            </w:r>
          </w:p>
        </w:tc>
        <w:tc>
          <w:tcPr>
            <w:tcW w:w="378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ULGs, regional governments, and MUDHCo, each with responsibilities as described above.</w:t>
            </w:r>
          </w:p>
        </w:tc>
        <w:tc>
          <w:tcPr>
            <w:tcW w:w="2250" w:type="dxa"/>
          </w:tcPr>
          <w:p w:rsidR="00EE3924" w:rsidRPr="00F7263B" w:rsidRDefault="00EE3924" w:rsidP="00E9566D">
            <w:pPr>
              <w:tabs>
                <w:tab w:val="left" w:pos="0"/>
              </w:tabs>
              <w:contextualSpacing/>
              <w:rPr>
                <w:rFonts w:cs="Times New Roman"/>
                <w:sz w:val="20"/>
                <w:szCs w:val="20"/>
              </w:rPr>
            </w:pPr>
            <w:r w:rsidRPr="00F7263B">
              <w:rPr>
                <w:rFonts w:cs="Times New Roman"/>
                <w:sz w:val="20"/>
                <w:szCs w:val="20"/>
              </w:rPr>
              <w:t xml:space="preserve">Two reports a year, with the content as agreed with the Bank.  </w:t>
            </w:r>
          </w:p>
        </w:tc>
      </w:tr>
      <w:tr w:rsidR="00EE3924" w:rsidRPr="00F7263B" w:rsidTr="00DA2BBC">
        <w:trPr>
          <w:trHeight w:val="352"/>
        </w:trPr>
        <w:tc>
          <w:tcPr>
            <w:tcW w:w="3330" w:type="dxa"/>
            <w:vMerge/>
          </w:tcPr>
          <w:p w:rsidR="00EE3924" w:rsidRPr="00F7263B" w:rsidRDefault="00EE3924" w:rsidP="00DA2BBC">
            <w:pPr>
              <w:tabs>
                <w:tab w:val="left" w:pos="0"/>
              </w:tabs>
              <w:contextualSpacing/>
              <w:rPr>
                <w:rFonts w:cs="Times New Roman"/>
                <w:sz w:val="20"/>
                <w:szCs w:val="20"/>
              </w:rPr>
            </w:pPr>
          </w:p>
        </w:tc>
        <w:tc>
          <w:tcPr>
            <w:tcW w:w="378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APA</w:t>
            </w:r>
          </w:p>
        </w:tc>
        <w:tc>
          <w:tcPr>
            <w:tcW w:w="225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Annually</w:t>
            </w:r>
          </w:p>
        </w:tc>
      </w:tr>
      <w:tr w:rsidR="00EE3924" w:rsidRPr="00F7263B" w:rsidTr="00DA2BBC">
        <w:tc>
          <w:tcPr>
            <w:tcW w:w="3330" w:type="dxa"/>
            <w:tcBorders>
              <w:bottom w:val="single" w:sz="4" w:space="0" w:color="auto"/>
            </w:tcBorders>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Achievements of infrastructure plans and targets</w:t>
            </w:r>
          </w:p>
        </w:tc>
        <w:tc>
          <w:tcPr>
            <w:tcW w:w="3780" w:type="dxa"/>
            <w:tcBorders>
              <w:bottom w:val="single" w:sz="4" w:space="0" w:color="auto"/>
            </w:tcBorders>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APA</w:t>
            </w:r>
          </w:p>
        </w:tc>
        <w:tc>
          <w:tcPr>
            <w:tcW w:w="2250" w:type="dxa"/>
            <w:tcBorders>
              <w:bottom w:val="single" w:sz="4" w:space="0" w:color="auto"/>
            </w:tcBorders>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Annually</w:t>
            </w:r>
          </w:p>
        </w:tc>
      </w:tr>
      <w:tr w:rsidR="00EE3924" w:rsidRPr="00F7263B" w:rsidTr="00DA2BBC">
        <w:tc>
          <w:tcPr>
            <w:tcW w:w="3330" w:type="dxa"/>
            <w:shd w:val="clear" w:color="auto" w:fill="FFFFFF" w:themeFill="background1"/>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Value for the money</w:t>
            </w:r>
          </w:p>
        </w:tc>
        <w:tc>
          <w:tcPr>
            <w:tcW w:w="3780" w:type="dxa"/>
            <w:shd w:val="clear" w:color="auto" w:fill="FFFFFF" w:themeFill="background1"/>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Value for the money audits, results to feed into the APA and impact on allocations</w:t>
            </w:r>
          </w:p>
        </w:tc>
        <w:tc>
          <w:tcPr>
            <w:tcW w:w="2250" w:type="dxa"/>
            <w:shd w:val="clear" w:color="auto" w:fill="FFFFFF" w:themeFill="background1"/>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Every year starting in the third APA</w:t>
            </w:r>
          </w:p>
        </w:tc>
      </w:tr>
      <w:tr w:rsidR="00EE3924" w:rsidRPr="00F7263B" w:rsidTr="00DA2BBC">
        <w:tc>
          <w:tcPr>
            <w:tcW w:w="333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Financial reporting (use of funds, expenditure composition, and the like)</w:t>
            </w:r>
          </w:p>
        </w:tc>
        <w:tc>
          <w:tcPr>
            <w:tcW w:w="378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Annual financial statements, semiannual financial reports, internal audit reports, annual external audit reports</w:t>
            </w:r>
          </w:p>
        </w:tc>
        <w:tc>
          <w:tcPr>
            <w:tcW w:w="225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 xml:space="preserve">Semiannually </w:t>
            </w:r>
          </w:p>
          <w:p w:rsidR="00EE3924" w:rsidRPr="00F7263B" w:rsidRDefault="00EE3924" w:rsidP="00DA2BBC">
            <w:pPr>
              <w:tabs>
                <w:tab w:val="left" w:pos="0"/>
              </w:tabs>
              <w:contextualSpacing/>
              <w:rPr>
                <w:rFonts w:cs="Times New Roman"/>
                <w:sz w:val="20"/>
                <w:szCs w:val="20"/>
              </w:rPr>
            </w:pPr>
            <w:r w:rsidRPr="00F7263B">
              <w:rPr>
                <w:rFonts w:cs="Times New Roman"/>
                <w:sz w:val="20"/>
                <w:szCs w:val="20"/>
              </w:rPr>
              <w:t>Annually</w:t>
            </w:r>
          </w:p>
        </w:tc>
      </w:tr>
      <w:tr w:rsidR="00EE3924" w:rsidRPr="00F7263B" w:rsidTr="00DA2BBC">
        <w:tc>
          <w:tcPr>
            <w:tcW w:w="333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Detailed review of implementation experience,achievement of the key performance indicators, and progress towards the PDOs.</w:t>
            </w:r>
          </w:p>
        </w:tc>
        <w:tc>
          <w:tcPr>
            <w:tcW w:w="378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Midterm review.</w:t>
            </w:r>
          </w:p>
        </w:tc>
        <w:tc>
          <w:tcPr>
            <w:tcW w:w="2250" w:type="dxa"/>
          </w:tcPr>
          <w:p w:rsidR="00EE3924" w:rsidRPr="00F7263B" w:rsidRDefault="00EE3924" w:rsidP="00DA2BBC">
            <w:pPr>
              <w:tabs>
                <w:tab w:val="left" w:pos="0"/>
              </w:tabs>
              <w:contextualSpacing/>
              <w:rPr>
                <w:rFonts w:cs="Times New Roman"/>
                <w:sz w:val="20"/>
                <w:szCs w:val="20"/>
              </w:rPr>
            </w:pPr>
            <w:r w:rsidRPr="00F7263B">
              <w:rPr>
                <w:rFonts w:cs="Times New Roman"/>
                <w:sz w:val="20"/>
                <w:szCs w:val="20"/>
              </w:rPr>
              <w:t>Once in the Program (2017)</w:t>
            </w:r>
          </w:p>
        </w:tc>
      </w:tr>
    </w:tbl>
    <w:p w:rsidR="00EE3924" w:rsidRPr="00F7263B" w:rsidRDefault="00EE3924" w:rsidP="00EE3924">
      <w:pPr>
        <w:pStyle w:val="ListParagraph"/>
        <w:rPr>
          <w:rFonts w:cs="Times New Roman"/>
          <w:sz w:val="20"/>
          <w:szCs w:val="20"/>
        </w:rPr>
      </w:pPr>
    </w:p>
    <w:p w:rsidR="00AB72CB" w:rsidRPr="00F7263B" w:rsidRDefault="00383DEA" w:rsidP="00383DEA">
      <w:pPr>
        <w:rPr>
          <w:b/>
          <w:sz w:val="20"/>
          <w:szCs w:val="20"/>
        </w:rPr>
      </w:pPr>
      <w:r w:rsidRPr="00F7263B">
        <w:rPr>
          <w:b/>
          <w:sz w:val="20"/>
          <w:szCs w:val="20"/>
        </w:rPr>
        <w:t>Governance s</w:t>
      </w:r>
      <w:r w:rsidR="00AB72CB" w:rsidRPr="00F7263B">
        <w:rPr>
          <w:b/>
          <w:sz w:val="20"/>
          <w:szCs w:val="20"/>
        </w:rPr>
        <w:t xml:space="preserve">tructure and </w:t>
      </w:r>
      <w:r w:rsidRPr="00F7263B">
        <w:rPr>
          <w:b/>
          <w:sz w:val="20"/>
          <w:szCs w:val="20"/>
        </w:rPr>
        <w:t>institutional a</w:t>
      </w:r>
      <w:r w:rsidR="00AB72CB" w:rsidRPr="00F7263B">
        <w:rPr>
          <w:b/>
          <w:sz w:val="20"/>
          <w:szCs w:val="20"/>
        </w:rPr>
        <w:t>rrangements</w:t>
      </w:r>
    </w:p>
    <w:p w:rsidR="00AB72CB" w:rsidRPr="00F7263B" w:rsidRDefault="00AB72CB" w:rsidP="00383DEA">
      <w:pPr>
        <w:rPr>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The institutional arrangements will be based on the experiences from the current ULGDP, with clear division of tasks and responsibilities between involved parties,as per the </w:t>
      </w:r>
      <w:r w:rsidR="00830508" w:rsidRPr="00F7263B">
        <w:rPr>
          <w:rFonts w:cs="Times New Roman"/>
          <w:sz w:val="20"/>
          <w:szCs w:val="20"/>
        </w:rPr>
        <w:t>government</w:t>
      </w:r>
      <w:r w:rsidRPr="00F7263B">
        <w:rPr>
          <w:rFonts w:cs="Times New Roman"/>
          <w:sz w:val="20"/>
          <w:szCs w:val="20"/>
        </w:rPr>
        <w:t xml:space="preserve"> structure and consistent with existing legal provisions, regulations and guidelines</w:t>
      </w:r>
      <w:r w:rsidR="00383DEA" w:rsidRPr="00F7263B">
        <w:rPr>
          <w:rFonts w:cs="Times New Roman"/>
          <w:sz w:val="20"/>
          <w:szCs w:val="20"/>
        </w:rPr>
        <w:t xml:space="preserve">.  </w:t>
      </w:r>
      <w:r w:rsidRPr="00F7263B">
        <w:rPr>
          <w:rFonts w:cs="Times New Roman"/>
          <w:sz w:val="20"/>
          <w:szCs w:val="20"/>
        </w:rPr>
        <w:t>An additional enhancement under the Program to the institutional arrangements established under ULGDP, as discussed earlier, will be the technical involvement of the regional governments in implementation, see</w:t>
      </w:r>
      <w:r w:rsidR="00E7593E" w:rsidRPr="00F7263B">
        <w:rPr>
          <w:rFonts w:cs="Times New Roman"/>
          <w:sz w:val="20"/>
          <w:szCs w:val="20"/>
        </w:rPr>
        <w:t xml:space="preserve"> below</w:t>
      </w:r>
      <w:r w:rsidRPr="00F7263B">
        <w:rPr>
          <w:rFonts w:cs="Times New Roman"/>
          <w:sz w:val="20"/>
          <w:szCs w:val="20"/>
        </w:rPr>
        <w:t xml:space="preserve"> for a </w:t>
      </w:r>
      <w:r w:rsidR="00E7593E" w:rsidRPr="00F7263B">
        <w:rPr>
          <w:rFonts w:cs="Times New Roman"/>
          <w:sz w:val="20"/>
          <w:szCs w:val="20"/>
        </w:rPr>
        <w:t>summary</w:t>
      </w:r>
      <w:r w:rsidRPr="00F7263B">
        <w:rPr>
          <w:rFonts w:cs="Times New Roman"/>
          <w:sz w:val="20"/>
          <w:szCs w:val="20"/>
        </w:rPr>
        <w:t xml:space="preserve"> of the main agencies involved</w:t>
      </w:r>
      <w:r w:rsidR="00E7593E" w:rsidRPr="00F7263B">
        <w:rPr>
          <w:rFonts w:cs="Times New Roman"/>
          <w:sz w:val="20"/>
          <w:szCs w:val="20"/>
        </w:rPr>
        <w:t xml:space="preserve"> and their roles</w:t>
      </w:r>
      <w:r w:rsidR="00383DEA" w:rsidRPr="00F7263B">
        <w:rPr>
          <w:rFonts w:cs="Times New Roman"/>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AB72CB" w:rsidRPr="00F7263B" w:rsidRDefault="00AB72CB" w:rsidP="00AB72CB">
      <w:pPr>
        <w:pStyle w:val="ListParagraph"/>
        <w:tabs>
          <w:tab w:val="right" w:pos="90"/>
          <w:tab w:val="right" w:pos="270"/>
        </w:tabs>
        <w:ind w:left="0"/>
        <w:jc w:val="both"/>
        <w:rPr>
          <w:rFonts w:cs="Times New Roman"/>
          <w:i/>
          <w:sz w:val="20"/>
          <w:szCs w:val="20"/>
        </w:rPr>
      </w:pPr>
      <w:r w:rsidRPr="00F7263B">
        <w:rPr>
          <w:rFonts w:cs="Times New Roman"/>
          <w:i/>
          <w:sz w:val="20"/>
          <w:szCs w:val="20"/>
        </w:rPr>
        <w:t>Federal level</w:t>
      </w: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At the federal level, </w:t>
      </w:r>
    </w:p>
    <w:p w:rsidR="00AB72CB" w:rsidRPr="00F7263B" w:rsidRDefault="00276BC8" w:rsidP="000649C5">
      <w:pPr>
        <w:pStyle w:val="ListParagraph"/>
        <w:numPr>
          <w:ilvl w:val="1"/>
          <w:numId w:val="64"/>
        </w:numPr>
        <w:spacing w:after="200"/>
        <w:jc w:val="both"/>
        <w:rPr>
          <w:rFonts w:cs="Times New Roman"/>
          <w:sz w:val="20"/>
          <w:szCs w:val="20"/>
        </w:rPr>
      </w:pPr>
      <w:r w:rsidRPr="00F7263B">
        <w:rPr>
          <w:rFonts w:cs="Times New Roman"/>
          <w:sz w:val="20"/>
          <w:szCs w:val="20"/>
        </w:rPr>
        <w:t>MUDHCo</w:t>
      </w:r>
      <w:r w:rsidR="00AB72CB" w:rsidRPr="00F7263B">
        <w:rPr>
          <w:rFonts w:cs="Times New Roman"/>
          <w:sz w:val="20"/>
          <w:szCs w:val="20"/>
        </w:rPr>
        <w:t xml:space="preserve"> will have the following main tasks:</w:t>
      </w:r>
    </w:p>
    <w:p w:rsidR="006E7278" w:rsidRPr="00F7263B" w:rsidRDefault="00AB72CB" w:rsidP="00056FC8">
      <w:pPr>
        <w:pStyle w:val="ListParagraph"/>
        <w:numPr>
          <w:ilvl w:val="2"/>
          <w:numId w:val="64"/>
        </w:numPr>
        <w:tabs>
          <w:tab w:val="right" w:pos="90"/>
          <w:tab w:val="right" w:pos="270"/>
        </w:tabs>
        <w:spacing w:after="200"/>
        <w:ind w:hanging="720"/>
        <w:jc w:val="both"/>
        <w:rPr>
          <w:rFonts w:cs="Times New Roman"/>
          <w:sz w:val="20"/>
          <w:szCs w:val="20"/>
        </w:rPr>
      </w:pPr>
      <w:r w:rsidRPr="00F7263B">
        <w:rPr>
          <w:rFonts w:cs="Times New Roman"/>
          <w:sz w:val="20"/>
          <w:szCs w:val="20"/>
        </w:rPr>
        <w:t xml:space="preserve">Capacity building architecture of the Program, including direct support to regional and urban local governments; </w:t>
      </w:r>
    </w:p>
    <w:p w:rsidR="006E7278" w:rsidRPr="00F7263B" w:rsidRDefault="00AB72CB" w:rsidP="00056FC8">
      <w:pPr>
        <w:pStyle w:val="ListParagraph"/>
        <w:numPr>
          <w:ilvl w:val="2"/>
          <w:numId w:val="64"/>
        </w:numPr>
        <w:tabs>
          <w:tab w:val="right" w:pos="90"/>
          <w:tab w:val="right" w:pos="270"/>
        </w:tabs>
        <w:spacing w:after="200"/>
        <w:ind w:hanging="720"/>
        <w:jc w:val="both"/>
        <w:rPr>
          <w:rFonts w:cs="Times New Roman"/>
          <w:sz w:val="20"/>
          <w:szCs w:val="20"/>
        </w:rPr>
      </w:pPr>
      <w:r w:rsidRPr="00F7263B">
        <w:rPr>
          <w:rFonts w:cs="Times New Roman"/>
          <w:sz w:val="20"/>
          <w:szCs w:val="20"/>
        </w:rPr>
        <w:t>Establishment and operation of the federal mobile teams as described in the annex on capacity building;</w:t>
      </w:r>
    </w:p>
    <w:p w:rsidR="006E7278" w:rsidRPr="00F7263B" w:rsidRDefault="00AB72CB" w:rsidP="00056FC8">
      <w:pPr>
        <w:pStyle w:val="ListParagraph"/>
        <w:numPr>
          <w:ilvl w:val="2"/>
          <w:numId w:val="64"/>
        </w:numPr>
        <w:tabs>
          <w:tab w:val="right" w:pos="90"/>
          <w:tab w:val="right" w:pos="270"/>
        </w:tabs>
        <w:spacing w:after="200"/>
        <w:ind w:hanging="720"/>
        <w:jc w:val="both"/>
        <w:rPr>
          <w:rFonts w:cs="Times New Roman"/>
          <w:sz w:val="20"/>
          <w:szCs w:val="20"/>
        </w:rPr>
      </w:pPr>
      <w:r w:rsidRPr="00F7263B">
        <w:rPr>
          <w:rFonts w:cs="Times New Roman"/>
          <w:sz w:val="20"/>
          <w:szCs w:val="20"/>
        </w:rPr>
        <w:t>Monitoring and backstopping support of the regional mobile teams;</w:t>
      </w:r>
    </w:p>
    <w:p w:rsidR="006E7278" w:rsidRPr="00F7263B" w:rsidRDefault="00AB72CB" w:rsidP="00056FC8">
      <w:pPr>
        <w:pStyle w:val="ListParagraph"/>
        <w:numPr>
          <w:ilvl w:val="2"/>
          <w:numId w:val="64"/>
        </w:numPr>
        <w:tabs>
          <w:tab w:val="right" w:pos="90"/>
          <w:tab w:val="right" w:pos="270"/>
        </w:tabs>
        <w:spacing w:after="200"/>
        <w:ind w:hanging="720"/>
        <w:jc w:val="both"/>
        <w:rPr>
          <w:rFonts w:cs="Times New Roman"/>
          <w:sz w:val="20"/>
          <w:szCs w:val="20"/>
        </w:rPr>
      </w:pPr>
      <w:r w:rsidRPr="00F7263B">
        <w:rPr>
          <w:rFonts w:cs="Times New Roman"/>
          <w:sz w:val="20"/>
          <w:szCs w:val="20"/>
        </w:rPr>
        <w:t xml:space="preserve">Program management, including the procurement and management of the annual performance assessment and value for the money audits; </w:t>
      </w:r>
    </w:p>
    <w:p w:rsidR="00B53D8B" w:rsidRPr="00F7263B" w:rsidRDefault="00AB72CB" w:rsidP="00056FC8">
      <w:pPr>
        <w:pStyle w:val="ListParagraph"/>
        <w:numPr>
          <w:ilvl w:val="2"/>
          <w:numId w:val="64"/>
        </w:numPr>
        <w:tabs>
          <w:tab w:val="right" w:pos="90"/>
          <w:tab w:val="right" w:pos="270"/>
        </w:tabs>
        <w:spacing w:after="200"/>
        <w:ind w:hanging="720"/>
        <w:jc w:val="both"/>
        <w:rPr>
          <w:rFonts w:cs="Times New Roman"/>
          <w:sz w:val="20"/>
          <w:szCs w:val="20"/>
        </w:rPr>
      </w:pPr>
      <w:r w:rsidRPr="00F7263B">
        <w:rPr>
          <w:rFonts w:cs="Times New Roman"/>
          <w:sz w:val="20"/>
          <w:szCs w:val="20"/>
        </w:rPr>
        <w:t>Program reporting, including the annual Program report</w:t>
      </w:r>
      <w:r w:rsidR="00B53D8B" w:rsidRPr="00F7263B">
        <w:rPr>
          <w:rFonts w:cs="Times New Roman"/>
          <w:sz w:val="20"/>
          <w:szCs w:val="20"/>
        </w:rPr>
        <w:t>;</w:t>
      </w:r>
    </w:p>
    <w:p w:rsidR="006E7278" w:rsidRPr="00F7263B" w:rsidRDefault="00B53D8B" w:rsidP="00056FC8">
      <w:pPr>
        <w:pStyle w:val="ListParagraph"/>
        <w:numPr>
          <w:ilvl w:val="2"/>
          <w:numId w:val="64"/>
        </w:numPr>
        <w:tabs>
          <w:tab w:val="right" w:pos="90"/>
          <w:tab w:val="right" w:pos="270"/>
        </w:tabs>
        <w:spacing w:after="200"/>
        <w:ind w:hanging="720"/>
        <w:jc w:val="both"/>
        <w:rPr>
          <w:rFonts w:cs="Times New Roman"/>
          <w:sz w:val="20"/>
          <w:szCs w:val="20"/>
        </w:rPr>
      </w:pPr>
      <w:r w:rsidRPr="00F7263B">
        <w:rPr>
          <w:rFonts w:cs="Times New Roman"/>
          <w:sz w:val="20"/>
          <w:szCs w:val="20"/>
        </w:rPr>
        <w:t>Backstopping and guidance in issues such as ULG planning, assets management and own source revenue mobilization.</w:t>
      </w:r>
    </w:p>
    <w:p w:rsidR="00AB72CB" w:rsidRPr="00F7263B" w:rsidRDefault="00AB72CB" w:rsidP="00D92D63">
      <w:pPr>
        <w:pStyle w:val="ListParagraph"/>
        <w:numPr>
          <w:ilvl w:val="1"/>
          <w:numId w:val="64"/>
        </w:numPr>
        <w:tabs>
          <w:tab w:val="right" w:pos="90"/>
          <w:tab w:val="right" w:pos="270"/>
        </w:tabs>
        <w:spacing w:after="200"/>
        <w:jc w:val="both"/>
        <w:rPr>
          <w:rFonts w:cs="Times New Roman"/>
          <w:sz w:val="20"/>
          <w:szCs w:val="20"/>
        </w:rPr>
      </w:pPr>
      <w:r w:rsidRPr="00F7263B">
        <w:rPr>
          <w:rFonts w:cs="Times New Roman"/>
          <w:sz w:val="20"/>
          <w:szCs w:val="20"/>
        </w:rPr>
        <w:t xml:space="preserve">MoFED will have the responsibility for transfer of funds, financial management, including reporting and compilation of federal fiscal reports; </w:t>
      </w:r>
    </w:p>
    <w:p w:rsidR="00AB72CB" w:rsidRPr="00F7263B" w:rsidRDefault="00AB72CB" w:rsidP="00D92D63">
      <w:pPr>
        <w:pStyle w:val="ListParagraph"/>
        <w:numPr>
          <w:ilvl w:val="1"/>
          <w:numId w:val="64"/>
        </w:numPr>
        <w:tabs>
          <w:tab w:val="right" w:pos="90"/>
          <w:tab w:val="right" w:pos="270"/>
        </w:tabs>
        <w:spacing w:after="200"/>
        <w:jc w:val="both"/>
        <w:rPr>
          <w:rFonts w:cs="Times New Roman"/>
          <w:sz w:val="20"/>
          <w:szCs w:val="20"/>
        </w:rPr>
      </w:pPr>
      <w:r w:rsidRPr="00F7263B">
        <w:rPr>
          <w:rFonts w:cs="Times New Roman"/>
          <w:sz w:val="20"/>
          <w:szCs w:val="20"/>
        </w:rPr>
        <w:t xml:space="preserve">The Office of the Auditor General (OFAG) will be in charge of the annual Program audit, which will include all Program entities (44 ULGs, 9 </w:t>
      </w:r>
      <w:r w:rsidR="00BD1B5F" w:rsidRPr="00F7263B">
        <w:rPr>
          <w:rFonts w:cs="Times New Roman"/>
          <w:sz w:val="20"/>
          <w:szCs w:val="20"/>
        </w:rPr>
        <w:t>regional government</w:t>
      </w:r>
      <w:r w:rsidRPr="00F7263B">
        <w:rPr>
          <w:rFonts w:cs="Times New Roman"/>
          <w:sz w:val="20"/>
          <w:szCs w:val="20"/>
        </w:rPr>
        <w:t xml:space="preserve">s and </w:t>
      </w:r>
      <w:r w:rsidR="00276BC8" w:rsidRPr="00F7263B">
        <w:rPr>
          <w:rFonts w:cs="Times New Roman"/>
          <w:sz w:val="20"/>
          <w:szCs w:val="20"/>
        </w:rPr>
        <w:t>MUDHCo</w:t>
      </w:r>
      <w:r w:rsidRPr="00F7263B">
        <w:rPr>
          <w:rFonts w:cs="Times New Roman"/>
          <w:sz w:val="20"/>
          <w:szCs w:val="20"/>
        </w:rPr>
        <w:t xml:space="preserve">) to ensure that </w:t>
      </w:r>
      <w:r w:rsidRPr="00F7263B">
        <w:rPr>
          <w:rFonts w:cs="Times New Roman"/>
          <w:sz w:val="20"/>
          <w:szCs w:val="20"/>
        </w:rPr>
        <w:lastRenderedPageBreak/>
        <w:t>Program resources are budgeted for and disbursed according to the Program’s expenditure framework, and that Program accounts are audited as per statutory requirements;</w:t>
      </w:r>
    </w:p>
    <w:p w:rsidR="008B423D" w:rsidRPr="00F7263B" w:rsidRDefault="008B423D" w:rsidP="00D92D63">
      <w:pPr>
        <w:pStyle w:val="ListParagraph"/>
        <w:numPr>
          <w:ilvl w:val="1"/>
          <w:numId w:val="64"/>
        </w:numPr>
        <w:tabs>
          <w:tab w:val="right" w:pos="90"/>
          <w:tab w:val="right" w:pos="270"/>
        </w:tabs>
        <w:spacing w:after="200"/>
        <w:jc w:val="both"/>
        <w:rPr>
          <w:rFonts w:cs="Times New Roman"/>
          <w:sz w:val="20"/>
          <w:szCs w:val="20"/>
        </w:rPr>
      </w:pPr>
      <w:r w:rsidRPr="00F7263B">
        <w:rPr>
          <w:rFonts w:cs="Times New Roman"/>
          <w:sz w:val="20"/>
          <w:szCs w:val="20"/>
        </w:rPr>
        <w:t>Support to FEAC to strengthen their role in the program</w:t>
      </w:r>
    </w:p>
    <w:p w:rsidR="00AB72CB" w:rsidRPr="00F7263B" w:rsidRDefault="00AB72CB" w:rsidP="00AB72CB">
      <w:pPr>
        <w:pStyle w:val="ListParagraph"/>
        <w:tabs>
          <w:tab w:val="right" w:pos="90"/>
          <w:tab w:val="right" w:pos="270"/>
        </w:tabs>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As per the current ULGDP, </w:t>
      </w:r>
      <w:r w:rsidR="00276BC8" w:rsidRPr="00F7263B">
        <w:rPr>
          <w:rFonts w:cs="Times New Roman"/>
          <w:sz w:val="20"/>
          <w:szCs w:val="20"/>
        </w:rPr>
        <w:t>MUDHCo</w:t>
      </w:r>
      <w:r w:rsidRPr="00F7263B">
        <w:rPr>
          <w:rFonts w:cs="Times New Roman"/>
          <w:sz w:val="20"/>
          <w:szCs w:val="20"/>
        </w:rPr>
        <w:t xml:space="preserve"> will have the overall responsibility for accounting the ULGDP II funds to Parliament</w:t>
      </w:r>
      <w:r w:rsidR="00F54E8E" w:rsidRPr="00F7263B">
        <w:rPr>
          <w:rFonts w:cs="Times New Roman"/>
          <w:sz w:val="20"/>
          <w:szCs w:val="20"/>
        </w:rPr>
        <w:t xml:space="preserve">.  </w:t>
      </w:r>
      <w:r w:rsidRPr="00F7263B">
        <w:rPr>
          <w:rFonts w:cs="Times New Roman"/>
          <w:sz w:val="20"/>
          <w:szCs w:val="20"/>
        </w:rPr>
        <w:t>Day-to-day coordination of the Program will be handled by the Urban Governance and Capacity Building Bureau (UGCBB</w:t>
      </w:r>
      <w:r w:rsidR="00B17200" w:rsidRPr="00F7263B">
        <w:rPr>
          <w:rFonts w:cs="Times New Roman"/>
          <w:sz w:val="20"/>
          <w:szCs w:val="20"/>
        </w:rPr>
        <w:t>) as per current practice (see a</w:t>
      </w:r>
      <w:r w:rsidRPr="00F7263B">
        <w:rPr>
          <w:rFonts w:cs="Times New Roman"/>
          <w:sz w:val="20"/>
          <w:szCs w:val="20"/>
        </w:rPr>
        <w:t xml:space="preserve">nnex for organizational structure of </w:t>
      </w:r>
      <w:r w:rsidR="00276BC8" w:rsidRPr="00F7263B">
        <w:rPr>
          <w:rFonts w:cs="Times New Roman"/>
          <w:sz w:val="20"/>
          <w:szCs w:val="20"/>
        </w:rPr>
        <w:t>MUDHCo</w:t>
      </w:r>
      <w:r w:rsidRPr="00F7263B">
        <w:rPr>
          <w:rFonts w:cs="Times New Roman"/>
          <w:sz w:val="20"/>
          <w:szCs w:val="20"/>
        </w:rPr>
        <w:t>) and a diagram with an overview of the main institutional arrangements</w:t>
      </w:r>
      <w:r w:rsidR="00B53D8B" w:rsidRPr="00F7263B">
        <w:rPr>
          <w:rFonts w:cs="Times New Roman"/>
          <w:sz w:val="20"/>
          <w:szCs w:val="20"/>
        </w:rPr>
        <w:t xml:space="preserve"> in the Technical Assessment</w:t>
      </w:r>
      <w:r w:rsidR="00F54E8E" w:rsidRPr="00F7263B">
        <w:rPr>
          <w:rFonts w:cs="Times New Roman"/>
          <w:sz w:val="20"/>
          <w:szCs w:val="20"/>
        </w:rPr>
        <w:t xml:space="preserve">.  </w:t>
      </w:r>
      <w:r w:rsidRPr="00F7263B">
        <w:rPr>
          <w:rFonts w:cs="Times New Roman"/>
          <w:sz w:val="20"/>
          <w:szCs w:val="20"/>
        </w:rPr>
        <w:t xml:space="preserve">The division of tasks will be clearly outlined in the ULGDP </w:t>
      </w:r>
      <w:r w:rsidR="007414BF" w:rsidRPr="00F7263B">
        <w:rPr>
          <w:rFonts w:cs="Times New Roman"/>
          <w:sz w:val="20"/>
          <w:szCs w:val="20"/>
        </w:rPr>
        <w:t>Operational Manual</w:t>
      </w:r>
      <w:r w:rsidRPr="00F7263B">
        <w:rPr>
          <w:rFonts w:cs="Times New Roman"/>
          <w:sz w:val="20"/>
          <w:szCs w:val="20"/>
        </w:rPr>
        <w:t>, which is currently being updated to be ready for the start of the second phase.</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As explained above in the capacity building section and in the </w:t>
      </w:r>
      <w:r w:rsidR="00B53D8B" w:rsidRPr="00F7263B">
        <w:rPr>
          <w:rFonts w:cs="Times New Roman"/>
          <w:sz w:val="20"/>
          <w:szCs w:val="20"/>
        </w:rPr>
        <w:t>section</w:t>
      </w:r>
      <w:r w:rsidRPr="00F7263B">
        <w:rPr>
          <w:rFonts w:cs="Times New Roman"/>
          <w:sz w:val="20"/>
          <w:szCs w:val="20"/>
        </w:rPr>
        <w:t xml:space="preserve"> on capacity building</w:t>
      </w:r>
      <w:r w:rsidR="00702CD8" w:rsidRPr="00F7263B">
        <w:rPr>
          <w:rFonts w:cs="Times New Roman"/>
          <w:sz w:val="20"/>
          <w:szCs w:val="20"/>
        </w:rPr>
        <w:t xml:space="preserve"> from </w:t>
      </w:r>
      <w:r w:rsidR="00B53D8B" w:rsidRPr="00F7263B">
        <w:rPr>
          <w:rFonts w:cs="Times New Roman"/>
          <w:sz w:val="20"/>
          <w:szCs w:val="20"/>
        </w:rPr>
        <w:t>the PAD</w:t>
      </w:r>
      <w:r w:rsidRPr="00F7263B">
        <w:rPr>
          <w:rFonts w:cs="Times New Roman"/>
          <w:sz w:val="20"/>
          <w:szCs w:val="20"/>
        </w:rPr>
        <w:t xml:space="preserve">, </w:t>
      </w:r>
      <w:r w:rsidR="00276BC8" w:rsidRPr="00F7263B">
        <w:rPr>
          <w:rFonts w:cs="Times New Roman"/>
          <w:sz w:val="20"/>
          <w:szCs w:val="20"/>
        </w:rPr>
        <w:t>MUDHCo</w:t>
      </w:r>
      <w:r w:rsidRPr="00F7263B">
        <w:rPr>
          <w:rFonts w:cs="Times New Roman"/>
          <w:sz w:val="20"/>
          <w:szCs w:val="20"/>
        </w:rPr>
        <w:t xml:space="preserve"> will also be responsible for the capacity building architecture, the federal capacity building team, backstopping of the regional teams, and of the Program and management of the annual performance assessments/value for the money audits</w:t>
      </w:r>
      <w:r w:rsidR="00F54E8E" w:rsidRPr="00F7263B">
        <w:rPr>
          <w:rFonts w:cs="Times New Roman"/>
          <w:sz w:val="20"/>
          <w:szCs w:val="20"/>
        </w:rPr>
        <w:t xml:space="preserve">.  </w:t>
      </w:r>
      <w:r w:rsidRPr="00F7263B">
        <w:rPr>
          <w:rFonts w:cs="Times New Roman"/>
          <w:sz w:val="20"/>
          <w:szCs w:val="20"/>
        </w:rPr>
        <w:t>The technical focus of the capacity building support will primarily be the gaps identified at the Program’s annual performance assessment</w:t>
      </w:r>
      <w:r w:rsidR="00F54E8E" w:rsidRPr="00F7263B">
        <w:rPr>
          <w:rFonts w:cs="Times New Roman"/>
          <w:sz w:val="20"/>
          <w:szCs w:val="20"/>
        </w:rPr>
        <w:t xml:space="preserve">.  </w:t>
      </w:r>
      <w:r w:rsidRPr="00F7263B">
        <w:rPr>
          <w:rFonts w:cs="Times New Roman"/>
          <w:sz w:val="20"/>
          <w:szCs w:val="20"/>
        </w:rPr>
        <w:t xml:space="preserve">The results of the ministry’s capacity building support to </w:t>
      </w:r>
      <w:r w:rsidR="00BD1B5F" w:rsidRPr="00F7263B">
        <w:rPr>
          <w:rFonts w:cs="Times New Roman"/>
          <w:sz w:val="20"/>
          <w:szCs w:val="20"/>
        </w:rPr>
        <w:t>regional government</w:t>
      </w:r>
      <w:r w:rsidRPr="00F7263B">
        <w:rPr>
          <w:rFonts w:cs="Times New Roman"/>
          <w:sz w:val="20"/>
          <w:szCs w:val="20"/>
        </w:rPr>
        <w:t>s and ULGs will be annually measured through a distinct DLI (see the DLI section on this for further details).</w:t>
      </w:r>
    </w:p>
    <w:p w:rsidR="00F54E8E" w:rsidRPr="00F7263B" w:rsidRDefault="00F54E8E" w:rsidP="00F54E8E">
      <w:pPr>
        <w:pStyle w:val="ListParagraph"/>
        <w:autoSpaceDE w:val="0"/>
        <w:autoSpaceDN w:val="0"/>
        <w:adjustRightInd w:val="0"/>
        <w:spacing w:after="240"/>
        <w:ind w:left="0"/>
        <w:jc w:val="both"/>
        <w:rPr>
          <w:rFonts w:cs="Times New Roman"/>
          <w:sz w:val="20"/>
          <w:szCs w:val="20"/>
        </w:rPr>
      </w:pPr>
    </w:p>
    <w:p w:rsidR="006E7278" w:rsidRPr="00F7263B" w:rsidRDefault="00276BC8"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MUDHCo</w:t>
      </w:r>
      <w:r w:rsidR="00AB72CB" w:rsidRPr="00F7263B">
        <w:rPr>
          <w:rFonts w:cs="Times New Roman"/>
          <w:sz w:val="20"/>
          <w:szCs w:val="20"/>
        </w:rPr>
        <w:t xml:space="preserve"> will produce and submit to the World Bank an annual Program report which will provide information on the following: </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Summary of the assessment results, including the performance of Program ULGs and the disbursed amounts;</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 xml:space="preserve">Summary of aggregate Program expenditures and Program infrastructure delivered by ULGs; </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 xml:space="preserve">Execution of the </w:t>
      </w:r>
      <w:r w:rsidR="00276BC8" w:rsidRPr="00F7263B">
        <w:rPr>
          <w:rFonts w:cs="Times New Roman"/>
          <w:sz w:val="20"/>
          <w:szCs w:val="20"/>
        </w:rPr>
        <w:t>MUDHCo</w:t>
      </w:r>
      <w:r w:rsidRPr="00F7263B">
        <w:rPr>
          <w:rFonts w:cs="Times New Roman"/>
          <w:sz w:val="20"/>
          <w:szCs w:val="20"/>
        </w:rPr>
        <w:t xml:space="preserve"> capacity building plan; </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 xml:space="preserve">Summary of aggregate capacity building activities undertaken by ULGs and </w:t>
      </w:r>
      <w:r w:rsidR="00BD1B5F" w:rsidRPr="00F7263B">
        <w:rPr>
          <w:rFonts w:cs="Times New Roman"/>
          <w:sz w:val="20"/>
          <w:szCs w:val="20"/>
        </w:rPr>
        <w:t>regional government</w:t>
      </w:r>
      <w:r w:rsidRPr="00F7263B">
        <w:rPr>
          <w:rFonts w:cs="Times New Roman"/>
          <w:sz w:val="20"/>
          <w:szCs w:val="20"/>
        </w:rPr>
        <w:t xml:space="preserve">s; </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 xml:space="preserve">Summary of aggregate environmental and social performance reports from each ULG, including information on grievances;  </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Summary of aggregate information on procurement grievances;</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 xml:space="preserve">Summary of progress against Program’s performance indicators; </w:t>
      </w:r>
    </w:p>
    <w:p w:rsidR="006E7278" w:rsidRPr="00F7263B" w:rsidRDefault="00AB72CB" w:rsidP="00827BD7">
      <w:pPr>
        <w:pStyle w:val="ListParagraph"/>
        <w:numPr>
          <w:ilvl w:val="0"/>
          <w:numId w:val="24"/>
        </w:numPr>
        <w:tabs>
          <w:tab w:val="right" w:pos="90"/>
          <w:tab w:val="right" w:pos="270"/>
        </w:tabs>
        <w:spacing w:after="200"/>
        <w:ind w:left="1080"/>
        <w:jc w:val="both"/>
        <w:rPr>
          <w:rFonts w:cs="Times New Roman"/>
          <w:sz w:val="20"/>
          <w:szCs w:val="20"/>
        </w:rPr>
      </w:pPr>
      <w:r w:rsidRPr="00F7263B">
        <w:rPr>
          <w:rFonts w:cs="Times New Roman"/>
          <w:sz w:val="20"/>
          <w:szCs w:val="20"/>
        </w:rPr>
        <w:t>Summary of aggregate information on fraud and corruption issues</w:t>
      </w:r>
      <w:r w:rsidR="00F54E8E" w:rsidRPr="00F7263B">
        <w:rPr>
          <w:rFonts w:cs="Times New Roman"/>
          <w:sz w:val="20"/>
          <w:szCs w:val="20"/>
        </w:rPr>
        <w:t xml:space="preserve">.  </w:t>
      </w:r>
    </w:p>
    <w:p w:rsidR="00AB72CB" w:rsidRPr="00F7263B" w:rsidRDefault="00AB72CB" w:rsidP="00AB72CB">
      <w:pPr>
        <w:pStyle w:val="ListParagraph"/>
        <w:tabs>
          <w:tab w:val="right" w:pos="90"/>
          <w:tab w:val="right" w:pos="270"/>
        </w:tabs>
        <w:ind w:left="0"/>
        <w:jc w:val="both"/>
        <w:rPr>
          <w:rFonts w:cs="Times New Roman"/>
          <w:sz w:val="20"/>
          <w:szCs w:val="20"/>
        </w:rPr>
      </w:pPr>
    </w:p>
    <w:p w:rsidR="006E7278" w:rsidRPr="00F7263B" w:rsidRDefault="00276BC8"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MUDHCo</w:t>
      </w:r>
      <w:r w:rsidR="00AB72CB" w:rsidRPr="00F7263B">
        <w:rPr>
          <w:rFonts w:cs="Times New Roman"/>
          <w:sz w:val="20"/>
          <w:szCs w:val="20"/>
        </w:rPr>
        <w:t xml:space="preserve"> has been implementing the current program in a satisfactory way and is to be commended for the program’s achievements highlighted above</w:t>
      </w:r>
      <w:r w:rsidR="00F54E8E" w:rsidRPr="00F7263B">
        <w:rPr>
          <w:rFonts w:cs="Times New Roman"/>
          <w:sz w:val="20"/>
          <w:szCs w:val="20"/>
        </w:rPr>
        <w:t xml:space="preserve">.  </w:t>
      </w:r>
      <w:r w:rsidR="00AB72CB" w:rsidRPr="00F7263B">
        <w:rPr>
          <w:rFonts w:cs="Times New Roman"/>
          <w:sz w:val="20"/>
          <w:szCs w:val="20"/>
        </w:rPr>
        <w:t>Importantly, however, there staffing gaps in the ministry, where 73</w:t>
      </w:r>
      <w:r w:rsidR="00F54E8E" w:rsidRPr="00F7263B">
        <w:rPr>
          <w:rFonts w:cs="Times New Roman"/>
          <w:sz w:val="20"/>
          <w:szCs w:val="20"/>
        </w:rPr>
        <w:t xml:space="preserve"> percent</w:t>
      </w:r>
      <w:r w:rsidR="00AB72CB" w:rsidRPr="00F7263B">
        <w:rPr>
          <w:rFonts w:cs="Times New Roman"/>
          <w:sz w:val="20"/>
          <w:szCs w:val="20"/>
        </w:rPr>
        <w:t xml:space="preserve"> of positions in UGCBB and 64</w:t>
      </w:r>
      <w:r w:rsidR="00B17200" w:rsidRPr="00F7263B">
        <w:rPr>
          <w:rFonts w:cs="Times New Roman"/>
          <w:sz w:val="20"/>
          <w:szCs w:val="20"/>
        </w:rPr>
        <w:t>percent</w:t>
      </w:r>
      <w:r w:rsidR="00AB72CB" w:rsidRPr="00F7263B">
        <w:rPr>
          <w:rFonts w:cs="Times New Roman"/>
          <w:sz w:val="20"/>
          <w:szCs w:val="20"/>
        </w:rPr>
        <w:t xml:space="preserve"> of positions in the program management department are filled</w:t>
      </w:r>
      <w:r w:rsidR="00F54E8E" w:rsidRPr="00F7263B">
        <w:rPr>
          <w:rFonts w:cs="Times New Roman"/>
          <w:sz w:val="20"/>
          <w:szCs w:val="20"/>
        </w:rPr>
        <w:t xml:space="preserve">.  </w:t>
      </w:r>
      <w:r w:rsidR="00AB72CB" w:rsidRPr="00F7263B">
        <w:rPr>
          <w:rFonts w:cs="Times New Roman"/>
          <w:sz w:val="20"/>
          <w:szCs w:val="20"/>
        </w:rPr>
        <w:t>The ministry is also implementing other operations in the country, in addition to the ULGDP, with similar degrees of high capacity and staffing demands</w:t>
      </w:r>
      <w:r w:rsidR="00F54E8E" w:rsidRPr="00F7263B">
        <w:rPr>
          <w:rFonts w:cs="Times New Roman"/>
          <w:sz w:val="20"/>
          <w:szCs w:val="20"/>
        </w:rPr>
        <w:t xml:space="preserve">.  </w:t>
      </w:r>
      <w:r w:rsidR="00AB72CB" w:rsidRPr="00F7263B">
        <w:rPr>
          <w:rFonts w:cs="Times New Roman"/>
          <w:sz w:val="20"/>
          <w:szCs w:val="20"/>
        </w:rPr>
        <w:t>The significant geographic and technical scale up of the ULGDP under the proposed PforR, and the existing staffing gaps, if unaddressed, bring considerable risk to the achievement of the operation’s development objective</w:t>
      </w:r>
      <w:r w:rsidR="00F54E8E" w:rsidRPr="00F7263B">
        <w:rPr>
          <w:rFonts w:cs="Times New Roman"/>
          <w:sz w:val="20"/>
          <w:szCs w:val="20"/>
        </w:rPr>
        <w:t xml:space="preserve">.  </w:t>
      </w:r>
      <w:r w:rsidR="00AB72CB" w:rsidRPr="00F7263B">
        <w:rPr>
          <w:rFonts w:cs="Times New Roman"/>
          <w:sz w:val="20"/>
          <w:szCs w:val="20"/>
        </w:rPr>
        <w:t>Therefore there is a serious need to fill the personnel gaps and further strengthen capacity of UGCBB</w:t>
      </w:r>
      <w:r w:rsidR="00F54E8E" w:rsidRPr="00F7263B">
        <w:rPr>
          <w:rFonts w:cs="Times New Roman"/>
          <w:sz w:val="20"/>
          <w:szCs w:val="20"/>
        </w:rPr>
        <w:t xml:space="preserve">.  </w:t>
      </w:r>
      <w:r w:rsidR="00AB72CB" w:rsidRPr="00F7263B">
        <w:rPr>
          <w:rFonts w:cs="Times New Roman"/>
          <w:sz w:val="20"/>
          <w:szCs w:val="20"/>
        </w:rPr>
        <w:t>The specific actions on this area are detailed in the Program action plan below, and the strengthening of the federal capacity through the mobile teams to provide support to regions and ULGs.</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As per ULGDP, MoFED will be responsible for handling the flow of funds to the regions and Program ULGs</w:t>
      </w:r>
      <w:r w:rsidR="00F54E8E" w:rsidRPr="00F7263B">
        <w:rPr>
          <w:rFonts w:cs="Times New Roman"/>
          <w:sz w:val="20"/>
          <w:szCs w:val="20"/>
        </w:rPr>
        <w:t xml:space="preserve">.  </w:t>
      </w:r>
      <w:r w:rsidRPr="00F7263B">
        <w:rPr>
          <w:rFonts w:cs="Times New Roman"/>
          <w:sz w:val="20"/>
          <w:szCs w:val="20"/>
        </w:rPr>
        <w:t>It will also prepare semi-annual and annual financial reports</w:t>
      </w:r>
      <w:r w:rsidR="00F54E8E" w:rsidRPr="00F7263B">
        <w:rPr>
          <w:rFonts w:cs="Times New Roman"/>
          <w:sz w:val="20"/>
          <w:szCs w:val="20"/>
        </w:rPr>
        <w:t xml:space="preserve">.  </w:t>
      </w:r>
      <w:r w:rsidRPr="00F7263B">
        <w:rPr>
          <w:rFonts w:cs="Times New Roman"/>
          <w:sz w:val="20"/>
          <w:szCs w:val="20"/>
        </w:rPr>
        <w:t xml:space="preserve">The flow of funds will be simplified compared to the existing system, with tranches </w:t>
      </w:r>
      <w:r w:rsidR="00AF73B3" w:rsidRPr="00F7263B">
        <w:rPr>
          <w:rFonts w:cs="Times New Roman"/>
          <w:sz w:val="20"/>
          <w:szCs w:val="20"/>
        </w:rPr>
        <w:t xml:space="preserve">twice a year </w:t>
      </w:r>
      <w:r w:rsidRPr="00F7263B">
        <w:rPr>
          <w:rFonts w:cs="Times New Roman"/>
          <w:sz w:val="20"/>
          <w:szCs w:val="20"/>
        </w:rPr>
        <w:t>based on results of annual performance assessments</w:t>
      </w:r>
      <w:r w:rsidR="00F54E8E" w:rsidRPr="00F7263B">
        <w:rPr>
          <w:rFonts w:cs="Times New Roman"/>
          <w:sz w:val="20"/>
          <w:szCs w:val="20"/>
        </w:rPr>
        <w:t xml:space="preserve">.  </w:t>
      </w:r>
    </w:p>
    <w:p w:rsidR="00AB72CB" w:rsidRPr="00F7263B" w:rsidRDefault="00AB72CB" w:rsidP="00AB72CB">
      <w:pPr>
        <w:pStyle w:val="ListParagraph"/>
        <w:tabs>
          <w:tab w:val="right" w:pos="90"/>
          <w:tab w:val="right" w:pos="270"/>
        </w:tabs>
        <w:ind w:left="0"/>
        <w:jc w:val="both"/>
        <w:rPr>
          <w:rFonts w:cs="Times New Roman"/>
          <w:sz w:val="20"/>
          <w:szCs w:val="20"/>
        </w:rPr>
      </w:pPr>
    </w:p>
    <w:p w:rsidR="00AB72CB" w:rsidRPr="00F7263B" w:rsidRDefault="00AB72CB" w:rsidP="00AB72CB">
      <w:pPr>
        <w:pStyle w:val="ListParagraph"/>
        <w:tabs>
          <w:tab w:val="right" w:pos="90"/>
          <w:tab w:val="right" w:pos="270"/>
        </w:tabs>
        <w:ind w:left="0"/>
        <w:jc w:val="both"/>
        <w:rPr>
          <w:rFonts w:cs="Times New Roman"/>
          <w:i/>
          <w:sz w:val="20"/>
          <w:szCs w:val="20"/>
        </w:rPr>
      </w:pPr>
      <w:r w:rsidRPr="00F7263B">
        <w:rPr>
          <w:rFonts w:cs="Times New Roman"/>
          <w:i/>
          <w:sz w:val="20"/>
          <w:szCs w:val="20"/>
        </w:rPr>
        <w:t>Regional level</w:t>
      </w:r>
    </w:p>
    <w:p w:rsidR="00F54E8E" w:rsidRPr="00F7263B" w:rsidRDefault="00F54E8E" w:rsidP="00AB72CB">
      <w:pPr>
        <w:pStyle w:val="ListParagraph"/>
        <w:tabs>
          <w:tab w:val="right" w:pos="90"/>
          <w:tab w:val="right" w:pos="270"/>
        </w:tabs>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At the regional government level</w:t>
      </w:r>
      <w:r w:rsidR="00AF73B3" w:rsidRPr="00F7263B">
        <w:rPr>
          <w:rFonts w:cs="Times New Roman"/>
          <w:sz w:val="20"/>
          <w:szCs w:val="20"/>
        </w:rPr>
        <w:t>:</w:t>
      </w:r>
    </w:p>
    <w:p w:rsidR="006E7278" w:rsidRPr="00F7263B" w:rsidRDefault="00AB72CB" w:rsidP="00056FC8">
      <w:pPr>
        <w:pStyle w:val="ListParagraph"/>
        <w:numPr>
          <w:ilvl w:val="1"/>
          <w:numId w:val="65"/>
        </w:numPr>
        <w:spacing w:after="200"/>
        <w:ind w:left="1260"/>
        <w:jc w:val="both"/>
        <w:rPr>
          <w:rFonts w:cs="Times New Roman"/>
          <w:sz w:val="20"/>
          <w:szCs w:val="20"/>
        </w:rPr>
      </w:pPr>
      <w:r w:rsidRPr="00F7263B">
        <w:rPr>
          <w:rFonts w:cs="Times New Roman"/>
          <w:sz w:val="20"/>
          <w:szCs w:val="20"/>
        </w:rPr>
        <w:t>Regional government BUD</w:t>
      </w:r>
      <w:r w:rsidR="00AF73B3" w:rsidRPr="00F7263B">
        <w:rPr>
          <w:rFonts w:cs="Times New Roman"/>
          <w:sz w:val="20"/>
          <w:szCs w:val="20"/>
        </w:rPr>
        <w:t>s</w:t>
      </w:r>
      <w:r w:rsidRPr="00F7263B">
        <w:rPr>
          <w:rFonts w:cs="Times New Roman"/>
          <w:sz w:val="20"/>
          <w:szCs w:val="20"/>
        </w:rPr>
        <w:t xml:space="preserve"> will be the core coordinating office</w:t>
      </w:r>
      <w:r w:rsidR="00F54E8E" w:rsidRPr="00F7263B">
        <w:rPr>
          <w:rFonts w:cs="Times New Roman"/>
          <w:sz w:val="20"/>
          <w:szCs w:val="20"/>
        </w:rPr>
        <w:t xml:space="preserve">.  </w:t>
      </w:r>
      <w:r w:rsidRPr="00F7263B">
        <w:rPr>
          <w:rFonts w:cs="Times New Roman"/>
          <w:sz w:val="20"/>
          <w:szCs w:val="20"/>
        </w:rPr>
        <w:t xml:space="preserve">They will be responsible for the following:  </w:t>
      </w:r>
    </w:p>
    <w:p w:rsidR="006E7278" w:rsidRPr="00F7263B" w:rsidRDefault="00AB72CB" w:rsidP="00056FC8">
      <w:pPr>
        <w:pStyle w:val="ListParagraph"/>
        <w:numPr>
          <w:ilvl w:val="2"/>
          <w:numId w:val="65"/>
        </w:numPr>
        <w:spacing w:after="200"/>
        <w:ind w:left="1710" w:hanging="360"/>
        <w:jc w:val="both"/>
        <w:rPr>
          <w:rFonts w:cs="Times New Roman"/>
          <w:sz w:val="20"/>
          <w:szCs w:val="20"/>
        </w:rPr>
      </w:pPr>
      <w:r w:rsidRPr="00F7263B">
        <w:rPr>
          <w:rFonts w:cs="Times New Roman"/>
          <w:sz w:val="20"/>
          <w:szCs w:val="20"/>
        </w:rPr>
        <w:t xml:space="preserve">Capacity building of the ULGs in their jurisdiction; </w:t>
      </w:r>
    </w:p>
    <w:p w:rsidR="006E7278" w:rsidRPr="00F7263B" w:rsidRDefault="00AB72CB" w:rsidP="00056FC8">
      <w:pPr>
        <w:pStyle w:val="ListParagraph"/>
        <w:numPr>
          <w:ilvl w:val="2"/>
          <w:numId w:val="65"/>
        </w:numPr>
        <w:spacing w:after="200"/>
        <w:ind w:left="1710" w:hanging="360"/>
        <w:jc w:val="both"/>
        <w:rPr>
          <w:rFonts w:cs="Times New Roman"/>
          <w:sz w:val="20"/>
          <w:szCs w:val="20"/>
        </w:rPr>
      </w:pPr>
      <w:r w:rsidRPr="00F7263B">
        <w:rPr>
          <w:rFonts w:cs="Times New Roman"/>
          <w:sz w:val="20"/>
          <w:szCs w:val="20"/>
        </w:rPr>
        <w:t>Consolidation of progress reports from ULGs;</w:t>
      </w:r>
    </w:p>
    <w:p w:rsidR="006E7278" w:rsidRPr="00F7263B" w:rsidRDefault="00AB72CB" w:rsidP="00056FC8">
      <w:pPr>
        <w:pStyle w:val="ListParagraph"/>
        <w:numPr>
          <w:ilvl w:val="2"/>
          <w:numId w:val="65"/>
        </w:numPr>
        <w:spacing w:after="200"/>
        <w:ind w:left="1710" w:hanging="360"/>
        <w:jc w:val="both"/>
        <w:rPr>
          <w:rFonts w:cs="Times New Roman"/>
          <w:sz w:val="20"/>
          <w:szCs w:val="20"/>
        </w:rPr>
      </w:pPr>
      <w:r w:rsidRPr="00F7263B">
        <w:rPr>
          <w:rFonts w:cs="Times New Roman"/>
          <w:sz w:val="20"/>
          <w:szCs w:val="20"/>
        </w:rPr>
        <w:t>Oversight functions and backstopping support on various tasks related with the Program.</w:t>
      </w:r>
    </w:p>
    <w:p w:rsidR="006E7278" w:rsidRPr="00F7263B" w:rsidRDefault="00AB72CB" w:rsidP="00056FC8">
      <w:pPr>
        <w:pStyle w:val="ListParagraph"/>
        <w:numPr>
          <w:ilvl w:val="1"/>
          <w:numId w:val="65"/>
        </w:numPr>
        <w:spacing w:after="200"/>
        <w:ind w:left="1260"/>
        <w:jc w:val="both"/>
        <w:rPr>
          <w:rFonts w:cs="Times New Roman"/>
          <w:sz w:val="20"/>
          <w:szCs w:val="20"/>
        </w:rPr>
      </w:pPr>
      <w:r w:rsidRPr="00F7263B">
        <w:rPr>
          <w:rFonts w:cs="Times New Roman"/>
          <w:sz w:val="20"/>
          <w:szCs w:val="20"/>
        </w:rPr>
        <w:lastRenderedPageBreak/>
        <w:t xml:space="preserve">Regional audit offices (ORAG) will conduct, either directly or through delegated authority, the external audit of ULG audits; </w:t>
      </w:r>
    </w:p>
    <w:p w:rsidR="006E7278" w:rsidRPr="00F7263B" w:rsidRDefault="00AB72CB" w:rsidP="00056FC8">
      <w:pPr>
        <w:pStyle w:val="ListParagraph"/>
        <w:numPr>
          <w:ilvl w:val="1"/>
          <w:numId w:val="65"/>
        </w:numPr>
        <w:spacing w:after="200"/>
        <w:ind w:left="1260"/>
        <w:jc w:val="both"/>
        <w:rPr>
          <w:rFonts w:cs="Times New Roman"/>
          <w:sz w:val="20"/>
          <w:szCs w:val="20"/>
        </w:rPr>
      </w:pPr>
      <w:r w:rsidRPr="00F7263B">
        <w:rPr>
          <w:rFonts w:cs="Times New Roman"/>
          <w:sz w:val="20"/>
          <w:szCs w:val="20"/>
        </w:rPr>
        <w:t xml:space="preserve">Regional environmental protection agencies (REPA) will ensure compliance at the ULG level with the environmental regulations; </w:t>
      </w:r>
    </w:p>
    <w:p w:rsidR="006E7278" w:rsidRPr="00F7263B" w:rsidRDefault="006E7278" w:rsidP="00056FC8">
      <w:pPr>
        <w:pStyle w:val="ListParagraph"/>
        <w:numPr>
          <w:ilvl w:val="1"/>
          <w:numId w:val="65"/>
        </w:numPr>
        <w:spacing w:after="200"/>
        <w:ind w:left="1260"/>
        <w:jc w:val="both"/>
        <w:rPr>
          <w:rFonts w:cs="Times New Roman"/>
          <w:sz w:val="20"/>
          <w:szCs w:val="20"/>
        </w:rPr>
      </w:pPr>
      <w:r w:rsidRPr="00F7263B">
        <w:rPr>
          <w:rFonts w:cs="Times New Roman"/>
          <w:sz w:val="20"/>
          <w:szCs w:val="20"/>
        </w:rPr>
        <w:t xml:space="preserve">Regional </w:t>
      </w:r>
      <w:r w:rsidR="00AF73B3" w:rsidRPr="00F7263B">
        <w:rPr>
          <w:rFonts w:cs="Times New Roman"/>
          <w:sz w:val="20"/>
          <w:szCs w:val="20"/>
        </w:rPr>
        <w:t>revenue a</w:t>
      </w:r>
      <w:r w:rsidRPr="00F7263B">
        <w:rPr>
          <w:rFonts w:cs="Times New Roman"/>
          <w:sz w:val="20"/>
          <w:szCs w:val="20"/>
        </w:rPr>
        <w:t xml:space="preserve">uthorities will support the ULGs in their initiatives to improve on </w:t>
      </w:r>
      <w:r w:rsidR="00D5646A" w:rsidRPr="00F7263B">
        <w:rPr>
          <w:rFonts w:cs="Times New Roman"/>
          <w:sz w:val="20"/>
          <w:szCs w:val="20"/>
        </w:rPr>
        <w:t>own source revenue</w:t>
      </w:r>
      <w:r w:rsidRPr="00F7263B">
        <w:rPr>
          <w:rFonts w:cs="Times New Roman"/>
          <w:sz w:val="20"/>
          <w:szCs w:val="20"/>
        </w:rPr>
        <w:t xml:space="preserve"> mobilization;</w:t>
      </w:r>
    </w:p>
    <w:p w:rsidR="006E7278" w:rsidRPr="00F7263B" w:rsidRDefault="00AB72CB" w:rsidP="00056FC8">
      <w:pPr>
        <w:pStyle w:val="ListParagraph"/>
        <w:numPr>
          <w:ilvl w:val="1"/>
          <w:numId w:val="65"/>
        </w:numPr>
        <w:spacing w:after="200"/>
        <w:ind w:left="1260"/>
        <w:jc w:val="both"/>
        <w:rPr>
          <w:rFonts w:cs="Times New Roman"/>
          <w:sz w:val="20"/>
          <w:szCs w:val="20"/>
        </w:rPr>
      </w:pPr>
      <w:r w:rsidRPr="00F7263B">
        <w:rPr>
          <w:rFonts w:cs="Times New Roman"/>
          <w:sz w:val="20"/>
          <w:szCs w:val="20"/>
        </w:rPr>
        <w:t xml:space="preserve">Bureaus of Finance </w:t>
      </w:r>
      <w:r w:rsidR="004B3487" w:rsidRPr="00F7263B">
        <w:rPr>
          <w:rFonts w:cs="Times New Roman"/>
          <w:sz w:val="20"/>
          <w:szCs w:val="20"/>
        </w:rPr>
        <w:t>and Economic Development (Bo</w:t>
      </w:r>
      <w:r w:rsidRPr="00F7263B">
        <w:rPr>
          <w:rFonts w:cs="Times New Roman"/>
          <w:sz w:val="20"/>
          <w:szCs w:val="20"/>
        </w:rPr>
        <w:t>FED) will manage flow of funds at this level, and consolidate the fiscal reporting from the ULGs for onward submission to the federal level;</w:t>
      </w:r>
    </w:p>
    <w:p w:rsidR="006E7278" w:rsidRPr="00F7263B" w:rsidRDefault="00AB72CB" w:rsidP="00056FC8">
      <w:pPr>
        <w:pStyle w:val="ListParagraph"/>
        <w:numPr>
          <w:ilvl w:val="1"/>
          <w:numId w:val="65"/>
        </w:numPr>
        <w:spacing w:after="200"/>
        <w:ind w:left="1260"/>
        <w:jc w:val="both"/>
        <w:rPr>
          <w:rFonts w:cs="Times New Roman"/>
          <w:sz w:val="20"/>
          <w:szCs w:val="20"/>
        </w:rPr>
      </w:pPr>
      <w:r w:rsidRPr="00F7263B">
        <w:rPr>
          <w:rFonts w:cs="Times New Roman"/>
          <w:sz w:val="20"/>
          <w:szCs w:val="20"/>
        </w:rPr>
        <w:t>Capacity building support to the ULGs, especially organized by the 4 regions Amhara, Tigray, Oromia and SNNPR where there is a stronger capacity available, and where there are several ULGs enrolled, where regional mobile teams will be established to support ULGs</w:t>
      </w:r>
      <w:r w:rsidR="00F54E8E" w:rsidRPr="00F7263B">
        <w:rPr>
          <w:rFonts w:cs="Times New Roman"/>
          <w:sz w:val="20"/>
          <w:szCs w:val="20"/>
        </w:rPr>
        <w:t xml:space="preserve">.  </w:t>
      </w:r>
    </w:p>
    <w:p w:rsidR="00AB72CB" w:rsidRPr="00F7263B" w:rsidRDefault="00AB72CB" w:rsidP="00AB72CB">
      <w:pPr>
        <w:pStyle w:val="ListParagraph"/>
        <w:tabs>
          <w:tab w:val="right" w:pos="90"/>
          <w:tab w:val="right" w:pos="270"/>
        </w:tabs>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The track record of </w:t>
      </w:r>
      <w:r w:rsidR="00BD1B5F" w:rsidRPr="00F7263B">
        <w:rPr>
          <w:rFonts w:cs="Times New Roman"/>
          <w:sz w:val="20"/>
          <w:szCs w:val="20"/>
        </w:rPr>
        <w:t>regional government</w:t>
      </w:r>
      <w:r w:rsidRPr="00F7263B">
        <w:rPr>
          <w:rFonts w:cs="Times New Roman"/>
          <w:sz w:val="20"/>
          <w:szCs w:val="20"/>
        </w:rPr>
        <w:t xml:space="preserve"> support to ULGs to date has been mixed</w:t>
      </w:r>
      <w:r w:rsidR="00F54E8E" w:rsidRPr="00F7263B">
        <w:rPr>
          <w:rFonts w:cs="Times New Roman"/>
          <w:sz w:val="20"/>
          <w:szCs w:val="20"/>
        </w:rPr>
        <w:t xml:space="preserve">.  </w:t>
      </w:r>
      <w:r w:rsidRPr="00F7263B">
        <w:rPr>
          <w:rFonts w:cs="Times New Roman"/>
          <w:sz w:val="20"/>
          <w:szCs w:val="20"/>
        </w:rPr>
        <w:t xml:space="preserve">While some regions have been executing their capacity building and oversight mandates vis-à-vis the ULGs in a satisfactory and even sometimes proactive manner, other </w:t>
      </w:r>
      <w:r w:rsidR="00BD1B5F" w:rsidRPr="00F7263B">
        <w:rPr>
          <w:rFonts w:cs="Times New Roman"/>
          <w:sz w:val="20"/>
          <w:szCs w:val="20"/>
        </w:rPr>
        <w:t>regional government</w:t>
      </w:r>
      <w:r w:rsidRPr="00F7263B">
        <w:rPr>
          <w:rFonts w:cs="Times New Roman"/>
          <w:sz w:val="20"/>
          <w:szCs w:val="20"/>
        </w:rPr>
        <w:t>s have not performed as well, exemplified by delayed external audits, or lack of response to ULG request for the approval of bringing flexibility to tariff and tax structures</w:t>
      </w:r>
      <w:r w:rsidR="00F54E8E" w:rsidRPr="00F7263B">
        <w:rPr>
          <w:rFonts w:cs="Times New Roman"/>
          <w:sz w:val="20"/>
          <w:szCs w:val="20"/>
        </w:rPr>
        <w:t xml:space="preserve">.  </w:t>
      </w:r>
      <w:r w:rsidRPr="00F7263B">
        <w:rPr>
          <w:rFonts w:cs="Times New Roman"/>
          <w:sz w:val="20"/>
          <w:szCs w:val="20"/>
        </w:rPr>
        <w:t xml:space="preserve">Given this mixed track record and the increase, under ULGDP II, in the technical role to be played by </w:t>
      </w:r>
      <w:r w:rsidR="00BD1B5F" w:rsidRPr="00F7263B">
        <w:rPr>
          <w:rFonts w:cs="Times New Roman"/>
          <w:sz w:val="20"/>
          <w:szCs w:val="20"/>
        </w:rPr>
        <w:t>regional government</w:t>
      </w:r>
      <w:r w:rsidRPr="00F7263B">
        <w:rPr>
          <w:rFonts w:cs="Times New Roman"/>
          <w:sz w:val="20"/>
          <w:szCs w:val="20"/>
        </w:rPr>
        <w:t xml:space="preserve">s, particularly their role for supporting the enhancement of ULG capacity, and the addition of four more </w:t>
      </w:r>
      <w:r w:rsidR="00BD1B5F" w:rsidRPr="00F7263B">
        <w:rPr>
          <w:rFonts w:cs="Times New Roman"/>
          <w:sz w:val="20"/>
          <w:szCs w:val="20"/>
        </w:rPr>
        <w:t>regional government</w:t>
      </w:r>
      <w:r w:rsidRPr="00F7263B">
        <w:rPr>
          <w:rFonts w:cs="Times New Roman"/>
          <w:sz w:val="20"/>
          <w:szCs w:val="20"/>
        </w:rPr>
        <w:t>s who did not participate in the ULGDP, collectively increase the risk at this tier of government against the achievement of Program PDO</w:t>
      </w:r>
      <w:r w:rsidR="00F54E8E" w:rsidRPr="00F7263B">
        <w:rPr>
          <w:rFonts w:cs="Times New Roman"/>
          <w:sz w:val="20"/>
          <w:szCs w:val="20"/>
        </w:rPr>
        <w:t xml:space="preserve">.  </w:t>
      </w:r>
      <w:r w:rsidRPr="00F7263B">
        <w:rPr>
          <w:rFonts w:cs="Times New Roman"/>
          <w:sz w:val="20"/>
          <w:szCs w:val="20"/>
        </w:rPr>
        <w:t xml:space="preserve">It should be underlined, however, that the four new </w:t>
      </w:r>
      <w:r w:rsidR="00BD1B5F" w:rsidRPr="00F7263B">
        <w:rPr>
          <w:rFonts w:cs="Times New Roman"/>
          <w:sz w:val="20"/>
          <w:szCs w:val="20"/>
        </w:rPr>
        <w:t>regional government</w:t>
      </w:r>
      <w:r w:rsidRPr="00F7263B">
        <w:rPr>
          <w:rFonts w:cs="Times New Roman"/>
          <w:sz w:val="20"/>
          <w:szCs w:val="20"/>
        </w:rPr>
        <w:t>s (Afar, Benishangul</w:t>
      </w:r>
      <w:r w:rsidR="0054500B" w:rsidRPr="00F7263B">
        <w:rPr>
          <w:rFonts w:cs="Times New Roman"/>
          <w:sz w:val="20"/>
          <w:szCs w:val="20"/>
        </w:rPr>
        <w:t>Gumuz</w:t>
      </w:r>
      <w:r w:rsidRPr="00F7263B">
        <w:rPr>
          <w:rFonts w:cs="Times New Roman"/>
          <w:sz w:val="20"/>
          <w:szCs w:val="20"/>
        </w:rPr>
        <w:t>, Gambella and Somali) will only have one Program ULG each in their jurisdiction, with a total population of 284,093, which constitutes 6.5</w:t>
      </w:r>
      <w:r w:rsidR="004B3487" w:rsidRPr="00F7263B">
        <w:rPr>
          <w:rFonts w:cs="Times New Roman"/>
          <w:sz w:val="20"/>
          <w:szCs w:val="20"/>
        </w:rPr>
        <w:t xml:space="preserve"> percent</w:t>
      </w:r>
      <w:r w:rsidRPr="00F7263B">
        <w:rPr>
          <w:rFonts w:cs="Times New Roman"/>
          <w:sz w:val="20"/>
          <w:szCs w:val="20"/>
        </w:rPr>
        <w:t xml:space="preserve"> of the total population in 44 ULGs</w:t>
      </w:r>
      <w:r w:rsidR="00F54E8E" w:rsidRPr="00F7263B">
        <w:rPr>
          <w:rFonts w:cs="Times New Roman"/>
          <w:sz w:val="20"/>
          <w:szCs w:val="20"/>
        </w:rPr>
        <w:t xml:space="preserve">.  </w:t>
      </w:r>
      <w:r w:rsidRPr="00F7263B">
        <w:rPr>
          <w:rFonts w:cs="Times New Roman"/>
          <w:sz w:val="20"/>
          <w:szCs w:val="20"/>
        </w:rPr>
        <w:t xml:space="preserve">Therefore, the addition of new four </w:t>
      </w:r>
      <w:r w:rsidR="00BD1B5F" w:rsidRPr="00F7263B">
        <w:rPr>
          <w:rFonts w:cs="Times New Roman"/>
          <w:sz w:val="20"/>
          <w:szCs w:val="20"/>
        </w:rPr>
        <w:t>regional government</w:t>
      </w:r>
      <w:r w:rsidRPr="00F7263B">
        <w:rPr>
          <w:rFonts w:cs="Times New Roman"/>
          <w:sz w:val="20"/>
          <w:szCs w:val="20"/>
        </w:rPr>
        <w:t>s to the Program is expected to add a marginal risk to the overall risk at the regional government level</w:t>
      </w:r>
      <w:r w:rsidR="00F54E8E" w:rsidRPr="00F7263B">
        <w:rPr>
          <w:rFonts w:cs="Times New Roman"/>
          <w:sz w:val="20"/>
          <w:szCs w:val="20"/>
        </w:rPr>
        <w:t xml:space="preserve">.  </w:t>
      </w:r>
      <w:r w:rsidRPr="00F7263B">
        <w:rPr>
          <w:rFonts w:cs="Times New Roman"/>
          <w:sz w:val="20"/>
          <w:szCs w:val="20"/>
        </w:rPr>
        <w:t>The four re</w:t>
      </w:r>
      <w:r w:rsidR="004B3487" w:rsidRPr="00F7263B">
        <w:rPr>
          <w:rFonts w:cs="Times New Roman"/>
          <w:sz w:val="20"/>
          <w:szCs w:val="20"/>
        </w:rPr>
        <w:t>gions will be supported by the federal m</w:t>
      </w:r>
      <w:r w:rsidRPr="00F7263B">
        <w:rPr>
          <w:rFonts w:cs="Times New Roman"/>
          <w:sz w:val="20"/>
          <w:szCs w:val="20"/>
        </w:rPr>
        <w:t>obile team, which will also provide support to Di</w:t>
      </w:r>
      <w:r w:rsidR="00B17200" w:rsidRPr="00F7263B">
        <w:rPr>
          <w:rFonts w:cs="Times New Roman"/>
          <w:sz w:val="20"/>
          <w:szCs w:val="20"/>
        </w:rPr>
        <w:t>r</w:t>
      </w:r>
      <w:r w:rsidRPr="00F7263B">
        <w:rPr>
          <w:rFonts w:cs="Times New Roman"/>
          <w:sz w:val="20"/>
          <w:szCs w:val="20"/>
        </w:rPr>
        <w:t>aDawa and Harar</w:t>
      </w:r>
      <w:r w:rsidR="00F54E8E" w:rsidRPr="00F7263B">
        <w:rPr>
          <w:rFonts w:cs="Times New Roman"/>
          <w:sz w:val="20"/>
          <w:szCs w:val="20"/>
        </w:rPr>
        <w:t xml:space="preserve">.  </w:t>
      </w:r>
      <w:r w:rsidRPr="00F7263B">
        <w:rPr>
          <w:rFonts w:cs="Times New Roman"/>
          <w:sz w:val="20"/>
          <w:szCs w:val="20"/>
        </w:rPr>
        <w:t>The Program design takes these risks into account and mitigates them, to the extent possible, through (</w:t>
      </w:r>
      <w:r w:rsidR="004B3487" w:rsidRPr="00F7263B">
        <w:rPr>
          <w:rFonts w:cs="Times New Roman"/>
          <w:sz w:val="20"/>
          <w:szCs w:val="20"/>
        </w:rPr>
        <w:t>a</w:t>
      </w:r>
      <w:r w:rsidRPr="00F7263B">
        <w:rPr>
          <w:rFonts w:cs="Times New Roman"/>
          <w:sz w:val="20"/>
          <w:szCs w:val="20"/>
        </w:rPr>
        <w:t xml:space="preserve">) DLIs which target results at the </w:t>
      </w:r>
      <w:r w:rsidR="00BD1B5F" w:rsidRPr="00F7263B">
        <w:rPr>
          <w:rFonts w:cs="Times New Roman"/>
          <w:sz w:val="20"/>
          <w:szCs w:val="20"/>
        </w:rPr>
        <w:t>regional government</w:t>
      </w:r>
      <w:r w:rsidRPr="00F7263B">
        <w:rPr>
          <w:rFonts w:cs="Times New Roman"/>
          <w:sz w:val="20"/>
          <w:szCs w:val="20"/>
        </w:rPr>
        <w:t xml:space="preserve"> level and Federal level </w:t>
      </w:r>
      <w:r w:rsidR="0065739F" w:rsidRPr="00F7263B">
        <w:rPr>
          <w:rFonts w:cs="Times New Roman"/>
          <w:sz w:val="20"/>
          <w:szCs w:val="20"/>
        </w:rPr>
        <w:t>capacity building</w:t>
      </w:r>
      <w:r w:rsidRPr="00F7263B">
        <w:rPr>
          <w:rFonts w:cs="Times New Roman"/>
          <w:sz w:val="20"/>
          <w:szCs w:val="20"/>
        </w:rPr>
        <w:t xml:space="preserve"> and backstopping support, and (</w:t>
      </w:r>
      <w:r w:rsidR="004B3487" w:rsidRPr="00F7263B">
        <w:rPr>
          <w:rFonts w:cs="Times New Roman"/>
          <w:sz w:val="20"/>
          <w:szCs w:val="20"/>
        </w:rPr>
        <w:t>b</w:t>
      </w:r>
      <w:r w:rsidRPr="00F7263B">
        <w:rPr>
          <w:rFonts w:cs="Times New Roman"/>
          <w:sz w:val="20"/>
          <w:szCs w:val="20"/>
        </w:rPr>
        <w:t>) Program action plan elements which target this tier of government</w:t>
      </w:r>
      <w:r w:rsidR="00F54E8E" w:rsidRPr="00F7263B">
        <w:rPr>
          <w:rFonts w:cs="Times New Roman"/>
          <w:sz w:val="20"/>
          <w:szCs w:val="20"/>
        </w:rPr>
        <w:t xml:space="preserve">.  </w:t>
      </w:r>
    </w:p>
    <w:p w:rsidR="00AB72CB" w:rsidRPr="00F7263B" w:rsidRDefault="00AB72CB" w:rsidP="00AB72CB">
      <w:pPr>
        <w:pStyle w:val="ListParagraph"/>
        <w:tabs>
          <w:tab w:val="right" w:pos="90"/>
          <w:tab w:val="right" w:pos="270"/>
        </w:tabs>
        <w:ind w:left="0"/>
        <w:jc w:val="both"/>
        <w:rPr>
          <w:rFonts w:cs="Times New Roman"/>
          <w:sz w:val="20"/>
          <w:szCs w:val="20"/>
        </w:rPr>
      </w:pPr>
    </w:p>
    <w:p w:rsidR="00AB72CB" w:rsidRPr="00F7263B" w:rsidRDefault="00AB72CB" w:rsidP="00AB72CB">
      <w:pPr>
        <w:pStyle w:val="ListParagraph"/>
        <w:tabs>
          <w:tab w:val="right" w:pos="90"/>
          <w:tab w:val="right" w:pos="270"/>
        </w:tabs>
        <w:ind w:left="0"/>
        <w:jc w:val="both"/>
        <w:rPr>
          <w:rFonts w:cs="Times New Roman"/>
          <w:i/>
          <w:sz w:val="20"/>
          <w:szCs w:val="20"/>
        </w:rPr>
      </w:pPr>
      <w:r w:rsidRPr="00F7263B">
        <w:rPr>
          <w:rFonts w:cs="Times New Roman"/>
          <w:i/>
          <w:sz w:val="20"/>
          <w:szCs w:val="20"/>
        </w:rPr>
        <w:t>ULG level</w:t>
      </w:r>
    </w:p>
    <w:p w:rsidR="004B3487" w:rsidRPr="00F7263B" w:rsidRDefault="004B3487" w:rsidP="00AB72CB">
      <w:pPr>
        <w:pStyle w:val="ListParagraph"/>
        <w:tabs>
          <w:tab w:val="right" w:pos="90"/>
          <w:tab w:val="right" w:pos="270"/>
        </w:tabs>
        <w:ind w:left="0"/>
        <w:jc w:val="both"/>
        <w:rPr>
          <w:rFonts w:cs="Times New Roman"/>
          <w:i/>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At the ULG level, the mayor’s office will be responsible for the overall performance of the ULG, and based on a signed Program participation agreement, the tasks will be clearly defined in areas of </w:t>
      </w:r>
      <w:r w:rsidR="00702CD8" w:rsidRPr="00F7263B">
        <w:rPr>
          <w:rFonts w:cs="Times New Roman"/>
          <w:sz w:val="20"/>
          <w:szCs w:val="20"/>
        </w:rPr>
        <w:t>matching</w:t>
      </w:r>
      <w:r w:rsidRPr="00F7263B">
        <w:rPr>
          <w:rFonts w:cs="Times New Roman"/>
          <w:sz w:val="20"/>
          <w:szCs w:val="20"/>
        </w:rPr>
        <w:t xml:space="preserve"> funding, compliance with </w:t>
      </w:r>
      <w:r w:rsidR="00913A93" w:rsidRPr="00F7263B">
        <w:rPr>
          <w:rFonts w:cs="Times New Roman"/>
          <w:sz w:val="20"/>
          <w:szCs w:val="20"/>
        </w:rPr>
        <w:t>minimum conditions</w:t>
      </w:r>
      <w:r w:rsidRPr="00F7263B">
        <w:rPr>
          <w:rFonts w:cs="Times New Roman"/>
          <w:sz w:val="20"/>
          <w:szCs w:val="20"/>
        </w:rPr>
        <w:t>, performance criteria, accountability requirements and operations</w:t>
      </w:r>
      <w:r w:rsidR="00F54E8E" w:rsidRPr="00F7263B">
        <w:rPr>
          <w:rFonts w:cs="Times New Roman"/>
          <w:sz w:val="20"/>
          <w:szCs w:val="20"/>
        </w:rPr>
        <w:t xml:space="preserve">.  </w:t>
      </w:r>
      <w:r w:rsidRPr="00F7263B">
        <w:rPr>
          <w:rFonts w:cs="Times New Roman"/>
          <w:sz w:val="20"/>
          <w:szCs w:val="20"/>
        </w:rPr>
        <w:t>The project selection and approval will be done at the city council level after involvement of citizens in the process of identification and prioritization and the established appraisal committees with heads of departments, chaired by the mayor or the city manager</w:t>
      </w:r>
      <w:r w:rsidR="00F54E8E" w:rsidRPr="00F7263B">
        <w:rPr>
          <w:rFonts w:cs="Times New Roman"/>
          <w:sz w:val="20"/>
          <w:szCs w:val="20"/>
        </w:rPr>
        <w:t xml:space="preserve">.  </w:t>
      </w:r>
      <w:r w:rsidRPr="00F7263B">
        <w:rPr>
          <w:rFonts w:cs="Times New Roman"/>
          <w:sz w:val="20"/>
          <w:szCs w:val="20"/>
        </w:rPr>
        <w:t>ULGs will also ensure compliance with all financial management, procurement and environmental and social safeguards and regulations</w:t>
      </w:r>
      <w:r w:rsidR="00F54E8E" w:rsidRPr="00F7263B">
        <w:rPr>
          <w:rFonts w:cs="Times New Roman"/>
          <w:sz w:val="20"/>
          <w:szCs w:val="20"/>
        </w:rPr>
        <w:t xml:space="preserve">.  </w:t>
      </w:r>
      <w:r w:rsidRPr="00F7263B">
        <w:rPr>
          <w:rFonts w:cs="Times New Roman"/>
          <w:sz w:val="20"/>
          <w:szCs w:val="20"/>
        </w:rPr>
        <w:t>If key parts of these areas are not complied with as stated in the Program’s minimum conditions, no Program funds will flow under DLIs 1, 2 and 3</w:t>
      </w:r>
      <w:r w:rsidR="00F54E8E" w:rsidRPr="00F7263B">
        <w:rPr>
          <w:rFonts w:cs="Times New Roman"/>
          <w:sz w:val="20"/>
          <w:szCs w:val="20"/>
        </w:rPr>
        <w:t xml:space="preserve">.  </w:t>
      </w:r>
    </w:p>
    <w:p w:rsidR="004B3487" w:rsidRPr="00F7263B" w:rsidRDefault="004B3487" w:rsidP="00AB72CB">
      <w:pPr>
        <w:pStyle w:val="ListParagraph"/>
        <w:autoSpaceDE w:val="0"/>
        <w:autoSpaceDN w:val="0"/>
        <w:adjustRightInd w:val="0"/>
        <w:spacing w:after="240"/>
        <w:ind w:left="0"/>
        <w:jc w:val="both"/>
        <w:rPr>
          <w:rFonts w:cs="Times New Roman"/>
          <w:sz w:val="20"/>
          <w:szCs w:val="20"/>
        </w:rPr>
      </w:pPr>
    </w:p>
    <w:p w:rsidR="006E7278" w:rsidRPr="00F7263B" w:rsidRDefault="004B3487" w:rsidP="00056FC8">
      <w:pPr>
        <w:pStyle w:val="ListParagraph"/>
        <w:numPr>
          <w:ilvl w:val="0"/>
          <w:numId w:val="62"/>
        </w:numPr>
        <w:autoSpaceDE w:val="0"/>
        <w:autoSpaceDN w:val="0"/>
        <w:adjustRightInd w:val="0"/>
        <w:ind w:left="0" w:firstLine="0"/>
        <w:jc w:val="both"/>
        <w:rPr>
          <w:rFonts w:cs="Times New Roman"/>
          <w:sz w:val="20"/>
          <w:szCs w:val="20"/>
        </w:rPr>
      </w:pPr>
      <w:r w:rsidRPr="00F7263B">
        <w:rPr>
          <w:sz w:val="20"/>
          <w:szCs w:val="20"/>
        </w:rPr>
        <w:t>An analysis of staffing carried out as part of Program preparation reveals that most ULGs have the necessary staff, but a few need to fill key positions to access Program funds.  As would be expected, the 26 cities joining the Program’s performance grant mechanism have the greatest percentage of unfilled positions.  Based on data from 27 ULGs, about 82 percent of positions at OFEDs filled, with an average of 39 staff.About 84 percent of core financial management and procurement positions are filled, with an average of 22 staff.  Some 85 percent of audit and inspection positions are filled, with an average of 5 staff. In budgeting and planning, some 64 percent of the positions filled, at an average of fourstaff.  The 19 ULGs assessed have an average of seven engineers or similar positions. In terms of education of staff, the ULGs have an average of 15 staff with BA/</w:t>
      </w:r>
      <w:r w:rsidR="00B17200" w:rsidRPr="00F7263B">
        <w:rPr>
          <w:sz w:val="20"/>
          <w:szCs w:val="20"/>
        </w:rPr>
        <w:t>BSc</w:t>
      </w:r>
      <w:r w:rsidRPr="00F7263B">
        <w:rPr>
          <w:sz w:val="20"/>
          <w:szCs w:val="20"/>
        </w:rPr>
        <w:t xml:space="preserve"> or higher education.  However, there is great variation, ranging from three (Motta) to 44 (Hawassa). The 26 new ULGs have a lower number of filled positions (77 percent are filled with an average of 31 staff in contrast to 86 percent with an average of 47 staff for the 18 existing ULGs.  They also have less capacity in the core positions(see the summary table below).  All ULGs are expected to have the necessary core staff in place by Program effectiveness; ULGs that do not meet this minimum condition will not be able to access Program funds (</w:t>
      </w:r>
      <w:r w:rsidR="00AB72CB" w:rsidRPr="00F7263B">
        <w:rPr>
          <w:sz w:val="20"/>
          <w:szCs w:val="20"/>
        </w:rPr>
        <w:t>see the summary table below</w:t>
      </w:r>
      <w:r w:rsidRPr="00F7263B">
        <w:rPr>
          <w:sz w:val="20"/>
          <w:szCs w:val="20"/>
        </w:rPr>
        <w:t>).</w:t>
      </w:r>
    </w:p>
    <w:p w:rsidR="004B3487" w:rsidRPr="00F7263B" w:rsidRDefault="004B3487" w:rsidP="004B3487">
      <w:pPr>
        <w:pStyle w:val="ListParagraph"/>
        <w:autoSpaceDE w:val="0"/>
        <w:autoSpaceDN w:val="0"/>
        <w:adjustRightInd w:val="0"/>
        <w:ind w:left="0"/>
        <w:jc w:val="both"/>
        <w:rPr>
          <w:rFonts w:cs="Times New Roman"/>
          <w:sz w:val="20"/>
          <w:szCs w:val="20"/>
        </w:rPr>
      </w:pPr>
    </w:p>
    <w:tbl>
      <w:tblPr>
        <w:tblStyle w:val="TableGrid"/>
        <w:tblW w:w="5000" w:type="pct"/>
        <w:tblLook w:val="00A0" w:firstRow="1" w:lastRow="0" w:firstColumn="1" w:lastColumn="0" w:noHBand="0" w:noVBand="0"/>
      </w:tblPr>
      <w:tblGrid>
        <w:gridCol w:w="883"/>
        <w:gridCol w:w="1016"/>
        <w:gridCol w:w="783"/>
        <w:gridCol w:w="1001"/>
        <w:gridCol w:w="1339"/>
        <w:gridCol w:w="1106"/>
        <w:gridCol w:w="1093"/>
        <w:gridCol w:w="1394"/>
        <w:gridCol w:w="961"/>
      </w:tblGrid>
      <w:tr w:rsidR="00AB72CB" w:rsidRPr="00F7263B">
        <w:trPr>
          <w:trHeight w:val="967"/>
        </w:trPr>
        <w:tc>
          <w:tcPr>
            <w:tcW w:w="478" w:type="pct"/>
          </w:tcPr>
          <w:p w:rsidR="00AB72CB" w:rsidRPr="00F7263B" w:rsidRDefault="00AB72CB" w:rsidP="00AB72CB">
            <w:pPr>
              <w:contextualSpacing/>
              <w:jc w:val="both"/>
              <w:rPr>
                <w:rFonts w:cs="Times New Roman"/>
                <w:b/>
                <w:sz w:val="20"/>
                <w:szCs w:val="20"/>
              </w:rPr>
            </w:pPr>
            <w:r w:rsidRPr="00F7263B">
              <w:rPr>
                <w:rFonts w:cs="Times New Roman"/>
                <w:b/>
                <w:sz w:val="20"/>
                <w:szCs w:val="20"/>
              </w:rPr>
              <w:lastRenderedPageBreak/>
              <w:t>City</w:t>
            </w:r>
          </w:p>
        </w:tc>
        <w:tc>
          <w:tcPr>
            <w:tcW w:w="447"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Required OFED positions (#)</w:t>
            </w:r>
          </w:p>
        </w:tc>
        <w:tc>
          <w:tcPr>
            <w:tcW w:w="427"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Actual OFED filled (#)</w:t>
            </w:r>
          </w:p>
        </w:tc>
        <w:tc>
          <w:tcPr>
            <w:tcW w:w="688"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Position filled (average, %)</w:t>
            </w:r>
          </w:p>
        </w:tc>
        <w:tc>
          <w:tcPr>
            <w:tcW w:w="640"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Positionfilled Finance/</w:t>
            </w:r>
          </w:p>
          <w:p w:rsidR="00AB72CB" w:rsidRPr="00F7263B" w:rsidRDefault="00AB72CB" w:rsidP="00AB72CB">
            <w:pPr>
              <w:contextualSpacing/>
              <w:jc w:val="both"/>
              <w:rPr>
                <w:rFonts w:cs="Times New Roman"/>
                <w:b/>
                <w:sz w:val="20"/>
                <w:szCs w:val="20"/>
              </w:rPr>
            </w:pPr>
            <w:r w:rsidRPr="00F7263B">
              <w:rPr>
                <w:rFonts w:cs="Times New Roman"/>
                <w:b/>
                <w:sz w:val="20"/>
                <w:szCs w:val="20"/>
              </w:rPr>
              <w:t>Procurement (%)</w:t>
            </w:r>
          </w:p>
        </w:tc>
        <w:tc>
          <w:tcPr>
            <w:tcW w:w="498"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Position Filled Audit /</w:t>
            </w:r>
          </w:p>
          <w:p w:rsidR="00AB72CB" w:rsidRPr="00F7263B" w:rsidRDefault="00AB72CB" w:rsidP="00AB72CB">
            <w:pPr>
              <w:contextualSpacing/>
              <w:jc w:val="both"/>
              <w:rPr>
                <w:rFonts w:cs="Times New Roman"/>
                <w:b/>
                <w:sz w:val="20"/>
                <w:szCs w:val="20"/>
              </w:rPr>
            </w:pPr>
            <w:r w:rsidRPr="00F7263B">
              <w:rPr>
                <w:rFonts w:cs="Times New Roman"/>
                <w:b/>
                <w:sz w:val="20"/>
                <w:szCs w:val="20"/>
              </w:rPr>
              <w:t>Inspection (%)</w:t>
            </w:r>
          </w:p>
        </w:tc>
        <w:tc>
          <w:tcPr>
            <w:tcW w:w="640"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Position Filled Budget &amp; Planning (%)</w:t>
            </w:r>
          </w:p>
        </w:tc>
        <w:tc>
          <w:tcPr>
            <w:tcW w:w="784"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PositionFilled - Technical Staff (engineers etc.) (#)</w:t>
            </w:r>
          </w:p>
        </w:tc>
        <w:tc>
          <w:tcPr>
            <w:tcW w:w="397" w:type="pct"/>
          </w:tcPr>
          <w:p w:rsidR="00AB72CB" w:rsidRPr="00F7263B" w:rsidRDefault="00AB72CB" w:rsidP="00AB72CB">
            <w:pPr>
              <w:contextualSpacing/>
              <w:jc w:val="both"/>
              <w:rPr>
                <w:rFonts w:cs="Times New Roman"/>
                <w:b/>
                <w:sz w:val="20"/>
                <w:szCs w:val="20"/>
              </w:rPr>
            </w:pPr>
            <w:r w:rsidRPr="00F7263B">
              <w:rPr>
                <w:rFonts w:cs="Times New Roman"/>
                <w:b/>
                <w:sz w:val="20"/>
                <w:szCs w:val="20"/>
              </w:rPr>
              <w:t>Staff with BA/</w:t>
            </w:r>
            <w:r w:rsidR="00B17200" w:rsidRPr="00F7263B">
              <w:rPr>
                <w:rFonts w:cs="Times New Roman"/>
                <w:b/>
                <w:sz w:val="20"/>
                <w:szCs w:val="20"/>
              </w:rPr>
              <w:t>BScs</w:t>
            </w:r>
            <w:r w:rsidRPr="00F7263B">
              <w:rPr>
                <w:rFonts w:cs="Times New Roman"/>
                <w:b/>
                <w:sz w:val="20"/>
                <w:szCs w:val="20"/>
              </w:rPr>
              <w:t xml:space="preserve"> (filled) (#)</w:t>
            </w:r>
          </w:p>
        </w:tc>
      </w:tr>
      <w:tr w:rsidR="00AB72CB" w:rsidRPr="00F7263B">
        <w:trPr>
          <w:trHeight w:val="484"/>
        </w:trPr>
        <w:tc>
          <w:tcPr>
            <w:tcW w:w="478" w:type="pct"/>
          </w:tcPr>
          <w:p w:rsidR="00AB72CB" w:rsidRPr="00F7263B" w:rsidRDefault="00AB72CB" w:rsidP="00AB72CB">
            <w:pPr>
              <w:contextualSpacing/>
              <w:jc w:val="both"/>
              <w:rPr>
                <w:rFonts w:cs="Times New Roman"/>
                <w:sz w:val="20"/>
                <w:szCs w:val="20"/>
              </w:rPr>
            </w:pPr>
            <w:r w:rsidRPr="00F7263B">
              <w:rPr>
                <w:rFonts w:cs="Times New Roman"/>
                <w:sz w:val="20"/>
                <w:szCs w:val="20"/>
              </w:rPr>
              <w:t>All sample</w:t>
            </w:r>
          </w:p>
        </w:tc>
        <w:tc>
          <w:tcPr>
            <w:tcW w:w="447" w:type="pct"/>
          </w:tcPr>
          <w:p w:rsidR="00AB72CB" w:rsidRPr="00F7263B" w:rsidRDefault="00AB72CB" w:rsidP="00AB72CB">
            <w:pPr>
              <w:contextualSpacing/>
              <w:jc w:val="center"/>
              <w:rPr>
                <w:rFonts w:cs="Times New Roman"/>
                <w:sz w:val="20"/>
                <w:szCs w:val="20"/>
              </w:rPr>
            </w:pPr>
            <w:r w:rsidRPr="00F7263B">
              <w:rPr>
                <w:rFonts w:cs="Times New Roman"/>
                <w:sz w:val="20"/>
                <w:szCs w:val="20"/>
              </w:rPr>
              <w:t>50</w:t>
            </w:r>
          </w:p>
        </w:tc>
        <w:tc>
          <w:tcPr>
            <w:tcW w:w="427" w:type="pct"/>
          </w:tcPr>
          <w:p w:rsidR="00AB72CB" w:rsidRPr="00F7263B" w:rsidRDefault="00AB72CB" w:rsidP="00AB72CB">
            <w:pPr>
              <w:contextualSpacing/>
              <w:jc w:val="center"/>
              <w:rPr>
                <w:rFonts w:cs="Times New Roman"/>
                <w:sz w:val="20"/>
                <w:szCs w:val="20"/>
              </w:rPr>
            </w:pPr>
            <w:r w:rsidRPr="00F7263B">
              <w:rPr>
                <w:rFonts w:cs="Times New Roman"/>
                <w:sz w:val="20"/>
                <w:szCs w:val="20"/>
              </w:rPr>
              <w:t>39</w:t>
            </w:r>
          </w:p>
        </w:tc>
        <w:tc>
          <w:tcPr>
            <w:tcW w:w="688" w:type="pct"/>
          </w:tcPr>
          <w:p w:rsidR="00AB72CB" w:rsidRPr="00F7263B" w:rsidRDefault="00AB72CB" w:rsidP="00AB72CB">
            <w:pPr>
              <w:contextualSpacing/>
              <w:jc w:val="center"/>
              <w:rPr>
                <w:rFonts w:cs="Times New Roman"/>
                <w:sz w:val="20"/>
                <w:szCs w:val="20"/>
              </w:rPr>
            </w:pPr>
            <w:r w:rsidRPr="00F7263B">
              <w:rPr>
                <w:rFonts w:cs="Times New Roman"/>
                <w:sz w:val="20"/>
                <w:szCs w:val="20"/>
              </w:rPr>
              <w:t>82 %</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84%</w:t>
            </w:r>
          </w:p>
        </w:tc>
        <w:tc>
          <w:tcPr>
            <w:tcW w:w="498" w:type="pct"/>
          </w:tcPr>
          <w:p w:rsidR="00AB72CB" w:rsidRPr="00F7263B" w:rsidRDefault="00AB72CB" w:rsidP="00AB72CB">
            <w:pPr>
              <w:contextualSpacing/>
              <w:jc w:val="center"/>
              <w:rPr>
                <w:rFonts w:cs="Times New Roman"/>
                <w:sz w:val="20"/>
                <w:szCs w:val="20"/>
              </w:rPr>
            </w:pPr>
            <w:r w:rsidRPr="00F7263B">
              <w:rPr>
                <w:rFonts w:cs="Times New Roman"/>
                <w:sz w:val="20"/>
                <w:szCs w:val="20"/>
              </w:rPr>
              <w:t>85%</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64 %</w:t>
            </w:r>
          </w:p>
        </w:tc>
        <w:tc>
          <w:tcPr>
            <w:tcW w:w="784" w:type="pct"/>
          </w:tcPr>
          <w:p w:rsidR="00AB72CB" w:rsidRPr="00F7263B" w:rsidRDefault="00AB72CB" w:rsidP="00AB72CB">
            <w:pPr>
              <w:contextualSpacing/>
              <w:jc w:val="center"/>
              <w:rPr>
                <w:rFonts w:cs="Times New Roman"/>
                <w:sz w:val="20"/>
                <w:szCs w:val="20"/>
              </w:rPr>
            </w:pPr>
            <w:r w:rsidRPr="00F7263B">
              <w:rPr>
                <w:rFonts w:cs="Times New Roman"/>
                <w:sz w:val="20"/>
                <w:szCs w:val="20"/>
              </w:rPr>
              <w:t>7</w:t>
            </w:r>
          </w:p>
        </w:tc>
        <w:tc>
          <w:tcPr>
            <w:tcW w:w="397" w:type="pct"/>
          </w:tcPr>
          <w:p w:rsidR="00AB72CB" w:rsidRPr="00F7263B" w:rsidRDefault="00AB72CB" w:rsidP="00AB72CB">
            <w:pPr>
              <w:contextualSpacing/>
              <w:jc w:val="center"/>
              <w:rPr>
                <w:rFonts w:cs="Times New Roman"/>
                <w:sz w:val="20"/>
                <w:szCs w:val="20"/>
              </w:rPr>
            </w:pPr>
            <w:r w:rsidRPr="00F7263B">
              <w:rPr>
                <w:rFonts w:cs="Times New Roman"/>
                <w:sz w:val="20"/>
                <w:szCs w:val="20"/>
              </w:rPr>
              <w:t>15</w:t>
            </w:r>
          </w:p>
        </w:tc>
      </w:tr>
      <w:tr w:rsidR="00AB72CB" w:rsidRPr="00F7263B">
        <w:trPr>
          <w:trHeight w:val="241"/>
        </w:trPr>
        <w:tc>
          <w:tcPr>
            <w:tcW w:w="478" w:type="pct"/>
          </w:tcPr>
          <w:p w:rsidR="00AB72CB" w:rsidRPr="00F7263B" w:rsidRDefault="00AB72CB" w:rsidP="00AB72CB">
            <w:pPr>
              <w:contextualSpacing/>
              <w:jc w:val="both"/>
              <w:rPr>
                <w:rFonts w:cs="Times New Roman"/>
                <w:sz w:val="20"/>
                <w:szCs w:val="20"/>
              </w:rPr>
            </w:pPr>
            <w:r w:rsidRPr="00F7263B">
              <w:rPr>
                <w:rFonts w:cs="Times New Roman"/>
                <w:sz w:val="20"/>
                <w:szCs w:val="20"/>
              </w:rPr>
              <w:t>ULGDP</w:t>
            </w:r>
          </w:p>
        </w:tc>
        <w:tc>
          <w:tcPr>
            <w:tcW w:w="447" w:type="pct"/>
          </w:tcPr>
          <w:p w:rsidR="00AB72CB" w:rsidRPr="00F7263B" w:rsidRDefault="00AB72CB" w:rsidP="00AB72CB">
            <w:pPr>
              <w:contextualSpacing/>
              <w:jc w:val="center"/>
              <w:rPr>
                <w:rFonts w:cs="Times New Roman"/>
                <w:sz w:val="20"/>
                <w:szCs w:val="20"/>
              </w:rPr>
            </w:pPr>
            <w:r w:rsidRPr="00F7263B">
              <w:rPr>
                <w:rFonts w:cs="Times New Roman"/>
                <w:sz w:val="20"/>
                <w:szCs w:val="20"/>
              </w:rPr>
              <w:t>57</w:t>
            </w:r>
          </w:p>
        </w:tc>
        <w:tc>
          <w:tcPr>
            <w:tcW w:w="427" w:type="pct"/>
          </w:tcPr>
          <w:p w:rsidR="00AB72CB" w:rsidRPr="00F7263B" w:rsidRDefault="00AB72CB" w:rsidP="00AB72CB">
            <w:pPr>
              <w:contextualSpacing/>
              <w:jc w:val="center"/>
              <w:rPr>
                <w:rFonts w:cs="Times New Roman"/>
                <w:sz w:val="20"/>
                <w:szCs w:val="20"/>
              </w:rPr>
            </w:pPr>
            <w:r w:rsidRPr="00F7263B">
              <w:rPr>
                <w:rFonts w:cs="Times New Roman"/>
                <w:sz w:val="20"/>
                <w:szCs w:val="20"/>
              </w:rPr>
              <w:t>47</w:t>
            </w:r>
          </w:p>
        </w:tc>
        <w:tc>
          <w:tcPr>
            <w:tcW w:w="688" w:type="pct"/>
          </w:tcPr>
          <w:p w:rsidR="00AB72CB" w:rsidRPr="00F7263B" w:rsidRDefault="00AB72CB" w:rsidP="00AB72CB">
            <w:pPr>
              <w:contextualSpacing/>
              <w:jc w:val="center"/>
              <w:rPr>
                <w:rFonts w:cs="Times New Roman"/>
                <w:sz w:val="20"/>
                <w:szCs w:val="20"/>
              </w:rPr>
            </w:pPr>
            <w:r w:rsidRPr="00F7263B">
              <w:rPr>
                <w:rFonts w:cs="Times New Roman"/>
                <w:sz w:val="20"/>
                <w:szCs w:val="20"/>
              </w:rPr>
              <w:t>86%</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88%</w:t>
            </w:r>
          </w:p>
        </w:tc>
        <w:tc>
          <w:tcPr>
            <w:tcW w:w="498" w:type="pct"/>
          </w:tcPr>
          <w:p w:rsidR="00AB72CB" w:rsidRPr="00F7263B" w:rsidRDefault="00AB72CB" w:rsidP="00AB72CB">
            <w:pPr>
              <w:contextualSpacing/>
              <w:jc w:val="center"/>
              <w:rPr>
                <w:rFonts w:cs="Times New Roman"/>
                <w:sz w:val="20"/>
                <w:szCs w:val="20"/>
              </w:rPr>
            </w:pPr>
            <w:r w:rsidRPr="00F7263B">
              <w:rPr>
                <w:rFonts w:cs="Times New Roman"/>
                <w:sz w:val="20"/>
                <w:szCs w:val="20"/>
              </w:rPr>
              <w:t>86%</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89%</w:t>
            </w:r>
          </w:p>
        </w:tc>
        <w:tc>
          <w:tcPr>
            <w:tcW w:w="784" w:type="pct"/>
          </w:tcPr>
          <w:p w:rsidR="00AB72CB" w:rsidRPr="00F7263B" w:rsidRDefault="00AB72CB" w:rsidP="00AB72CB">
            <w:pPr>
              <w:contextualSpacing/>
              <w:jc w:val="center"/>
              <w:rPr>
                <w:rFonts w:cs="Times New Roman"/>
                <w:sz w:val="20"/>
                <w:szCs w:val="20"/>
              </w:rPr>
            </w:pPr>
            <w:r w:rsidRPr="00F7263B">
              <w:rPr>
                <w:rFonts w:cs="Times New Roman"/>
                <w:sz w:val="20"/>
                <w:szCs w:val="20"/>
              </w:rPr>
              <w:t>8</w:t>
            </w:r>
          </w:p>
        </w:tc>
        <w:tc>
          <w:tcPr>
            <w:tcW w:w="397" w:type="pct"/>
          </w:tcPr>
          <w:p w:rsidR="00AB72CB" w:rsidRPr="00F7263B" w:rsidRDefault="00AB72CB" w:rsidP="00AB72CB">
            <w:pPr>
              <w:contextualSpacing/>
              <w:jc w:val="center"/>
              <w:rPr>
                <w:rFonts w:cs="Times New Roman"/>
                <w:sz w:val="20"/>
                <w:szCs w:val="20"/>
              </w:rPr>
            </w:pPr>
            <w:r w:rsidRPr="00F7263B">
              <w:rPr>
                <w:rFonts w:cs="Times New Roman"/>
                <w:sz w:val="20"/>
                <w:szCs w:val="20"/>
              </w:rPr>
              <w:t>17</w:t>
            </w:r>
          </w:p>
        </w:tc>
      </w:tr>
      <w:tr w:rsidR="00AB72CB" w:rsidRPr="00F7263B">
        <w:trPr>
          <w:trHeight w:val="471"/>
        </w:trPr>
        <w:tc>
          <w:tcPr>
            <w:tcW w:w="478" w:type="pct"/>
          </w:tcPr>
          <w:p w:rsidR="00AB72CB" w:rsidRPr="00F7263B" w:rsidRDefault="00AB72CB" w:rsidP="00AB72CB">
            <w:pPr>
              <w:contextualSpacing/>
              <w:jc w:val="both"/>
              <w:rPr>
                <w:rFonts w:cs="Times New Roman"/>
                <w:sz w:val="20"/>
                <w:szCs w:val="20"/>
              </w:rPr>
            </w:pPr>
            <w:r w:rsidRPr="00F7263B">
              <w:rPr>
                <w:rFonts w:cs="Times New Roman"/>
                <w:sz w:val="20"/>
                <w:szCs w:val="20"/>
              </w:rPr>
              <w:t>Non-ULGDP</w:t>
            </w:r>
          </w:p>
        </w:tc>
        <w:tc>
          <w:tcPr>
            <w:tcW w:w="447" w:type="pct"/>
          </w:tcPr>
          <w:p w:rsidR="00AB72CB" w:rsidRPr="00F7263B" w:rsidRDefault="00AB72CB" w:rsidP="00AB72CB">
            <w:pPr>
              <w:contextualSpacing/>
              <w:jc w:val="center"/>
              <w:rPr>
                <w:rFonts w:cs="Times New Roman"/>
                <w:sz w:val="20"/>
                <w:szCs w:val="20"/>
              </w:rPr>
            </w:pPr>
            <w:r w:rsidRPr="00F7263B">
              <w:rPr>
                <w:rFonts w:cs="Times New Roman"/>
                <w:sz w:val="20"/>
                <w:szCs w:val="20"/>
              </w:rPr>
              <w:t>42</w:t>
            </w:r>
          </w:p>
        </w:tc>
        <w:tc>
          <w:tcPr>
            <w:tcW w:w="427" w:type="pct"/>
          </w:tcPr>
          <w:p w:rsidR="00AB72CB" w:rsidRPr="00F7263B" w:rsidRDefault="00AB72CB" w:rsidP="00AB72CB">
            <w:pPr>
              <w:contextualSpacing/>
              <w:jc w:val="center"/>
              <w:rPr>
                <w:rFonts w:cs="Times New Roman"/>
                <w:sz w:val="20"/>
                <w:szCs w:val="20"/>
              </w:rPr>
            </w:pPr>
            <w:r w:rsidRPr="00F7263B">
              <w:rPr>
                <w:rFonts w:cs="Times New Roman"/>
                <w:sz w:val="20"/>
                <w:szCs w:val="20"/>
              </w:rPr>
              <w:t>31</w:t>
            </w:r>
          </w:p>
        </w:tc>
        <w:tc>
          <w:tcPr>
            <w:tcW w:w="688" w:type="pct"/>
          </w:tcPr>
          <w:p w:rsidR="00AB72CB" w:rsidRPr="00F7263B" w:rsidRDefault="00AB72CB" w:rsidP="00AB72CB">
            <w:pPr>
              <w:contextualSpacing/>
              <w:jc w:val="center"/>
              <w:rPr>
                <w:rFonts w:cs="Times New Roman"/>
                <w:sz w:val="20"/>
                <w:szCs w:val="20"/>
              </w:rPr>
            </w:pPr>
            <w:r w:rsidRPr="00F7263B">
              <w:rPr>
                <w:rFonts w:cs="Times New Roman"/>
                <w:sz w:val="20"/>
                <w:szCs w:val="20"/>
              </w:rPr>
              <w:t>77%</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79%</w:t>
            </w:r>
          </w:p>
        </w:tc>
        <w:tc>
          <w:tcPr>
            <w:tcW w:w="498" w:type="pct"/>
          </w:tcPr>
          <w:p w:rsidR="00AB72CB" w:rsidRPr="00F7263B" w:rsidRDefault="00AB72CB" w:rsidP="00AB72CB">
            <w:pPr>
              <w:contextualSpacing/>
              <w:jc w:val="center"/>
              <w:rPr>
                <w:rFonts w:cs="Times New Roman"/>
                <w:sz w:val="20"/>
                <w:szCs w:val="20"/>
              </w:rPr>
            </w:pPr>
            <w:r w:rsidRPr="00F7263B">
              <w:rPr>
                <w:rFonts w:cs="Times New Roman"/>
                <w:sz w:val="20"/>
                <w:szCs w:val="20"/>
              </w:rPr>
              <w:t>85%</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61%</w:t>
            </w:r>
          </w:p>
        </w:tc>
        <w:tc>
          <w:tcPr>
            <w:tcW w:w="784" w:type="pct"/>
          </w:tcPr>
          <w:p w:rsidR="00AB72CB" w:rsidRPr="00F7263B" w:rsidRDefault="00AB72CB" w:rsidP="00AB72CB">
            <w:pPr>
              <w:contextualSpacing/>
              <w:jc w:val="center"/>
              <w:rPr>
                <w:rFonts w:cs="Times New Roman"/>
                <w:sz w:val="20"/>
                <w:szCs w:val="20"/>
              </w:rPr>
            </w:pPr>
            <w:r w:rsidRPr="00F7263B">
              <w:rPr>
                <w:rFonts w:cs="Times New Roman"/>
                <w:sz w:val="20"/>
                <w:szCs w:val="20"/>
              </w:rPr>
              <w:t>5</w:t>
            </w:r>
          </w:p>
        </w:tc>
        <w:tc>
          <w:tcPr>
            <w:tcW w:w="397" w:type="pct"/>
          </w:tcPr>
          <w:p w:rsidR="00AB72CB" w:rsidRPr="00F7263B" w:rsidRDefault="00AB72CB" w:rsidP="00AB72CB">
            <w:pPr>
              <w:contextualSpacing/>
              <w:jc w:val="center"/>
              <w:rPr>
                <w:rFonts w:cs="Times New Roman"/>
                <w:sz w:val="20"/>
                <w:szCs w:val="20"/>
              </w:rPr>
            </w:pPr>
            <w:r w:rsidRPr="00F7263B">
              <w:rPr>
                <w:rFonts w:cs="Times New Roman"/>
                <w:sz w:val="20"/>
                <w:szCs w:val="20"/>
              </w:rPr>
              <w:t>12</w:t>
            </w:r>
          </w:p>
        </w:tc>
      </w:tr>
      <w:tr w:rsidR="00AB72CB" w:rsidRPr="00F7263B">
        <w:trPr>
          <w:trHeight w:val="495"/>
        </w:trPr>
        <w:tc>
          <w:tcPr>
            <w:tcW w:w="478" w:type="pct"/>
          </w:tcPr>
          <w:p w:rsidR="00AB72CB" w:rsidRPr="00F7263B" w:rsidRDefault="00AB72CB" w:rsidP="00AB72CB">
            <w:pPr>
              <w:contextualSpacing/>
              <w:jc w:val="both"/>
              <w:rPr>
                <w:rFonts w:cs="Times New Roman"/>
                <w:sz w:val="20"/>
                <w:szCs w:val="20"/>
              </w:rPr>
            </w:pPr>
            <w:r w:rsidRPr="00F7263B">
              <w:rPr>
                <w:rFonts w:cs="Times New Roman"/>
                <w:sz w:val="20"/>
                <w:szCs w:val="20"/>
              </w:rPr>
              <w:t>No. in the sample</w:t>
            </w:r>
          </w:p>
        </w:tc>
        <w:tc>
          <w:tcPr>
            <w:tcW w:w="447" w:type="pct"/>
          </w:tcPr>
          <w:p w:rsidR="00AB72CB" w:rsidRPr="00F7263B" w:rsidRDefault="00AB72CB" w:rsidP="00AB72CB">
            <w:pPr>
              <w:contextualSpacing/>
              <w:jc w:val="center"/>
              <w:rPr>
                <w:rFonts w:cs="Times New Roman"/>
                <w:sz w:val="20"/>
                <w:szCs w:val="20"/>
              </w:rPr>
            </w:pPr>
            <w:r w:rsidRPr="00F7263B">
              <w:rPr>
                <w:rFonts w:cs="Times New Roman"/>
                <w:sz w:val="20"/>
                <w:szCs w:val="20"/>
              </w:rPr>
              <w:t>N= 27</w:t>
            </w:r>
          </w:p>
        </w:tc>
        <w:tc>
          <w:tcPr>
            <w:tcW w:w="427" w:type="pct"/>
          </w:tcPr>
          <w:p w:rsidR="00AB72CB" w:rsidRPr="00F7263B" w:rsidRDefault="00AB72CB" w:rsidP="00AB72CB">
            <w:pPr>
              <w:contextualSpacing/>
              <w:jc w:val="center"/>
              <w:rPr>
                <w:rFonts w:cs="Times New Roman"/>
                <w:sz w:val="20"/>
                <w:szCs w:val="20"/>
              </w:rPr>
            </w:pPr>
            <w:r w:rsidRPr="00F7263B">
              <w:rPr>
                <w:rFonts w:cs="Times New Roman"/>
                <w:sz w:val="20"/>
                <w:szCs w:val="20"/>
              </w:rPr>
              <w:t>N = 27</w:t>
            </w:r>
          </w:p>
        </w:tc>
        <w:tc>
          <w:tcPr>
            <w:tcW w:w="688" w:type="pct"/>
          </w:tcPr>
          <w:p w:rsidR="00AB72CB" w:rsidRPr="00F7263B" w:rsidRDefault="00AB72CB" w:rsidP="00AB72CB">
            <w:pPr>
              <w:contextualSpacing/>
              <w:jc w:val="center"/>
              <w:rPr>
                <w:rFonts w:cs="Times New Roman"/>
                <w:sz w:val="20"/>
                <w:szCs w:val="20"/>
              </w:rPr>
            </w:pPr>
            <w:r w:rsidRPr="00F7263B">
              <w:rPr>
                <w:rFonts w:cs="Times New Roman"/>
                <w:sz w:val="20"/>
                <w:szCs w:val="20"/>
              </w:rPr>
              <w:t>N= 27</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N=26</w:t>
            </w:r>
          </w:p>
        </w:tc>
        <w:tc>
          <w:tcPr>
            <w:tcW w:w="498" w:type="pct"/>
          </w:tcPr>
          <w:p w:rsidR="00AB72CB" w:rsidRPr="00F7263B" w:rsidRDefault="00AB72CB" w:rsidP="00AB72CB">
            <w:pPr>
              <w:contextualSpacing/>
              <w:jc w:val="center"/>
              <w:rPr>
                <w:rFonts w:cs="Times New Roman"/>
                <w:sz w:val="20"/>
                <w:szCs w:val="20"/>
              </w:rPr>
            </w:pPr>
            <w:r w:rsidRPr="00F7263B">
              <w:rPr>
                <w:rFonts w:cs="Times New Roman"/>
                <w:sz w:val="20"/>
                <w:szCs w:val="20"/>
              </w:rPr>
              <w:t>N=26</w:t>
            </w:r>
          </w:p>
        </w:tc>
        <w:tc>
          <w:tcPr>
            <w:tcW w:w="640" w:type="pct"/>
          </w:tcPr>
          <w:p w:rsidR="00AB72CB" w:rsidRPr="00F7263B" w:rsidRDefault="00AB72CB" w:rsidP="00AB72CB">
            <w:pPr>
              <w:contextualSpacing/>
              <w:jc w:val="center"/>
              <w:rPr>
                <w:rFonts w:cs="Times New Roman"/>
                <w:sz w:val="20"/>
                <w:szCs w:val="20"/>
              </w:rPr>
            </w:pPr>
            <w:r w:rsidRPr="00F7263B">
              <w:rPr>
                <w:rFonts w:cs="Times New Roman"/>
                <w:sz w:val="20"/>
                <w:szCs w:val="20"/>
              </w:rPr>
              <w:t>N=15</w:t>
            </w:r>
          </w:p>
        </w:tc>
        <w:tc>
          <w:tcPr>
            <w:tcW w:w="784" w:type="pct"/>
          </w:tcPr>
          <w:p w:rsidR="00AB72CB" w:rsidRPr="00F7263B" w:rsidRDefault="00AB72CB" w:rsidP="00AB72CB">
            <w:pPr>
              <w:contextualSpacing/>
              <w:jc w:val="center"/>
              <w:rPr>
                <w:rFonts w:cs="Times New Roman"/>
                <w:sz w:val="20"/>
                <w:szCs w:val="20"/>
              </w:rPr>
            </w:pPr>
            <w:r w:rsidRPr="00F7263B">
              <w:rPr>
                <w:rFonts w:cs="Times New Roman"/>
                <w:sz w:val="20"/>
                <w:szCs w:val="20"/>
              </w:rPr>
              <w:t>N =19</w:t>
            </w:r>
          </w:p>
        </w:tc>
        <w:tc>
          <w:tcPr>
            <w:tcW w:w="397" w:type="pct"/>
          </w:tcPr>
          <w:p w:rsidR="00AB72CB" w:rsidRPr="00F7263B" w:rsidRDefault="00AB72CB" w:rsidP="00AB72CB">
            <w:pPr>
              <w:contextualSpacing/>
              <w:jc w:val="center"/>
              <w:rPr>
                <w:rFonts w:cs="Times New Roman"/>
                <w:sz w:val="20"/>
                <w:szCs w:val="20"/>
              </w:rPr>
            </w:pPr>
            <w:r w:rsidRPr="00F7263B">
              <w:rPr>
                <w:rFonts w:cs="Times New Roman"/>
                <w:sz w:val="20"/>
                <w:szCs w:val="20"/>
              </w:rPr>
              <w:t>N= 27</w:t>
            </w:r>
          </w:p>
        </w:tc>
      </w:tr>
    </w:tbl>
    <w:p w:rsidR="00AB72CB" w:rsidRPr="00F7263B" w:rsidRDefault="00AB72CB" w:rsidP="00AB72CB">
      <w:pPr>
        <w:jc w:val="both"/>
        <w:rPr>
          <w:sz w:val="20"/>
          <w:szCs w:val="20"/>
        </w:rPr>
      </w:pPr>
      <w:r w:rsidRPr="00F7263B">
        <w:rPr>
          <w:sz w:val="20"/>
          <w:szCs w:val="20"/>
        </w:rPr>
        <w:t xml:space="preserve">Source: Data based on collected data from 27 ULGs by SuDCA for the ULGDP IFA preparatory work and processed for by the TA. For some positions, only data from a lower “N” is available. For the technical staff, data is not available on the official required positions.  </w:t>
      </w:r>
    </w:p>
    <w:p w:rsidR="00AB72CB" w:rsidRPr="00F7263B" w:rsidRDefault="00AB72CB" w:rsidP="00AB72CB">
      <w:pPr>
        <w:pStyle w:val="ListParagraph"/>
        <w:autoSpaceDE w:val="0"/>
        <w:autoSpaceDN w:val="0"/>
        <w:adjustRightInd w:val="0"/>
        <w:spacing w:after="24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G</w:t>
      </w:r>
      <w:r w:rsidRPr="00F7263B">
        <w:rPr>
          <w:rFonts w:cs="Times New Roman"/>
          <w:sz w:val="20"/>
          <w:szCs w:val="20"/>
          <w:lang w:bidi="en-US"/>
        </w:rPr>
        <w:t>iven the substantial increase in the funds which will be made available to the new 26 ULGDP ULGs under the Program, having key staff, particularly in these new ULGs, becomes critical to ensure that the funds are used in the appropriate fiduciary, budgeting, planning, consultation and other Program framework and rules</w:t>
      </w:r>
      <w:r w:rsidR="004B3487" w:rsidRPr="00F7263B">
        <w:rPr>
          <w:rFonts w:cs="Times New Roman"/>
          <w:sz w:val="20"/>
          <w:szCs w:val="20"/>
          <w:lang w:bidi="en-US"/>
        </w:rPr>
        <w:t xml:space="preserve">.  </w:t>
      </w:r>
      <w:r w:rsidRPr="00F7263B">
        <w:rPr>
          <w:rFonts w:cs="Times New Roman"/>
          <w:sz w:val="20"/>
          <w:szCs w:val="20"/>
          <w:lang w:bidi="en-US"/>
        </w:rPr>
        <w:t>The design of Program will mitigate this risk by making core staffing a Program minimum condition</w:t>
      </w:r>
      <w:r w:rsidR="004B3487" w:rsidRPr="00F7263B">
        <w:rPr>
          <w:rFonts w:cs="Times New Roman"/>
          <w:sz w:val="20"/>
          <w:szCs w:val="20"/>
          <w:lang w:bidi="en-US"/>
        </w:rPr>
        <w:t xml:space="preserve">.  </w:t>
      </w:r>
      <w:r w:rsidRPr="00F7263B">
        <w:rPr>
          <w:rFonts w:cs="Times New Roman"/>
          <w:sz w:val="20"/>
          <w:szCs w:val="20"/>
          <w:lang w:bidi="en-US"/>
        </w:rPr>
        <w:t xml:space="preserve">As such, in order for all 44 ULGs to access the Program’s </w:t>
      </w:r>
      <w:r w:rsidR="00D0377C" w:rsidRPr="00F7263B">
        <w:rPr>
          <w:rFonts w:cs="Times New Roman"/>
          <w:sz w:val="20"/>
          <w:szCs w:val="20"/>
          <w:lang w:bidi="en-US"/>
        </w:rPr>
        <w:t>performance-based</w:t>
      </w:r>
      <w:r w:rsidR="00BA6589" w:rsidRPr="00F7263B">
        <w:rPr>
          <w:rFonts w:cs="Times New Roman"/>
          <w:sz w:val="20"/>
          <w:szCs w:val="20"/>
          <w:lang w:bidi="en-US"/>
        </w:rPr>
        <w:t xml:space="preserve"> grant</w:t>
      </w:r>
      <w:r w:rsidRPr="00F7263B">
        <w:rPr>
          <w:rFonts w:cs="Times New Roman"/>
          <w:sz w:val="20"/>
          <w:szCs w:val="20"/>
          <w:lang w:bidi="en-US"/>
        </w:rPr>
        <w:t xml:space="preserve"> funding, they have to have these staff members in place each Program year</w:t>
      </w:r>
      <w:r w:rsidR="004B3487" w:rsidRPr="00F7263B">
        <w:rPr>
          <w:rFonts w:cs="Times New Roman"/>
          <w:sz w:val="20"/>
          <w:szCs w:val="20"/>
          <w:lang w:bidi="en-US"/>
        </w:rPr>
        <w:t xml:space="preserve">.  </w:t>
      </w:r>
      <w:r w:rsidRPr="00F7263B">
        <w:rPr>
          <w:rFonts w:cs="Times New Roman"/>
          <w:sz w:val="20"/>
          <w:szCs w:val="20"/>
          <w:lang w:bidi="en-US"/>
        </w:rPr>
        <w:t>In addition to this risk mitigation, another measure adopted under Program preparation is the agreement with the ministry that the federal and regional governments will ensure that the Program ULGs have the following requisite staff by Program effectiveness;</w:t>
      </w:r>
      <w:r w:rsidR="00B17200" w:rsidRPr="00F7263B">
        <w:rPr>
          <w:rFonts w:cs="Times New Roman"/>
          <w:sz w:val="20"/>
          <w:szCs w:val="20"/>
        </w:rPr>
        <w:t xml:space="preserve"> (a</w:t>
      </w:r>
      <w:r w:rsidRPr="00F7263B">
        <w:rPr>
          <w:rFonts w:cs="Times New Roman"/>
          <w:sz w:val="20"/>
          <w:szCs w:val="20"/>
        </w:rPr>
        <w:t xml:space="preserve">) city administrator, who is also the main coordinator of the ULGDP II operations, </w:t>
      </w:r>
      <w:r w:rsidR="00B17200" w:rsidRPr="00F7263B">
        <w:rPr>
          <w:rFonts w:cs="Times New Roman"/>
          <w:sz w:val="20"/>
          <w:szCs w:val="20"/>
        </w:rPr>
        <w:t>or another dedicated officer (b) finance officer, (c</w:t>
      </w:r>
      <w:r w:rsidRPr="00F7263B">
        <w:rPr>
          <w:rFonts w:cs="Times New Roman"/>
          <w:sz w:val="20"/>
          <w:szCs w:val="20"/>
        </w:rPr>
        <w:t>) 2 procurement officers, (</w:t>
      </w:r>
      <w:r w:rsidR="00B17200" w:rsidRPr="00F7263B">
        <w:rPr>
          <w:rFonts w:cs="Times New Roman"/>
          <w:sz w:val="20"/>
          <w:szCs w:val="20"/>
        </w:rPr>
        <w:t>d) municipal engineer, (e) physical/urban planner, (d</w:t>
      </w:r>
      <w:r w:rsidRPr="00F7263B">
        <w:rPr>
          <w:rFonts w:cs="Times New Roman"/>
          <w:sz w:val="20"/>
          <w:szCs w:val="20"/>
        </w:rPr>
        <w:t>) environmental and social systems management officers.</w:t>
      </w:r>
    </w:p>
    <w:p w:rsidR="00F73E3A" w:rsidRPr="00F7263B" w:rsidRDefault="00F73E3A" w:rsidP="00AB72CB">
      <w:pPr>
        <w:pStyle w:val="ListParagraph"/>
        <w:autoSpaceDE w:val="0"/>
        <w:autoSpaceDN w:val="0"/>
        <w:adjustRightInd w:val="0"/>
        <w:spacing w:after="240"/>
        <w:ind w:left="0"/>
        <w:jc w:val="both"/>
        <w:rPr>
          <w:rFonts w:cs="Times New Roman"/>
          <w:sz w:val="20"/>
          <w:szCs w:val="20"/>
        </w:rPr>
      </w:pPr>
    </w:p>
    <w:p w:rsidR="00AB72CB" w:rsidRPr="00F7263B" w:rsidRDefault="00AB72CB" w:rsidP="00AB72CB">
      <w:pPr>
        <w:pStyle w:val="ListParagraph"/>
        <w:autoSpaceDE w:val="0"/>
        <w:autoSpaceDN w:val="0"/>
        <w:adjustRightInd w:val="0"/>
        <w:spacing w:after="240"/>
        <w:ind w:left="0"/>
        <w:jc w:val="both"/>
        <w:rPr>
          <w:rFonts w:cs="Times New Roman"/>
          <w:b/>
          <w:i/>
          <w:sz w:val="20"/>
          <w:szCs w:val="20"/>
        </w:rPr>
      </w:pPr>
      <w:r w:rsidRPr="00F7263B">
        <w:rPr>
          <w:rFonts w:cs="Times New Roman"/>
          <w:b/>
          <w:i/>
          <w:sz w:val="20"/>
          <w:szCs w:val="20"/>
        </w:rPr>
        <w:t>Coordination arrangements</w:t>
      </w:r>
    </w:p>
    <w:p w:rsidR="00AB72CB" w:rsidRPr="00F7263B" w:rsidRDefault="00AB72CB" w:rsidP="00AB72CB">
      <w:pPr>
        <w:pStyle w:val="ListParagraph"/>
        <w:autoSpaceDE w:val="0"/>
        <w:autoSpaceDN w:val="0"/>
        <w:adjustRightInd w:val="0"/>
        <w:spacing w:after="240"/>
        <w:ind w:left="0"/>
        <w:jc w:val="both"/>
        <w:rPr>
          <w:rFonts w:cs="Times New Roman"/>
          <w:b/>
          <w:i/>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 xml:space="preserve">A program coordination committee will be established with representatives from </w:t>
      </w:r>
      <w:r w:rsidR="00276BC8" w:rsidRPr="00F7263B">
        <w:rPr>
          <w:rFonts w:cs="Times New Roman"/>
          <w:sz w:val="20"/>
          <w:szCs w:val="20"/>
        </w:rPr>
        <w:t>MUDHCo</w:t>
      </w:r>
      <w:r w:rsidRPr="00F7263B">
        <w:rPr>
          <w:rFonts w:cs="Times New Roman"/>
          <w:sz w:val="20"/>
          <w:szCs w:val="20"/>
        </w:rPr>
        <w:t xml:space="preserve"> and </w:t>
      </w:r>
      <w:r w:rsidR="004B3487" w:rsidRPr="00F7263B">
        <w:rPr>
          <w:rFonts w:cs="Times New Roman"/>
          <w:sz w:val="20"/>
          <w:szCs w:val="20"/>
        </w:rPr>
        <w:t>MoFED</w:t>
      </w:r>
      <w:r w:rsidRPr="00F7263B">
        <w:rPr>
          <w:rFonts w:cs="Times New Roman"/>
          <w:sz w:val="20"/>
          <w:szCs w:val="20"/>
        </w:rPr>
        <w:t xml:space="preserve"> to ensure strong coordination of issues on planning, allocations, flow of funds, and approval of the results from the APAs</w:t>
      </w:r>
      <w:r w:rsidR="004B3487" w:rsidRPr="00F7263B">
        <w:rPr>
          <w:rFonts w:cs="Times New Roman"/>
          <w:sz w:val="20"/>
          <w:szCs w:val="20"/>
        </w:rPr>
        <w:t xml:space="preserve">.  </w:t>
      </w:r>
      <w:r w:rsidRPr="00F7263B">
        <w:rPr>
          <w:rFonts w:cs="Times New Roman"/>
          <w:sz w:val="20"/>
          <w:szCs w:val="20"/>
        </w:rPr>
        <w:t xml:space="preserve">A Program technical (sub-) committee comprising key technical staff of </w:t>
      </w:r>
      <w:r w:rsidR="00276BC8" w:rsidRPr="00F7263B">
        <w:rPr>
          <w:rFonts w:cs="Times New Roman"/>
          <w:sz w:val="20"/>
          <w:szCs w:val="20"/>
        </w:rPr>
        <w:t>MUDHCo</w:t>
      </w:r>
      <w:r w:rsidRPr="00F7263B">
        <w:rPr>
          <w:rFonts w:cs="Times New Roman"/>
          <w:sz w:val="20"/>
          <w:szCs w:val="20"/>
        </w:rPr>
        <w:t xml:space="preserve"> and </w:t>
      </w:r>
      <w:r w:rsidR="004B3487" w:rsidRPr="00F7263B">
        <w:rPr>
          <w:rFonts w:cs="Times New Roman"/>
          <w:sz w:val="20"/>
          <w:szCs w:val="20"/>
        </w:rPr>
        <w:t>MoFED</w:t>
      </w:r>
      <w:r w:rsidRPr="00F7263B">
        <w:rPr>
          <w:rFonts w:cs="Times New Roman"/>
          <w:sz w:val="20"/>
          <w:szCs w:val="20"/>
        </w:rPr>
        <w:t>will be formed under this committee, which will, among other things,</w:t>
      </w:r>
      <w:r w:rsidR="00A0041C" w:rsidRPr="00F7263B">
        <w:rPr>
          <w:rFonts w:cs="Times New Roman"/>
          <w:sz w:val="20"/>
          <w:szCs w:val="20"/>
        </w:rPr>
        <w:t xml:space="preserve"> compile and</w:t>
      </w:r>
      <w:r w:rsidRPr="00F7263B">
        <w:rPr>
          <w:rFonts w:cs="Times New Roman"/>
          <w:sz w:val="20"/>
          <w:szCs w:val="20"/>
        </w:rPr>
        <w:t xml:space="preserve"> review the results of the APA and provide quality assurance of the results, as well as handling of complaints in a streamlined manner</w:t>
      </w:r>
      <w:r w:rsidR="004B3487" w:rsidRPr="00F7263B">
        <w:rPr>
          <w:rFonts w:cs="Times New Roman"/>
          <w:sz w:val="20"/>
          <w:szCs w:val="20"/>
        </w:rPr>
        <w:t xml:space="preserve">.  </w:t>
      </w:r>
      <w:r w:rsidRPr="00F7263B">
        <w:rPr>
          <w:rFonts w:cs="Times New Roman"/>
          <w:sz w:val="20"/>
          <w:szCs w:val="20"/>
        </w:rPr>
        <w:t>The Program Technical Committee (PTC) will meet quarterly and also carry out periodic evaluation of program implementation against objectives and provide technical guidance with support from the World Bank</w:t>
      </w:r>
      <w:r w:rsidR="004B3487" w:rsidRPr="00F7263B">
        <w:rPr>
          <w:rFonts w:cs="Times New Roman"/>
          <w:sz w:val="20"/>
          <w:szCs w:val="20"/>
        </w:rPr>
        <w:t xml:space="preserve">.  </w:t>
      </w:r>
      <w:r w:rsidRPr="00F7263B">
        <w:rPr>
          <w:rFonts w:cs="Times New Roman"/>
          <w:sz w:val="20"/>
          <w:szCs w:val="20"/>
        </w:rPr>
        <w:t xml:space="preserve">It will bring policy issues to the larger coordination committee and ensure that the Program is implemented in line with the Program </w:t>
      </w:r>
      <w:r w:rsidR="007414BF" w:rsidRPr="00F7263B">
        <w:rPr>
          <w:rFonts w:cs="Times New Roman"/>
          <w:sz w:val="20"/>
          <w:szCs w:val="20"/>
        </w:rPr>
        <w:t>Operational Manual</w:t>
      </w:r>
      <w:r w:rsidRPr="00F7263B">
        <w:rPr>
          <w:rFonts w:cs="Times New Roman"/>
          <w:sz w:val="20"/>
          <w:szCs w:val="20"/>
        </w:rPr>
        <w:t>.</w:t>
      </w:r>
    </w:p>
    <w:p w:rsidR="00AB72CB" w:rsidRPr="00F7263B" w:rsidRDefault="00AB72CB" w:rsidP="00AB72CB">
      <w:pPr>
        <w:pStyle w:val="ListParagraph"/>
        <w:autoSpaceDE w:val="0"/>
        <w:autoSpaceDN w:val="0"/>
        <w:adjustRightInd w:val="0"/>
        <w:spacing w:after="240"/>
        <w:ind w:left="0"/>
        <w:jc w:val="both"/>
        <w:rPr>
          <w:sz w:val="20"/>
          <w:szCs w:val="20"/>
        </w:rPr>
      </w:pPr>
    </w:p>
    <w:p w:rsidR="00AB72CB" w:rsidRPr="00F7263B" w:rsidRDefault="00AB72CB" w:rsidP="00AB72CB">
      <w:pPr>
        <w:pStyle w:val="ListParagraph"/>
        <w:autoSpaceDE w:val="0"/>
        <w:autoSpaceDN w:val="0"/>
        <w:adjustRightInd w:val="0"/>
        <w:spacing w:after="240"/>
        <w:ind w:left="0"/>
        <w:jc w:val="both"/>
        <w:rPr>
          <w:rFonts w:cs="Times New Roman"/>
          <w:b/>
          <w:i/>
          <w:sz w:val="20"/>
          <w:szCs w:val="20"/>
        </w:rPr>
      </w:pPr>
      <w:r w:rsidRPr="00F7263B">
        <w:rPr>
          <w:b/>
          <w:i/>
          <w:sz w:val="20"/>
          <w:szCs w:val="20"/>
        </w:rPr>
        <w:t>Fraud and Corruption</w:t>
      </w:r>
    </w:p>
    <w:p w:rsidR="00AB72CB" w:rsidRPr="00F7263B" w:rsidRDefault="00AB72CB" w:rsidP="00AB72CB">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Fraud and corruption during Program implementation that may affect achievement of results will be addressed by strengthening the implementation of existing fraud and corruption policies and measures available at the ULGs level</w:t>
      </w:r>
      <w:r w:rsidR="004B3487" w:rsidRPr="00F7263B">
        <w:rPr>
          <w:rFonts w:cs="Times New Roman"/>
          <w:sz w:val="20"/>
          <w:szCs w:val="20"/>
        </w:rPr>
        <w:t xml:space="preserve">.  </w:t>
      </w:r>
      <w:r w:rsidRPr="00F7263B">
        <w:rPr>
          <w:rFonts w:cs="Times New Roman"/>
          <w:sz w:val="20"/>
          <w:szCs w:val="20"/>
        </w:rPr>
        <w:t>The detailed discussions of fraud and corruption within the country context, and mitigating safeguards are included in the I</w:t>
      </w:r>
      <w:r w:rsidR="004B3487" w:rsidRPr="00F7263B">
        <w:rPr>
          <w:rFonts w:cs="Times New Roman"/>
          <w:sz w:val="20"/>
          <w:szCs w:val="20"/>
        </w:rPr>
        <w:t xml:space="preserve">ntegrated </w:t>
      </w:r>
      <w:r w:rsidRPr="00F7263B">
        <w:rPr>
          <w:rFonts w:cs="Times New Roman"/>
          <w:sz w:val="20"/>
          <w:szCs w:val="20"/>
        </w:rPr>
        <w:t>F</w:t>
      </w:r>
      <w:r w:rsidR="004B3487" w:rsidRPr="00F7263B">
        <w:rPr>
          <w:rFonts w:cs="Times New Roman"/>
          <w:sz w:val="20"/>
          <w:szCs w:val="20"/>
        </w:rPr>
        <w:t xml:space="preserve">iduciary </w:t>
      </w:r>
      <w:r w:rsidRPr="00F7263B">
        <w:rPr>
          <w:rFonts w:cs="Times New Roman"/>
          <w:sz w:val="20"/>
          <w:szCs w:val="20"/>
        </w:rPr>
        <w:t>A</w:t>
      </w:r>
      <w:r w:rsidR="004B3487" w:rsidRPr="00F7263B">
        <w:rPr>
          <w:rFonts w:cs="Times New Roman"/>
          <w:sz w:val="20"/>
          <w:szCs w:val="20"/>
        </w:rPr>
        <w:t>ssessment</w:t>
      </w:r>
      <w:r w:rsidRPr="00F7263B">
        <w:rPr>
          <w:rFonts w:cs="Times New Roman"/>
          <w:sz w:val="20"/>
          <w:szCs w:val="20"/>
        </w:rPr>
        <w:t xml:space="preserve">, and the program design contains a number of core initiatives to address the risks of this, such as especially the: </w:t>
      </w:r>
      <w:r w:rsidR="004B3487" w:rsidRPr="00F7263B">
        <w:rPr>
          <w:rFonts w:cs="Times New Roman"/>
          <w:sz w:val="20"/>
          <w:szCs w:val="20"/>
        </w:rPr>
        <w:t>(a</w:t>
      </w:r>
      <w:r w:rsidRPr="00F7263B">
        <w:rPr>
          <w:rFonts w:cs="Times New Roman"/>
          <w:sz w:val="20"/>
          <w:szCs w:val="20"/>
        </w:rPr>
        <w:t xml:space="preserve">) minimum access conditions for the </w:t>
      </w:r>
      <w:r w:rsidR="00D0377C" w:rsidRPr="00F7263B">
        <w:rPr>
          <w:rFonts w:cs="Times New Roman"/>
          <w:sz w:val="20"/>
          <w:szCs w:val="20"/>
        </w:rPr>
        <w:t>performance-based</w:t>
      </w:r>
      <w:r w:rsidRPr="00F7263B">
        <w:rPr>
          <w:rFonts w:cs="Times New Roman"/>
          <w:sz w:val="20"/>
          <w:szCs w:val="20"/>
        </w:rPr>
        <w:t>grants, which also encompasses a grievance/complaint mechanism</w:t>
      </w:r>
      <w:r w:rsidR="00EE3924" w:rsidRPr="00F7263B">
        <w:rPr>
          <w:rFonts w:cs="Times New Roman"/>
          <w:sz w:val="20"/>
          <w:szCs w:val="20"/>
        </w:rPr>
        <w:t>,</w:t>
      </w:r>
      <w:r w:rsidRPr="00F7263B">
        <w:rPr>
          <w:rFonts w:cs="Times New Roman"/>
          <w:sz w:val="20"/>
          <w:szCs w:val="20"/>
        </w:rPr>
        <w:t xml:space="preserve"> and conditions for financial management; </w:t>
      </w:r>
      <w:r w:rsidR="004B3487" w:rsidRPr="00F7263B">
        <w:rPr>
          <w:rFonts w:cs="Times New Roman"/>
          <w:sz w:val="20"/>
          <w:szCs w:val="20"/>
        </w:rPr>
        <w:t>(b</w:t>
      </w:r>
      <w:r w:rsidRPr="00F7263B">
        <w:rPr>
          <w:rFonts w:cs="Times New Roman"/>
          <w:sz w:val="20"/>
          <w:szCs w:val="20"/>
        </w:rPr>
        <w:t xml:space="preserve">) performance measures on core areas of importance for </w:t>
      </w:r>
      <w:r w:rsidR="004B3487" w:rsidRPr="00F7263B">
        <w:rPr>
          <w:rFonts w:cs="Times New Roman"/>
          <w:sz w:val="20"/>
          <w:szCs w:val="20"/>
        </w:rPr>
        <w:t>fraud and corruption</w:t>
      </w:r>
      <w:r w:rsidRPr="00F7263B">
        <w:rPr>
          <w:rFonts w:cs="Times New Roman"/>
          <w:sz w:val="20"/>
          <w:szCs w:val="20"/>
        </w:rPr>
        <w:t xml:space="preserve"> such as participation, financial management, procurement, accountability and transparency</w:t>
      </w:r>
      <w:r w:rsidR="00EE3924" w:rsidRPr="00F7263B">
        <w:rPr>
          <w:rFonts w:cs="Times New Roman"/>
          <w:sz w:val="20"/>
          <w:szCs w:val="20"/>
        </w:rPr>
        <w:t>;</w:t>
      </w:r>
      <w:r w:rsidR="004B3487" w:rsidRPr="00F7263B">
        <w:rPr>
          <w:rFonts w:cs="Times New Roman"/>
          <w:sz w:val="20"/>
          <w:szCs w:val="20"/>
        </w:rPr>
        <w:t>(c</w:t>
      </w:r>
      <w:r w:rsidRPr="00F7263B">
        <w:rPr>
          <w:rFonts w:cs="Times New Roman"/>
          <w:sz w:val="20"/>
          <w:szCs w:val="20"/>
        </w:rPr>
        <w:t xml:space="preserve">) procurement audits (first as covered by the APA, and from the </w:t>
      </w:r>
      <w:r w:rsidR="004B3487" w:rsidRPr="00F7263B">
        <w:rPr>
          <w:rFonts w:cs="Times New Roman"/>
          <w:sz w:val="20"/>
          <w:szCs w:val="20"/>
        </w:rPr>
        <w:t>third</w:t>
      </w:r>
      <w:r w:rsidRPr="00F7263B">
        <w:rPr>
          <w:rFonts w:cs="Times New Roman"/>
          <w:sz w:val="20"/>
          <w:szCs w:val="20"/>
        </w:rPr>
        <w:t xml:space="preserve"> year as conducted separately by the </w:t>
      </w:r>
      <w:r w:rsidR="004B3487" w:rsidRPr="00F7263B">
        <w:rPr>
          <w:rFonts w:cs="Times New Roman"/>
          <w:sz w:val="20"/>
          <w:szCs w:val="20"/>
        </w:rPr>
        <w:t>Public Procurement Agency</w:t>
      </w:r>
      <w:r w:rsidRPr="00F7263B">
        <w:rPr>
          <w:rFonts w:cs="Times New Roman"/>
          <w:sz w:val="20"/>
          <w:szCs w:val="20"/>
        </w:rPr>
        <w:t>, with results which impact on the level</w:t>
      </w:r>
      <w:r w:rsidR="004B3487" w:rsidRPr="00F7263B">
        <w:rPr>
          <w:rFonts w:cs="Times New Roman"/>
          <w:sz w:val="20"/>
          <w:szCs w:val="20"/>
        </w:rPr>
        <w:t xml:space="preserve"> of funding for each ULG; value </w:t>
      </w:r>
      <w:r w:rsidRPr="00F7263B">
        <w:rPr>
          <w:rFonts w:cs="Times New Roman"/>
          <w:sz w:val="20"/>
          <w:szCs w:val="20"/>
        </w:rPr>
        <w:t xml:space="preserve">formoney audits (from the </w:t>
      </w:r>
      <w:r w:rsidR="004B3487" w:rsidRPr="00F7263B">
        <w:rPr>
          <w:rFonts w:cs="Times New Roman"/>
          <w:sz w:val="20"/>
          <w:szCs w:val="20"/>
        </w:rPr>
        <w:t>third APA)</w:t>
      </w:r>
      <w:r w:rsidR="00EE3924" w:rsidRPr="00F7263B">
        <w:rPr>
          <w:rFonts w:cs="Times New Roman"/>
          <w:sz w:val="20"/>
          <w:szCs w:val="20"/>
        </w:rPr>
        <w:t>;</w:t>
      </w:r>
      <w:r w:rsidR="004B3487" w:rsidRPr="00F7263B">
        <w:rPr>
          <w:rFonts w:cs="Times New Roman"/>
          <w:sz w:val="20"/>
          <w:szCs w:val="20"/>
        </w:rPr>
        <w:t xml:space="preserve"> and (d) comprehensive capacity building</w:t>
      </w:r>
      <w:r w:rsidRPr="00F7263B">
        <w:rPr>
          <w:rFonts w:cs="Times New Roman"/>
          <w:sz w:val="20"/>
          <w:szCs w:val="20"/>
        </w:rPr>
        <w:t xml:space="preserve"> support from the federal and regional level, including team members in the </w:t>
      </w:r>
      <w:r w:rsidR="004B3487" w:rsidRPr="00F7263B">
        <w:rPr>
          <w:rFonts w:cs="Times New Roman"/>
          <w:sz w:val="20"/>
          <w:szCs w:val="20"/>
        </w:rPr>
        <w:t>technical assistance</w:t>
      </w:r>
      <w:r w:rsidRPr="00F7263B">
        <w:rPr>
          <w:rFonts w:cs="Times New Roman"/>
          <w:sz w:val="20"/>
          <w:szCs w:val="20"/>
        </w:rPr>
        <w:t xml:space="preserve"> support with expertise on participation, accountability and ethics</w:t>
      </w:r>
      <w:r w:rsidR="008073B5" w:rsidRPr="00F7263B">
        <w:rPr>
          <w:rFonts w:cs="Times New Roman"/>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lastRenderedPageBreak/>
        <w:t xml:space="preserve">The Program has </w:t>
      </w:r>
      <w:r w:rsidRPr="00F7263B">
        <w:rPr>
          <w:rFonts w:cs="Times New Roman"/>
          <w:iCs/>
          <w:sz w:val="20"/>
          <w:szCs w:val="20"/>
        </w:rPr>
        <w:t>high levels of ownership at all levels of government (federal, regional and local)</w:t>
      </w:r>
      <w:r w:rsidR="004B3487" w:rsidRPr="00F7263B">
        <w:rPr>
          <w:rFonts w:cs="Times New Roman"/>
          <w:iCs/>
          <w:sz w:val="20"/>
          <w:szCs w:val="20"/>
        </w:rPr>
        <w:t xml:space="preserve">.  </w:t>
      </w:r>
      <w:r w:rsidRPr="00F7263B">
        <w:rPr>
          <w:rFonts w:cs="Times New Roman"/>
          <w:iCs/>
          <w:sz w:val="20"/>
          <w:szCs w:val="20"/>
        </w:rPr>
        <w:t>The coordinating ministry (</w:t>
      </w:r>
      <w:r w:rsidR="00276BC8" w:rsidRPr="00F7263B">
        <w:rPr>
          <w:rFonts w:cs="Times New Roman"/>
          <w:iCs/>
          <w:sz w:val="20"/>
          <w:szCs w:val="20"/>
        </w:rPr>
        <w:t>MUDHCo</w:t>
      </w:r>
      <w:r w:rsidRPr="00F7263B">
        <w:rPr>
          <w:rFonts w:cs="Times New Roman"/>
          <w:iCs/>
          <w:sz w:val="20"/>
          <w:szCs w:val="20"/>
        </w:rPr>
        <w:t>) has been the lead entity in the implementation of ULGDP</w:t>
      </w:r>
      <w:r w:rsidR="004B3487" w:rsidRPr="00F7263B">
        <w:rPr>
          <w:rFonts w:cs="Times New Roman"/>
          <w:iCs/>
          <w:sz w:val="20"/>
          <w:szCs w:val="20"/>
        </w:rPr>
        <w:t xml:space="preserve">.  </w:t>
      </w:r>
      <w:r w:rsidRPr="00F7263B">
        <w:rPr>
          <w:rFonts w:cs="Times New Roman"/>
          <w:iCs/>
          <w:sz w:val="20"/>
          <w:szCs w:val="20"/>
        </w:rPr>
        <w:t>The project management aspect of ULGDP has been c</w:t>
      </w:r>
      <w:r w:rsidR="00AF7963" w:rsidRPr="00F7263B">
        <w:rPr>
          <w:rFonts w:cs="Times New Roman"/>
          <w:iCs/>
          <w:sz w:val="20"/>
          <w:szCs w:val="20"/>
        </w:rPr>
        <w:t>onsistently rated satisfactory,</w:t>
      </w:r>
      <w:r w:rsidRPr="00F7263B">
        <w:rPr>
          <w:rFonts w:cs="Times New Roman"/>
          <w:iCs/>
          <w:sz w:val="20"/>
          <w:szCs w:val="20"/>
        </w:rPr>
        <w:t xml:space="preserve"> with the challenge of the timeliness of APA</w:t>
      </w:r>
      <w:r w:rsidR="004B3487" w:rsidRPr="00F7263B">
        <w:rPr>
          <w:rFonts w:cs="Times New Roman"/>
          <w:iCs/>
          <w:sz w:val="20"/>
          <w:szCs w:val="20"/>
        </w:rPr>
        <w:t xml:space="preserve">.  </w:t>
      </w:r>
      <w:r w:rsidRPr="00F7263B">
        <w:rPr>
          <w:rFonts w:cs="Times New Roman"/>
          <w:iCs/>
          <w:sz w:val="20"/>
          <w:szCs w:val="20"/>
        </w:rPr>
        <w:t>The ministry, particularly the minister, is the main driver of the policy to scale up ULGDP</w:t>
      </w:r>
      <w:r w:rsidR="004B3487" w:rsidRPr="00F7263B">
        <w:rPr>
          <w:rFonts w:cs="Times New Roman"/>
          <w:iCs/>
          <w:sz w:val="20"/>
          <w:szCs w:val="20"/>
        </w:rPr>
        <w:t xml:space="preserve">.  </w:t>
      </w:r>
      <w:r w:rsidRPr="00F7263B">
        <w:rPr>
          <w:rFonts w:cs="Times New Roman"/>
          <w:iCs/>
          <w:sz w:val="20"/>
          <w:szCs w:val="20"/>
        </w:rPr>
        <w:t>Regional and local governments of ULGDP also have a strong commitment to the Program, indicated by their past performance of signing participation agreements annually and having contributed a significant amount of their own revenues as counterpart funding to match the IDA funds</w:t>
      </w:r>
      <w:r w:rsidR="004B3487" w:rsidRPr="00F7263B">
        <w:rPr>
          <w:rFonts w:cs="Times New Roman"/>
          <w:iCs/>
          <w:sz w:val="20"/>
          <w:szCs w:val="20"/>
        </w:rPr>
        <w:t xml:space="preserve">.  </w:t>
      </w:r>
      <w:r w:rsidRPr="00F7263B">
        <w:rPr>
          <w:rFonts w:cs="Times New Roman"/>
          <w:iCs/>
          <w:sz w:val="20"/>
          <w:szCs w:val="20"/>
        </w:rPr>
        <w:t>The new 26 urban local governments are equally committed to the Program and have expressed strong wish to be included over the various rounds of discussions during preparation.</w:t>
      </w:r>
    </w:p>
    <w:p w:rsidR="00AB72CB" w:rsidRPr="00F7263B" w:rsidRDefault="00AB72CB" w:rsidP="00AF7963">
      <w:pPr>
        <w:rPr>
          <w:b/>
          <w:sz w:val="20"/>
          <w:szCs w:val="20"/>
        </w:rPr>
      </w:pPr>
      <w:r w:rsidRPr="00F7263B">
        <w:rPr>
          <w:b/>
          <w:sz w:val="20"/>
          <w:szCs w:val="20"/>
        </w:rPr>
        <w:t xml:space="preserve">Economic </w:t>
      </w:r>
      <w:r w:rsidR="00AF7963" w:rsidRPr="00F7263B">
        <w:rPr>
          <w:b/>
          <w:sz w:val="20"/>
          <w:szCs w:val="20"/>
        </w:rPr>
        <w:t>j</w:t>
      </w:r>
      <w:r w:rsidRPr="00F7263B">
        <w:rPr>
          <w:b/>
          <w:sz w:val="20"/>
          <w:szCs w:val="20"/>
        </w:rPr>
        <w:t>ustification of the Program</w:t>
      </w:r>
    </w:p>
    <w:p w:rsidR="00AB72CB" w:rsidRPr="00F7263B" w:rsidRDefault="00AB72CB" w:rsidP="00AF7963">
      <w:pPr>
        <w:rPr>
          <w:sz w:val="20"/>
          <w:szCs w:val="20"/>
        </w:rPr>
      </w:pPr>
    </w:p>
    <w:p w:rsidR="006E7278" w:rsidRPr="00F7263B" w:rsidRDefault="00AB72CB" w:rsidP="00056FC8">
      <w:pPr>
        <w:pStyle w:val="ListParagraph"/>
        <w:numPr>
          <w:ilvl w:val="0"/>
          <w:numId w:val="62"/>
        </w:numPr>
        <w:autoSpaceDE w:val="0"/>
        <w:autoSpaceDN w:val="0"/>
        <w:adjustRightInd w:val="0"/>
        <w:ind w:left="0" w:firstLine="0"/>
        <w:jc w:val="both"/>
        <w:rPr>
          <w:rFonts w:cs="Times New Roman"/>
          <w:sz w:val="20"/>
          <w:szCs w:val="20"/>
        </w:rPr>
      </w:pPr>
      <w:r w:rsidRPr="00F7263B">
        <w:rPr>
          <w:rFonts w:cs="Times New Roman"/>
          <w:sz w:val="20"/>
          <w:szCs w:val="20"/>
        </w:rPr>
        <w:t xml:space="preserve">Economic evaluation of </w:t>
      </w:r>
      <w:r w:rsidR="00D0377C" w:rsidRPr="00F7263B">
        <w:rPr>
          <w:rFonts w:cs="Times New Roman"/>
          <w:sz w:val="20"/>
          <w:szCs w:val="20"/>
        </w:rPr>
        <w:t>performance-based</w:t>
      </w:r>
      <w:r w:rsidRPr="00F7263B">
        <w:rPr>
          <w:rFonts w:cs="Times New Roman"/>
          <w:sz w:val="20"/>
          <w:szCs w:val="20"/>
        </w:rPr>
        <w:t xml:space="preserve"> fiscal transfer programs internationally indicates that the economic benefits are wide-ranging and mutually strengthening</w:t>
      </w:r>
      <w:r w:rsidR="004B3487" w:rsidRPr="00F7263B">
        <w:rPr>
          <w:rFonts w:cs="Times New Roman"/>
          <w:sz w:val="20"/>
          <w:szCs w:val="20"/>
        </w:rPr>
        <w:t xml:space="preserve">.  </w:t>
      </w:r>
      <w:r w:rsidRPr="00F7263B">
        <w:rPr>
          <w:rFonts w:cs="Times New Roman"/>
          <w:sz w:val="20"/>
          <w:szCs w:val="20"/>
        </w:rPr>
        <w:t>Moreover, a number of ULGDP specific reviews o</w:t>
      </w:r>
      <w:r w:rsidR="00AF7963" w:rsidRPr="00F7263B">
        <w:rPr>
          <w:rFonts w:cs="Times New Roman"/>
          <w:sz w:val="20"/>
          <w:szCs w:val="20"/>
        </w:rPr>
        <w:t>f the major investments show: (a</w:t>
      </w:r>
      <w:r w:rsidRPr="00F7263B">
        <w:rPr>
          <w:rFonts w:cs="Times New Roman"/>
          <w:sz w:val="20"/>
          <w:szCs w:val="20"/>
        </w:rPr>
        <w:t>) a high l</w:t>
      </w:r>
      <w:r w:rsidR="00AF7963" w:rsidRPr="00F7263B">
        <w:rPr>
          <w:rFonts w:cs="Times New Roman"/>
          <w:sz w:val="20"/>
          <w:szCs w:val="20"/>
        </w:rPr>
        <w:t>evel value for the money</w:t>
      </w:r>
      <w:r w:rsidR="00AB461F" w:rsidRPr="00F7263B">
        <w:rPr>
          <w:rFonts w:cs="Times New Roman"/>
          <w:sz w:val="20"/>
          <w:szCs w:val="20"/>
        </w:rPr>
        <w:t>,</w:t>
      </w:r>
      <w:r w:rsidR="00AF7963" w:rsidRPr="00F7263B">
        <w:rPr>
          <w:rFonts w:cs="Times New Roman"/>
          <w:sz w:val="20"/>
          <w:szCs w:val="20"/>
        </w:rPr>
        <w:t xml:space="preserve"> (b</w:t>
      </w:r>
      <w:r w:rsidRPr="00F7263B">
        <w:rPr>
          <w:rFonts w:cs="Times New Roman"/>
          <w:sz w:val="20"/>
          <w:szCs w:val="20"/>
        </w:rPr>
        <w:t>) that the investment are highly labor intensive/ conducive to job creation, and income-genera</w:t>
      </w:r>
      <w:r w:rsidR="00AF7963" w:rsidRPr="00F7263B">
        <w:rPr>
          <w:rFonts w:cs="Times New Roman"/>
          <w:sz w:val="20"/>
          <w:szCs w:val="20"/>
        </w:rPr>
        <w:t>ting for local communities</w:t>
      </w:r>
      <w:r w:rsidR="00AB461F" w:rsidRPr="00F7263B">
        <w:rPr>
          <w:rFonts w:cs="Times New Roman"/>
          <w:sz w:val="20"/>
          <w:szCs w:val="20"/>
        </w:rPr>
        <w:t>,</w:t>
      </w:r>
      <w:r w:rsidR="00AF7963" w:rsidRPr="00F7263B">
        <w:rPr>
          <w:rFonts w:cs="Times New Roman"/>
          <w:sz w:val="20"/>
          <w:szCs w:val="20"/>
        </w:rPr>
        <w:t xml:space="preserve"> (c</w:t>
      </w:r>
      <w:r w:rsidRPr="00F7263B">
        <w:rPr>
          <w:rFonts w:cs="Times New Roman"/>
          <w:sz w:val="20"/>
          <w:szCs w:val="20"/>
        </w:rPr>
        <w:t>) that the modalities for delivery are efficient compared to othe</w:t>
      </w:r>
      <w:r w:rsidR="00AF7963" w:rsidRPr="00F7263B">
        <w:rPr>
          <w:rFonts w:cs="Times New Roman"/>
          <w:sz w:val="20"/>
          <w:szCs w:val="20"/>
        </w:rPr>
        <w:t>r modes of service delivery</w:t>
      </w:r>
      <w:r w:rsidR="00AB461F" w:rsidRPr="00F7263B">
        <w:rPr>
          <w:rFonts w:cs="Times New Roman"/>
          <w:sz w:val="20"/>
          <w:szCs w:val="20"/>
        </w:rPr>
        <w:t>,</w:t>
      </w:r>
      <w:r w:rsidR="00AF7963" w:rsidRPr="00F7263B">
        <w:rPr>
          <w:rFonts w:cs="Times New Roman"/>
          <w:sz w:val="20"/>
          <w:szCs w:val="20"/>
        </w:rPr>
        <w:t xml:space="preserve"> (d</w:t>
      </w:r>
      <w:r w:rsidRPr="00F7263B">
        <w:rPr>
          <w:rFonts w:cs="Times New Roman"/>
          <w:sz w:val="20"/>
          <w:szCs w:val="20"/>
        </w:rPr>
        <w:t>) general high levels of economic rate of return on investments</w:t>
      </w:r>
      <w:r w:rsidR="004B3487" w:rsidRPr="00F7263B">
        <w:rPr>
          <w:rFonts w:cs="Times New Roman"/>
          <w:sz w:val="20"/>
          <w:szCs w:val="20"/>
        </w:rPr>
        <w:t xml:space="preserve">.  </w:t>
      </w:r>
      <w:r w:rsidRPr="00F7263B">
        <w:rPr>
          <w:rFonts w:cs="Times New Roman"/>
          <w:sz w:val="20"/>
          <w:szCs w:val="20"/>
        </w:rPr>
        <w:t>Finally, the review under the recently conducted revenue enhancement study shows that ULGs have a strong ownership in the operations, and that the incentives provided improve performance and capacity in core areas of ULG operations and management such as procurement, revenue mobilization and assets management</w:t>
      </w:r>
      <w:r w:rsidR="004B3487" w:rsidRPr="00F7263B">
        <w:rPr>
          <w:rFonts w:cs="Times New Roman"/>
          <w:sz w:val="20"/>
          <w:szCs w:val="20"/>
        </w:rPr>
        <w:t xml:space="preserve">.  </w:t>
      </w:r>
      <w:r w:rsidRPr="00F7263B">
        <w:rPr>
          <w:rFonts w:cs="Times New Roman"/>
          <w:sz w:val="20"/>
          <w:szCs w:val="20"/>
        </w:rPr>
        <w:t>The box below summarizes some of these findings</w:t>
      </w:r>
      <w:r w:rsidR="004B3487" w:rsidRPr="00F7263B">
        <w:rPr>
          <w:rFonts w:cs="Times New Roman"/>
          <w:sz w:val="20"/>
          <w:szCs w:val="20"/>
        </w:rPr>
        <w:t xml:space="preserve">.  </w:t>
      </w:r>
    </w:p>
    <w:p w:rsidR="00AF7963" w:rsidRPr="00F7263B" w:rsidRDefault="00AF7963" w:rsidP="00AF7963">
      <w:pPr>
        <w:rPr>
          <w:sz w:val="20"/>
          <w:szCs w:val="20"/>
        </w:rPr>
      </w:pPr>
    </w:p>
    <w:p w:rsidR="00AF7963" w:rsidRPr="00F7263B" w:rsidRDefault="00AF7963" w:rsidP="00254260">
      <w:pPr>
        <w:pStyle w:val="ListParagraph"/>
        <w:autoSpaceDE w:val="0"/>
        <w:autoSpaceDN w:val="0"/>
        <w:adjustRightInd w:val="0"/>
        <w:spacing w:after="60"/>
        <w:ind w:left="0"/>
        <w:jc w:val="both"/>
        <w:rPr>
          <w:rFonts w:cs="Times New Roman"/>
          <w:b/>
          <w:sz w:val="20"/>
          <w:szCs w:val="20"/>
        </w:rPr>
      </w:pPr>
      <w:r w:rsidRPr="00F7263B">
        <w:rPr>
          <w:rFonts w:cs="Times New Roman"/>
          <w:b/>
          <w:sz w:val="20"/>
          <w:szCs w:val="20"/>
        </w:rPr>
        <w:t>Key benefits of ULGDP investments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2"/>
      </w:tblGrid>
      <w:tr w:rsidR="00AB72CB" w:rsidRPr="00F7263B">
        <w:tc>
          <w:tcPr>
            <w:tcW w:w="9482" w:type="dxa"/>
          </w:tcPr>
          <w:p w:rsidR="00AB72CB" w:rsidRPr="00F7263B" w:rsidRDefault="00AB72CB" w:rsidP="00AB72CB">
            <w:pPr>
              <w:pStyle w:val="ListParagraph"/>
              <w:tabs>
                <w:tab w:val="left" w:pos="0"/>
              </w:tabs>
              <w:autoSpaceDE w:val="0"/>
              <w:autoSpaceDN w:val="0"/>
              <w:adjustRightInd w:val="0"/>
              <w:ind w:left="0"/>
              <w:jc w:val="both"/>
              <w:rPr>
                <w:rFonts w:cs="Times New Roman"/>
                <w:b/>
                <w:i/>
                <w:sz w:val="20"/>
                <w:szCs w:val="20"/>
              </w:rPr>
            </w:pPr>
          </w:p>
          <w:p w:rsidR="006E7278" w:rsidRPr="00F7263B" w:rsidRDefault="00AB72CB" w:rsidP="00056FC8">
            <w:pPr>
              <w:pStyle w:val="ListParagraph"/>
              <w:numPr>
                <w:ilvl w:val="0"/>
                <w:numId w:val="66"/>
              </w:numPr>
              <w:tabs>
                <w:tab w:val="left" w:pos="360"/>
              </w:tabs>
              <w:autoSpaceDE w:val="0"/>
              <w:autoSpaceDN w:val="0"/>
              <w:adjustRightInd w:val="0"/>
              <w:ind w:left="360"/>
              <w:jc w:val="both"/>
              <w:rPr>
                <w:rFonts w:cs="Times New Roman"/>
                <w:sz w:val="20"/>
                <w:szCs w:val="20"/>
              </w:rPr>
            </w:pPr>
            <w:r w:rsidRPr="00F7263B">
              <w:rPr>
                <w:rFonts w:cs="Times New Roman"/>
                <w:sz w:val="20"/>
                <w:szCs w:val="20"/>
              </w:rPr>
              <w:t xml:space="preserve">Coverage of significant infrastructure and service delivery gaps with more than a doubling of the resource available at the </w:t>
            </w:r>
            <w:r w:rsidR="00AF7963" w:rsidRPr="00F7263B">
              <w:rPr>
                <w:rFonts w:cs="Times New Roman"/>
                <w:sz w:val="20"/>
                <w:szCs w:val="20"/>
              </w:rPr>
              <w:t>ULG level for urban investments.</w:t>
            </w:r>
          </w:p>
          <w:p w:rsidR="006E7278" w:rsidRPr="00F7263B" w:rsidRDefault="00AB72CB" w:rsidP="00056FC8">
            <w:pPr>
              <w:pStyle w:val="ListParagraph"/>
              <w:numPr>
                <w:ilvl w:val="0"/>
                <w:numId w:val="66"/>
              </w:numPr>
              <w:tabs>
                <w:tab w:val="left" w:pos="360"/>
              </w:tabs>
              <w:autoSpaceDE w:val="0"/>
              <w:autoSpaceDN w:val="0"/>
              <w:adjustRightInd w:val="0"/>
              <w:ind w:left="360"/>
              <w:jc w:val="both"/>
              <w:rPr>
                <w:rFonts w:eastAsiaTheme="majorEastAsia" w:cs="Times New Roman"/>
                <w:i/>
                <w:iCs/>
                <w:color w:val="243F60" w:themeColor="accent1" w:themeShade="7F"/>
                <w:sz w:val="20"/>
                <w:szCs w:val="20"/>
              </w:rPr>
            </w:pPr>
            <w:r w:rsidRPr="00F7263B">
              <w:rPr>
                <w:rFonts w:cs="Times New Roman"/>
                <w:sz w:val="20"/>
                <w:szCs w:val="20"/>
              </w:rPr>
              <w:t>Sign</w:t>
            </w:r>
            <w:r w:rsidR="00AF7963" w:rsidRPr="00F7263B">
              <w:rPr>
                <w:rFonts w:cs="Times New Roman"/>
                <w:sz w:val="20"/>
                <w:szCs w:val="20"/>
              </w:rPr>
              <w:t xml:space="preserve">ificant employment creation, that is, </w:t>
            </w:r>
            <w:r w:rsidRPr="00F7263B">
              <w:rPr>
                <w:rFonts w:cs="Times New Roman"/>
                <w:sz w:val="20"/>
                <w:szCs w:val="20"/>
              </w:rPr>
              <w:t>more than 300,000 new jobs are expected based on experiences from phase one</w:t>
            </w:r>
            <w:r w:rsidR="00AF7963" w:rsidRPr="00F7263B">
              <w:rPr>
                <w:rFonts w:cs="Times New Roman"/>
                <w:sz w:val="20"/>
                <w:szCs w:val="20"/>
              </w:rPr>
              <w:t>.</w:t>
            </w:r>
          </w:p>
          <w:p w:rsidR="006E7278" w:rsidRPr="00F7263B" w:rsidRDefault="00AB72CB" w:rsidP="00056FC8">
            <w:pPr>
              <w:pStyle w:val="ListParagraph"/>
              <w:numPr>
                <w:ilvl w:val="0"/>
                <w:numId w:val="66"/>
              </w:numPr>
              <w:tabs>
                <w:tab w:val="left" w:pos="360"/>
              </w:tabs>
              <w:autoSpaceDE w:val="0"/>
              <w:autoSpaceDN w:val="0"/>
              <w:adjustRightInd w:val="0"/>
              <w:ind w:left="360"/>
              <w:jc w:val="both"/>
              <w:rPr>
                <w:rFonts w:eastAsiaTheme="majorEastAsia" w:cs="Times New Roman"/>
                <w:i/>
                <w:iCs/>
                <w:color w:val="243F60" w:themeColor="accent1" w:themeShade="7F"/>
                <w:sz w:val="20"/>
                <w:szCs w:val="20"/>
              </w:rPr>
            </w:pPr>
            <w:r w:rsidRPr="00F7263B">
              <w:rPr>
                <w:rFonts w:cs="Times New Roman"/>
                <w:sz w:val="20"/>
                <w:szCs w:val="20"/>
              </w:rPr>
              <w:t>High economic rate of return in areas where most of the funds are utilized, and competitive costs compared to o</w:t>
            </w:r>
            <w:r w:rsidR="00AF7963" w:rsidRPr="00F7263B">
              <w:rPr>
                <w:rFonts w:cs="Times New Roman"/>
                <w:sz w:val="20"/>
                <w:szCs w:val="20"/>
              </w:rPr>
              <w:t>ther modalities and investments.</w:t>
            </w:r>
          </w:p>
          <w:p w:rsidR="006E7278" w:rsidRPr="00F7263B" w:rsidRDefault="00AB72CB" w:rsidP="00056FC8">
            <w:pPr>
              <w:pStyle w:val="ListParagraph"/>
              <w:numPr>
                <w:ilvl w:val="0"/>
                <w:numId w:val="66"/>
              </w:numPr>
              <w:tabs>
                <w:tab w:val="left" w:pos="360"/>
              </w:tabs>
              <w:autoSpaceDE w:val="0"/>
              <w:autoSpaceDN w:val="0"/>
              <w:adjustRightInd w:val="0"/>
              <w:ind w:left="360"/>
              <w:jc w:val="both"/>
              <w:rPr>
                <w:rFonts w:eastAsiaTheme="majorEastAsia" w:cs="Times New Roman"/>
                <w:i/>
                <w:iCs/>
                <w:color w:val="243F60" w:themeColor="accent1" w:themeShade="7F"/>
                <w:sz w:val="20"/>
                <w:szCs w:val="20"/>
              </w:rPr>
            </w:pPr>
            <w:r w:rsidRPr="00F7263B">
              <w:rPr>
                <w:rFonts w:cs="Times New Roman"/>
                <w:sz w:val="20"/>
                <w:szCs w:val="20"/>
              </w:rPr>
              <w:t>Strong support of institutional improvements, incentives and longer-term sustainability in terms of strengthening of core institutions, planning, PFM, procurement, and safeguard management</w:t>
            </w:r>
            <w:r w:rsidR="004B3487" w:rsidRPr="00F7263B">
              <w:rPr>
                <w:rFonts w:cs="Times New Roman"/>
                <w:sz w:val="20"/>
                <w:szCs w:val="20"/>
              </w:rPr>
              <w:t xml:space="preserve">.  </w:t>
            </w:r>
          </w:p>
          <w:p w:rsidR="00AB72CB" w:rsidRPr="00F7263B" w:rsidRDefault="00AB72CB" w:rsidP="00AB72CB">
            <w:pPr>
              <w:pStyle w:val="ListParagraph"/>
              <w:tabs>
                <w:tab w:val="left" w:pos="0"/>
              </w:tabs>
              <w:autoSpaceDE w:val="0"/>
              <w:autoSpaceDN w:val="0"/>
              <w:adjustRightInd w:val="0"/>
              <w:ind w:left="0"/>
              <w:jc w:val="both"/>
              <w:rPr>
                <w:rFonts w:cs="Times New Roman"/>
                <w:i/>
                <w:sz w:val="20"/>
                <w:szCs w:val="20"/>
              </w:rPr>
            </w:pPr>
          </w:p>
        </w:tc>
      </w:tr>
    </w:tbl>
    <w:p w:rsidR="00AB72CB" w:rsidRPr="00F7263B" w:rsidRDefault="00AB72CB" w:rsidP="00AB72CB">
      <w:pPr>
        <w:pStyle w:val="ListParagraph"/>
        <w:tabs>
          <w:tab w:val="left" w:pos="0"/>
        </w:tabs>
        <w:autoSpaceDE w:val="0"/>
        <w:autoSpaceDN w:val="0"/>
        <w:adjustRightInd w:val="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Analytical work shows strong economic benefits of ULGDP investments, with strong focus on cobblestone road construction</w:t>
      </w:r>
      <w:r w:rsidR="004B3487" w:rsidRPr="00F7263B">
        <w:rPr>
          <w:rFonts w:cs="Times New Roman"/>
          <w:sz w:val="20"/>
          <w:szCs w:val="20"/>
        </w:rPr>
        <w:t>.</w:t>
      </w:r>
      <w:r w:rsidR="00AF7963" w:rsidRPr="00F7263B">
        <w:rPr>
          <w:rStyle w:val="FootnoteReference"/>
          <w:rFonts w:cs="Times New Roman"/>
          <w:sz w:val="20"/>
          <w:szCs w:val="20"/>
        </w:rPr>
        <w:footnoteReference w:id="51"/>
      </w:r>
      <w:r w:rsidRPr="00F7263B">
        <w:rPr>
          <w:rFonts w:cs="Times New Roman"/>
          <w:sz w:val="20"/>
          <w:szCs w:val="20"/>
        </w:rPr>
        <w:t>The key benefits of this and other ULGDP investments include reduced transport costs, small and micro enterprise (private sector) development, and income and job creation activities</w:t>
      </w:r>
      <w:r w:rsidR="004B3487" w:rsidRPr="00F7263B">
        <w:rPr>
          <w:rFonts w:cs="Times New Roman"/>
          <w:sz w:val="20"/>
          <w:szCs w:val="20"/>
        </w:rPr>
        <w:t xml:space="preserve">.  </w:t>
      </w:r>
      <w:r w:rsidRPr="00F7263B">
        <w:rPr>
          <w:rFonts w:cs="Times New Roman"/>
          <w:sz w:val="20"/>
          <w:szCs w:val="20"/>
        </w:rPr>
        <w:t>The economic benefit of the program towards private sector development is particularly significant</w:t>
      </w:r>
      <w:r w:rsidR="004B3487" w:rsidRPr="00F7263B">
        <w:rPr>
          <w:rFonts w:cs="Times New Roman"/>
          <w:sz w:val="20"/>
          <w:szCs w:val="20"/>
        </w:rPr>
        <w:t xml:space="preserve">.  </w:t>
      </w:r>
      <w:r w:rsidRPr="00F7263B">
        <w:rPr>
          <w:rFonts w:cs="Times New Roman"/>
          <w:sz w:val="20"/>
          <w:szCs w:val="20"/>
        </w:rPr>
        <w:t>This is because a large part of ULGDP infrastructure investments, including the key infrastructure investment, which is cobblestone road construction, are executed by local small and micro enterprises at the ULG level, with the involvement of the local community.</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tabs>
          <w:tab w:val="left" w:pos="0"/>
        </w:tabs>
        <w:autoSpaceDE w:val="0"/>
        <w:autoSpaceDN w:val="0"/>
        <w:adjustRightInd w:val="0"/>
        <w:ind w:left="0" w:firstLine="0"/>
        <w:jc w:val="both"/>
        <w:rPr>
          <w:rFonts w:cs="Times New Roman"/>
          <w:b/>
          <w:i/>
          <w:sz w:val="20"/>
          <w:szCs w:val="20"/>
        </w:rPr>
      </w:pPr>
      <w:r w:rsidRPr="00F7263B">
        <w:rPr>
          <w:rFonts w:cs="Times New Roman"/>
          <w:sz w:val="20"/>
          <w:szCs w:val="20"/>
        </w:rPr>
        <w:t>ULGDP investments are highly labor intensive and support job creation</w:t>
      </w:r>
      <w:r w:rsidR="004B3487" w:rsidRPr="00F7263B">
        <w:rPr>
          <w:rFonts w:cs="Times New Roman"/>
          <w:sz w:val="20"/>
          <w:szCs w:val="20"/>
        </w:rPr>
        <w:t xml:space="preserve">.  </w:t>
      </w:r>
      <w:r w:rsidRPr="00F7263B">
        <w:rPr>
          <w:rFonts w:cs="Times New Roman"/>
          <w:sz w:val="20"/>
          <w:szCs w:val="20"/>
        </w:rPr>
        <w:t xml:space="preserve">The independent studies financed by the GIZ, which analyzed the ULGDP investments and </w:t>
      </w:r>
      <w:r w:rsidR="00276BC8" w:rsidRPr="00F7263B">
        <w:rPr>
          <w:rFonts w:cs="Times New Roman"/>
          <w:sz w:val="20"/>
          <w:szCs w:val="20"/>
        </w:rPr>
        <w:t>MUDHCo</w:t>
      </w:r>
      <w:r w:rsidRPr="00F7263B">
        <w:rPr>
          <w:rFonts w:cs="Times New Roman"/>
          <w:sz w:val="20"/>
          <w:szCs w:val="20"/>
        </w:rPr>
        <w:t xml:space="preserve"> data and monitoring reports indicate the significant impact on employment generation impact of the ULGDP investments</w:t>
      </w:r>
      <w:r w:rsidR="004B3487" w:rsidRPr="00F7263B">
        <w:rPr>
          <w:rFonts w:cs="Times New Roman"/>
          <w:sz w:val="20"/>
          <w:szCs w:val="20"/>
        </w:rPr>
        <w:t xml:space="preserve">.  </w:t>
      </w:r>
      <w:r w:rsidRPr="00F7263B">
        <w:rPr>
          <w:rFonts w:cs="Times New Roman"/>
          <w:sz w:val="20"/>
          <w:szCs w:val="20"/>
        </w:rPr>
        <w:t xml:space="preserve">The </w:t>
      </w:r>
      <w:r w:rsidR="00276BC8" w:rsidRPr="00F7263B">
        <w:rPr>
          <w:rFonts w:cs="Times New Roman"/>
          <w:sz w:val="20"/>
          <w:szCs w:val="20"/>
        </w:rPr>
        <w:t>MUDHCo</w:t>
      </w:r>
      <w:r w:rsidRPr="00F7263B">
        <w:rPr>
          <w:rFonts w:cs="Times New Roman"/>
          <w:sz w:val="20"/>
          <w:szCs w:val="20"/>
        </w:rPr>
        <w:t xml:space="preserve"> reports significant full and part time jobs created by the program</w:t>
      </w:r>
      <w:r w:rsidR="00AB461F" w:rsidRPr="00F7263B">
        <w:rPr>
          <w:rFonts w:cs="Times New Roman"/>
          <w:sz w:val="20"/>
          <w:szCs w:val="20"/>
        </w:rPr>
        <w:t>. Specifically, a</w:t>
      </w:r>
      <w:r w:rsidRPr="00F7263B">
        <w:rPr>
          <w:rFonts w:cs="Times New Roman"/>
          <w:sz w:val="20"/>
          <w:szCs w:val="20"/>
        </w:rPr>
        <w:t xml:space="preserve"> total 312,460 jobs have been created in 1</w:t>
      </w:r>
      <w:r w:rsidR="00323E57" w:rsidRPr="00F7263B">
        <w:rPr>
          <w:rFonts w:cs="Times New Roman"/>
          <w:sz w:val="20"/>
          <w:szCs w:val="20"/>
        </w:rPr>
        <w:t xml:space="preserve">9 </w:t>
      </w:r>
      <w:r w:rsidR="00AB461F" w:rsidRPr="00F7263B">
        <w:rPr>
          <w:rFonts w:cs="Times New Roman"/>
          <w:sz w:val="20"/>
          <w:szCs w:val="20"/>
        </w:rPr>
        <w:t>ULGDP</w:t>
      </w:r>
      <w:r w:rsidR="00323E57" w:rsidRPr="00F7263B">
        <w:rPr>
          <w:rFonts w:cs="Times New Roman"/>
          <w:sz w:val="20"/>
          <w:szCs w:val="20"/>
        </w:rPr>
        <w:t>cities between2008</w:t>
      </w:r>
      <w:r w:rsidR="00AB461F" w:rsidRPr="00F7263B">
        <w:rPr>
          <w:rFonts w:cs="Times New Roman"/>
          <w:sz w:val="20"/>
          <w:szCs w:val="20"/>
        </w:rPr>
        <w:t>/09</w:t>
      </w:r>
      <w:r w:rsidR="00323E57" w:rsidRPr="00F7263B">
        <w:rPr>
          <w:rFonts w:cs="Times New Roman"/>
          <w:sz w:val="20"/>
          <w:szCs w:val="20"/>
        </w:rPr>
        <w:t xml:space="preserve"> and 20</w:t>
      </w:r>
      <w:r w:rsidRPr="00F7263B">
        <w:rPr>
          <w:rFonts w:cs="Times New Roman"/>
          <w:sz w:val="20"/>
          <w:szCs w:val="20"/>
        </w:rPr>
        <w:t>13</w:t>
      </w:r>
      <w:r w:rsidR="00AB461F" w:rsidRPr="00F7263B">
        <w:rPr>
          <w:rFonts w:cs="Times New Roman"/>
          <w:sz w:val="20"/>
          <w:szCs w:val="20"/>
        </w:rPr>
        <w:t>/14</w:t>
      </w:r>
      <w:r w:rsidRPr="00F7263B">
        <w:rPr>
          <w:rFonts w:cs="Times New Roman"/>
          <w:sz w:val="20"/>
          <w:szCs w:val="20"/>
        </w:rPr>
        <w:t xml:space="preserve"> as a result of the investments initiated and funded by ULGDP, supporting the objectives to focus on job-creation in the </w:t>
      </w:r>
      <w:r w:rsidR="00830508" w:rsidRPr="00F7263B">
        <w:rPr>
          <w:rFonts w:cs="Times New Roman"/>
          <w:sz w:val="20"/>
          <w:szCs w:val="20"/>
        </w:rPr>
        <w:t>government</w:t>
      </w:r>
      <w:r w:rsidRPr="00F7263B">
        <w:rPr>
          <w:rFonts w:cs="Times New Roman"/>
          <w:sz w:val="20"/>
          <w:szCs w:val="20"/>
        </w:rPr>
        <w:t>’s development policy, the GTP, especially for the local youth and unskilled workers</w:t>
      </w:r>
      <w:r w:rsidR="004B3487" w:rsidRPr="00F7263B">
        <w:rPr>
          <w:rFonts w:cs="Times New Roman"/>
          <w:sz w:val="20"/>
          <w:szCs w:val="20"/>
        </w:rPr>
        <w:t xml:space="preserve">.  </w:t>
      </w:r>
      <w:r w:rsidRPr="00F7263B">
        <w:rPr>
          <w:rFonts w:cs="Times New Roman"/>
          <w:sz w:val="20"/>
          <w:szCs w:val="20"/>
        </w:rPr>
        <w:t xml:space="preserve">It should be underlined that most infrastructure investments have a large share of women, youth and un-skilled labor, involved in project implementation </w:t>
      </w:r>
      <w:r w:rsidR="00AB461F" w:rsidRPr="00F7263B">
        <w:rPr>
          <w:rFonts w:cs="Times New Roman"/>
          <w:sz w:val="20"/>
          <w:szCs w:val="20"/>
        </w:rPr>
        <w:t xml:space="preserve">(see </w:t>
      </w:r>
      <w:r w:rsidRPr="00F7263B">
        <w:rPr>
          <w:rFonts w:cs="Times New Roman"/>
          <w:sz w:val="20"/>
          <w:szCs w:val="20"/>
        </w:rPr>
        <w:t>figure below</w:t>
      </w:r>
      <w:r w:rsidR="00AB461F" w:rsidRPr="00F7263B">
        <w:rPr>
          <w:rFonts w:cs="Times New Roman"/>
          <w:sz w:val="20"/>
          <w:szCs w:val="20"/>
        </w:rPr>
        <w:t>)</w:t>
      </w:r>
      <w:r w:rsidRPr="00F7263B">
        <w:rPr>
          <w:rFonts w:cs="Times New Roman"/>
          <w:sz w:val="20"/>
          <w:szCs w:val="20"/>
        </w:rPr>
        <w:t>.</w:t>
      </w:r>
      <w:r w:rsidRPr="00F7263B">
        <w:rPr>
          <w:rStyle w:val="FootnoteReference"/>
          <w:rFonts w:cs="Times New Roman"/>
          <w:sz w:val="20"/>
          <w:szCs w:val="20"/>
        </w:rPr>
        <w:footnoteReference w:id="52"/>
      </w:r>
    </w:p>
    <w:p w:rsidR="00AB72CB" w:rsidRPr="00F7263B" w:rsidRDefault="00AB72CB" w:rsidP="00AB72CB">
      <w:pPr>
        <w:tabs>
          <w:tab w:val="left" w:pos="0"/>
        </w:tabs>
        <w:autoSpaceDE w:val="0"/>
        <w:autoSpaceDN w:val="0"/>
        <w:adjustRightInd w:val="0"/>
        <w:jc w:val="both"/>
        <w:rPr>
          <w:rFonts w:cs="Times New Roman"/>
          <w:sz w:val="20"/>
          <w:szCs w:val="20"/>
        </w:rPr>
      </w:pPr>
      <w:r w:rsidRPr="00F7263B">
        <w:rPr>
          <w:rFonts w:cs="Times New Roman"/>
          <w:b/>
          <w:sz w:val="20"/>
          <w:szCs w:val="20"/>
        </w:rPr>
        <w:t xml:space="preserve">Employment Creation by ULGDP Investments from </w:t>
      </w:r>
      <w:r w:rsidR="00FB62A6" w:rsidRPr="00F7263B">
        <w:rPr>
          <w:rFonts w:cs="Times New Roman"/>
          <w:b/>
          <w:sz w:val="20"/>
          <w:szCs w:val="20"/>
        </w:rPr>
        <w:t xml:space="preserve">fiscal </w:t>
      </w:r>
      <w:r w:rsidRPr="00F7263B">
        <w:rPr>
          <w:rFonts w:cs="Times New Roman"/>
          <w:b/>
          <w:sz w:val="20"/>
          <w:szCs w:val="20"/>
        </w:rPr>
        <w:t>2008–</w:t>
      </w:r>
      <w:r w:rsidR="00323E57" w:rsidRPr="00F7263B">
        <w:rPr>
          <w:rFonts w:cs="Times New Roman"/>
          <w:b/>
          <w:sz w:val="20"/>
          <w:szCs w:val="20"/>
        </w:rPr>
        <w:t>20</w:t>
      </w:r>
      <w:r w:rsidRPr="00F7263B">
        <w:rPr>
          <w:rFonts w:cs="Times New Roman"/>
          <w:b/>
          <w:sz w:val="20"/>
          <w:szCs w:val="20"/>
        </w:rPr>
        <w:t>13</w:t>
      </w:r>
    </w:p>
    <w:p w:rsidR="00AB72CB" w:rsidRPr="00F7263B" w:rsidRDefault="00AB72CB" w:rsidP="00AB72CB">
      <w:pPr>
        <w:autoSpaceDE w:val="0"/>
        <w:autoSpaceDN w:val="0"/>
        <w:adjustRightInd w:val="0"/>
        <w:spacing w:after="240"/>
        <w:jc w:val="both"/>
        <w:rPr>
          <w:rFonts w:cs="Times New Roman"/>
          <w:sz w:val="20"/>
          <w:szCs w:val="20"/>
        </w:rPr>
      </w:pPr>
      <w:r w:rsidRPr="00F7263B">
        <w:rPr>
          <w:rFonts w:cs="Times New Roman"/>
          <w:noProof/>
          <w:sz w:val="20"/>
          <w:szCs w:val="20"/>
        </w:rPr>
        <w:lastRenderedPageBreak/>
        <w:drawing>
          <wp:inline distT="0" distB="0" distL="0" distR="0">
            <wp:extent cx="4762500" cy="2457450"/>
            <wp:effectExtent l="0" t="0" r="19050" b="1905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FB62A6"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rFonts w:cs="Times New Roman"/>
          <w:sz w:val="20"/>
          <w:szCs w:val="20"/>
        </w:rPr>
        <w:t>The economic rate of return</w:t>
      </w:r>
      <w:r w:rsidR="00AB72CB" w:rsidRPr="00F7263B">
        <w:rPr>
          <w:rFonts w:cs="Times New Roman"/>
          <w:sz w:val="20"/>
          <w:szCs w:val="20"/>
        </w:rPr>
        <w:t>reviewed by international institutions show the benefits of investing in areas targeted by the ULGDP grants</w:t>
      </w:r>
      <w:r w:rsidRPr="00F7263B">
        <w:rPr>
          <w:rFonts w:cs="Times New Roman"/>
          <w:sz w:val="20"/>
          <w:szCs w:val="20"/>
        </w:rPr>
        <w:t xml:space="preserve">.  </w:t>
      </w:r>
      <w:r w:rsidR="00AB72CB" w:rsidRPr="00F7263B">
        <w:rPr>
          <w:rFonts w:cs="Times New Roman"/>
          <w:sz w:val="20"/>
          <w:szCs w:val="20"/>
        </w:rPr>
        <w:t xml:space="preserve">First, a study undertaking by “Sanitation and Water for All” indicates that the </w:t>
      </w:r>
      <w:r w:rsidRPr="00F7263B">
        <w:rPr>
          <w:rFonts w:cs="Times New Roman"/>
          <w:sz w:val="20"/>
          <w:szCs w:val="20"/>
        </w:rPr>
        <w:t>economic rate of return</w:t>
      </w:r>
      <w:r w:rsidR="00AB72CB" w:rsidRPr="00F7263B">
        <w:rPr>
          <w:rFonts w:cs="Times New Roman"/>
          <w:sz w:val="20"/>
          <w:szCs w:val="20"/>
        </w:rPr>
        <w:t xml:space="preserve"> is high, and in the range of 15-20 </w:t>
      </w:r>
      <w:r w:rsidRPr="00F7263B">
        <w:rPr>
          <w:rFonts w:cs="Times New Roman"/>
          <w:sz w:val="20"/>
          <w:szCs w:val="20"/>
        </w:rPr>
        <w:t xml:space="preserve"> percent</w:t>
      </w:r>
      <w:r w:rsidR="00AB72CB" w:rsidRPr="00F7263B">
        <w:rPr>
          <w:rFonts w:cs="Times New Roman"/>
          <w:sz w:val="20"/>
          <w:szCs w:val="20"/>
        </w:rPr>
        <w:t xml:space="preserve"> for urban investment projects in Ethiopia</w:t>
      </w:r>
      <w:r w:rsidRPr="00F7263B">
        <w:rPr>
          <w:rFonts w:cs="Times New Roman"/>
          <w:sz w:val="20"/>
          <w:szCs w:val="20"/>
        </w:rPr>
        <w:t xml:space="preserve">.  </w:t>
      </w:r>
      <w:r w:rsidR="00AB72CB" w:rsidRPr="00F7263B">
        <w:rPr>
          <w:rFonts w:cs="Times New Roman"/>
          <w:sz w:val="20"/>
          <w:szCs w:val="20"/>
        </w:rPr>
        <w:t xml:space="preserve">Within the most important sector for ULGDP  - the road sector- gravel roads have an </w:t>
      </w:r>
      <w:r w:rsidRPr="00F7263B">
        <w:rPr>
          <w:rFonts w:cs="Times New Roman"/>
          <w:sz w:val="20"/>
          <w:szCs w:val="20"/>
        </w:rPr>
        <w:t>economic rate</w:t>
      </w:r>
      <w:r w:rsidR="00B17200" w:rsidRPr="00F7263B">
        <w:rPr>
          <w:rFonts w:cs="Times New Roman"/>
          <w:sz w:val="20"/>
          <w:szCs w:val="20"/>
        </w:rPr>
        <w:t>s</w:t>
      </w:r>
      <w:r w:rsidRPr="00F7263B">
        <w:rPr>
          <w:rFonts w:cs="Times New Roman"/>
          <w:sz w:val="20"/>
          <w:szCs w:val="20"/>
        </w:rPr>
        <w:t xml:space="preserve"> of return</w:t>
      </w:r>
      <w:r w:rsidR="00AB72CB" w:rsidRPr="00F7263B">
        <w:rPr>
          <w:rFonts w:cs="Times New Roman"/>
          <w:sz w:val="20"/>
          <w:szCs w:val="20"/>
        </w:rPr>
        <w:t xml:space="preserve"> ranging from 7 to 60</w:t>
      </w:r>
      <w:r w:rsidRPr="00F7263B">
        <w:rPr>
          <w:rFonts w:cs="Times New Roman"/>
          <w:sz w:val="20"/>
          <w:szCs w:val="20"/>
        </w:rPr>
        <w:t xml:space="preserve"> percent</w:t>
      </w:r>
      <w:r w:rsidR="00AB72CB" w:rsidRPr="00F7263B">
        <w:rPr>
          <w:rFonts w:cs="Times New Roman"/>
          <w:sz w:val="20"/>
          <w:szCs w:val="20"/>
        </w:rPr>
        <w:t>, depending on the length of the road, with the highest on the shortest length of the roads, which is typical the target of the urban ULGDP investments, exactly the types of roads to be supported by the Program</w:t>
      </w:r>
      <w:r w:rsidR="00B17200" w:rsidRPr="00F7263B">
        <w:rPr>
          <w:rFonts w:cs="Times New Roman"/>
          <w:sz w:val="20"/>
          <w:szCs w:val="20"/>
        </w:rPr>
        <w:t>.</w:t>
      </w:r>
      <w:r w:rsidR="00AB72CB" w:rsidRPr="00F7263B">
        <w:rPr>
          <w:rStyle w:val="FootnoteReference"/>
          <w:rFonts w:cs="Times New Roman"/>
          <w:sz w:val="20"/>
          <w:szCs w:val="20"/>
        </w:rPr>
        <w:footnoteReference w:id="53"/>
      </w:r>
      <w:r w:rsidR="00AB72CB" w:rsidRPr="00F7263B">
        <w:rPr>
          <w:rFonts w:cs="Times New Roman"/>
          <w:bCs/>
          <w:iCs/>
          <w:sz w:val="20"/>
          <w:szCs w:val="20"/>
        </w:rPr>
        <w:t xml:space="preserve">Furthermore, </w:t>
      </w:r>
      <w:r w:rsidR="00AB72CB" w:rsidRPr="00F7263B">
        <w:rPr>
          <w:rFonts w:cs="Times New Roman"/>
          <w:sz w:val="20"/>
          <w:szCs w:val="20"/>
        </w:rPr>
        <w:t xml:space="preserve">cost-effectiveness analysis for the roads sector on the basis of data collected under the current ULGDP shows that unit costs for ULGDP projects are generally lower than non-ULGDP projects, and that the costs of cobblestone </w:t>
      </w:r>
      <w:r w:rsidRPr="00F7263B">
        <w:rPr>
          <w:rFonts w:cs="Times New Roman"/>
          <w:sz w:val="20"/>
          <w:szCs w:val="20"/>
        </w:rPr>
        <w:t>works</w:t>
      </w:r>
      <w:r w:rsidR="00AB72CB" w:rsidRPr="00F7263B">
        <w:rPr>
          <w:rFonts w:cs="Times New Roman"/>
          <w:sz w:val="20"/>
          <w:szCs w:val="20"/>
        </w:rPr>
        <w:t xml:space="preserve"> (supported under ULGDP) are much lower than similar sized asphalt roads, but that ULGDP supported roads are cre</w:t>
      </w:r>
      <w:r w:rsidRPr="00F7263B">
        <w:rPr>
          <w:rFonts w:cs="Times New Roman"/>
          <w:sz w:val="20"/>
          <w:szCs w:val="20"/>
        </w:rPr>
        <w:t>ating similar benefits will lower</w:t>
      </w:r>
      <w:r w:rsidR="00AB72CB" w:rsidRPr="00F7263B">
        <w:rPr>
          <w:rFonts w:cs="Times New Roman"/>
          <w:sz w:val="20"/>
          <w:szCs w:val="20"/>
        </w:rPr>
        <w:t xml:space="preserve"> maintenance costs and other related benefits, see table below</w:t>
      </w:r>
      <w:r w:rsidRPr="00F7263B">
        <w:rPr>
          <w:rFonts w:cs="Times New Roman"/>
          <w:sz w:val="20"/>
          <w:szCs w:val="20"/>
        </w:rPr>
        <w:t xml:space="preserve">.  </w:t>
      </w:r>
    </w:p>
    <w:p w:rsidR="00AB72CB" w:rsidRPr="00F7263B" w:rsidRDefault="00AB72CB" w:rsidP="00AB72CB">
      <w:pPr>
        <w:pStyle w:val="ListParagraph"/>
        <w:tabs>
          <w:tab w:val="left" w:pos="0"/>
        </w:tabs>
        <w:autoSpaceDE w:val="0"/>
        <w:autoSpaceDN w:val="0"/>
        <w:adjustRightInd w:val="0"/>
        <w:ind w:left="0"/>
        <w:jc w:val="both"/>
        <w:rPr>
          <w:rFonts w:cs="Times New Roman"/>
          <w:b/>
          <w:sz w:val="20"/>
          <w:szCs w:val="20"/>
        </w:rPr>
      </w:pPr>
    </w:p>
    <w:p w:rsidR="00AB72CB" w:rsidRPr="00F7263B" w:rsidRDefault="00AB72CB" w:rsidP="00AB72CB">
      <w:pPr>
        <w:tabs>
          <w:tab w:val="left" w:pos="7350"/>
        </w:tabs>
        <w:spacing w:line="360" w:lineRule="auto"/>
        <w:contextualSpacing/>
        <w:jc w:val="both"/>
        <w:rPr>
          <w:rFonts w:cs="Times New Roman"/>
          <w:b/>
          <w:i/>
          <w:sz w:val="20"/>
          <w:szCs w:val="20"/>
        </w:rPr>
      </w:pPr>
      <w:r w:rsidRPr="00F7263B">
        <w:rPr>
          <w:rFonts w:cs="Times New Roman"/>
          <w:b/>
          <w:i/>
          <w:sz w:val="20"/>
          <w:szCs w:val="20"/>
        </w:rPr>
        <w:t xml:space="preserve">Cost comparison of Cobble stone roads with Asphalt roads </w:t>
      </w:r>
    </w:p>
    <w:tbl>
      <w:tblPr>
        <w:tblW w:w="0" w:type="auto"/>
        <w:tblInd w:w="16" w:type="dxa"/>
        <w:tblLayout w:type="fixed"/>
        <w:tblCellMar>
          <w:left w:w="0" w:type="dxa"/>
          <w:right w:w="0" w:type="dxa"/>
        </w:tblCellMar>
        <w:tblLook w:val="04A0" w:firstRow="1" w:lastRow="0" w:firstColumn="1" w:lastColumn="0" w:noHBand="0" w:noVBand="1"/>
      </w:tblPr>
      <w:tblGrid>
        <w:gridCol w:w="2562"/>
        <w:gridCol w:w="3428"/>
        <w:gridCol w:w="3370"/>
      </w:tblGrid>
      <w:tr w:rsidR="00AB72CB" w:rsidRPr="00F7263B" w:rsidTr="00254260">
        <w:trPr>
          <w:trHeight w:val="316"/>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AB72CB">
            <w:pPr>
              <w:contextualSpacing/>
              <w:jc w:val="center"/>
              <w:rPr>
                <w:rFonts w:cs="Times New Roman"/>
                <w:sz w:val="20"/>
                <w:szCs w:val="20"/>
              </w:rPr>
            </w:pPr>
            <w:r w:rsidRPr="00F7263B">
              <w:rPr>
                <w:rFonts w:cs="Times New Roman"/>
                <w:b/>
                <w:bCs/>
                <w:sz w:val="20"/>
                <w:szCs w:val="20"/>
              </w:rPr>
              <w:t>City</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AB72CB">
            <w:pPr>
              <w:contextualSpacing/>
              <w:jc w:val="center"/>
              <w:rPr>
                <w:rFonts w:cs="Times New Roman"/>
                <w:sz w:val="20"/>
                <w:szCs w:val="20"/>
              </w:rPr>
            </w:pPr>
            <w:r w:rsidRPr="00F7263B">
              <w:rPr>
                <w:rFonts w:cs="Times New Roman"/>
                <w:b/>
                <w:bCs/>
                <w:sz w:val="20"/>
                <w:szCs w:val="20"/>
              </w:rPr>
              <w:t>CS Road Cost (ETB/m</w:t>
            </w:r>
            <w:r w:rsidRPr="00F7263B">
              <w:rPr>
                <w:rFonts w:cs="Times New Roman"/>
                <w:b/>
                <w:bCs/>
                <w:sz w:val="20"/>
                <w:szCs w:val="20"/>
                <w:vertAlign w:val="superscript"/>
              </w:rPr>
              <w:t>2</w:t>
            </w:r>
            <w:r w:rsidRPr="00F7263B">
              <w:rPr>
                <w:rFonts w:cs="Times New Roman"/>
                <w:b/>
                <w:bCs/>
                <w:sz w:val="20"/>
                <w:szCs w:val="20"/>
              </w:rPr>
              <w:t>)-2003</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C66940">
            <w:pPr>
              <w:contextualSpacing/>
              <w:jc w:val="center"/>
              <w:rPr>
                <w:rFonts w:cs="Times New Roman"/>
                <w:sz w:val="20"/>
                <w:szCs w:val="20"/>
              </w:rPr>
            </w:pPr>
            <w:r w:rsidRPr="00F7263B">
              <w:rPr>
                <w:rFonts w:cs="Times New Roman"/>
                <w:b/>
                <w:bCs/>
                <w:sz w:val="20"/>
                <w:szCs w:val="20"/>
              </w:rPr>
              <w:t>Asphalt Cost (ETB/</w:t>
            </w:r>
            <w:r w:rsidR="00C66940" w:rsidRPr="00F7263B">
              <w:rPr>
                <w:rFonts w:cs="Times New Roman"/>
                <w:b/>
                <w:bCs/>
                <w:sz w:val="20"/>
                <w:szCs w:val="20"/>
              </w:rPr>
              <w:t>square meter</w:t>
            </w:r>
            <w:r w:rsidRPr="00F7263B">
              <w:rPr>
                <w:rFonts w:cs="Times New Roman"/>
                <w:b/>
                <w:bCs/>
                <w:sz w:val="20"/>
                <w:szCs w:val="20"/>
              </w:rPr>
              <w:t>)</w:t>
            </w:r>
          </w:p>
        </w:tc>
      </w:tr>
      <w:tr w:rsidR="00AB72CB" w:rsidRPr="00F7263B" w:rsidTr="00254260">
        <w:trPr>
          <w:trHeight w:val="271"/>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FB62A6">
            <w:pPr>
              <w:ind w:left="563"/>
              <w:contextualSpacing/>
              <w:rPr>
                <w:rFonts w:cs="Times New Roman"/>
                <w:sz w:val="20"/>
                <w:szCs w:val="20"/>
              </w:rPr>
            </w:pPr>
            <w:r w:rsidRPr="00F7263B">
              <w:rPr>
                <w:rFonts w:cs="Times New Roman"/>
                <w:sz w:val="20"/>
                <w:szCs w:val="20"/>
              </w:rPr>
              <w:t>Adama</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AB72CB">
            <w:pPr>
              <w:contextualSpacing/>
              <w:jc w:val="center"/>
              <w:rPr>
                <w:rFonts w:cs="Times New Roman"/>
                <w:sz w:val="20"/>
                <w:szCs w:val="20"/>
              </w:rPr>
            </w:pPr>
            <w:r w:rsidRPr="00F7263B">
              <w:rPr>
                <w:rFonts w:cs="Times New Roman"/>
                <w:sz w:val="20"/>
                <w:szCs w:val="20"/>
              </w:rPr>
              <w:t xml:space="preserve">400-500 </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C66940">
            <w:pPr>
              <w:contextualSpacing/>
              <w:jc w:val="center"/>
              <w:rPr>
                <w:rFonts w:cs="Times New Roman"/>
                <w:sz w:val="20"/>
                <w:szCs w:val="20"/>
              </w:rPr>
            </w:pPr>
            <w:r w:rsidRPr="00F7263B">
              <w:rPr>
                <w:rFonts w:cs="Times New Roman"/>
                <w:sz w:val="20"/>
                <w:szCs w:val="20"/>
              </w:rPr>
              <w:t>1,42</w:t>
            </w:r>
            <w:r w:rsidR="00C66940" w:rsidRPr="00F7263B">
              <w:rPr>
                <w:rFonts w:cs="Times New Roman"/>
                <w:sz w:val="20"/>
                <w:szCs w:val="20"/>
              </w:rPr>
              <w:t>9</w:t>
            </w:r>
          </w:p>
        </w:tc>
      </w:tr>
      <w:tr w:rsidR="00AB72CB" w:rsidRPr="00F7263B" w:rsidTr="00254260">
        <w:trPr>
          <w:trHeight w:val="295"/>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FB62A6">
            <w:pPr>
              <w:ind w:left="563"/>
              <w:contextualSpacing/>
              <w:rPr>
                <w:rFonts w:cs="Times New Roman"/>
                <w:sz w:val="20"/>
                <w:szCs w:val="20"/>
              </w:rPr>
            </w:pPr>
            <w:r w:rsidRPr="00F7263B">
              <w:rPr>
                <w:rFonts w:cs="Times New Roman"/>
                <w:sz w:val="20"/>
                <w:szCs w:val="20"/>
              </w:rPr>
              <w:t>Hawassa</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AB72CB">
            <w:pPr>
              <w:contextualSpacing/>
              <w:jc w:val="center"/>
              <w:rPr>
                <w:rFonts w:cs="Times New Roman"/>
                <w:sz w:val="20"/>
                <w:szCs w:val="20"/>
              </w:rPr>
            </w:pPr>
            <w:r w:rsidRPr="00F7263B">
              <w:rPr>
                <w:rFonts w:cs="Times New Roman"/>
                <w:sz w:val="20"/>
                <w:szCs w:val="20"/>
              </w:rPr>
              <w:t>320</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C66940">
            <w:pPr>
              <w:contextualSpacing/>
              <w:jc w:val="center"/>
              <w:rPr>
                <w:rFonts w:cs="Times New Roman"/>
                <w:sz w:val="20"/>
                <w:szCs w:val="20"/>
              </w:rPr>
            </w:pPr>
            <w:r w:rsidRPr="00F7263B">
              <w:rPr>
                <w:rFonts w:cs="Times New Roman"/>
                <w:sz w:val="20"/>
                <w:szCs w:val="20"/>
              </w:rPr>
              <w:t>1,086</w:t>
            </w:r>
          </w:p>
        </w:tc>
      </w:tr>
      <w:tr w:rsidR="00AB72CB" w:rsidRPr="00F7263B" w:rsidTr="00254260">
        <w:trPr>
          <w:trHeight w:val="293"/>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FB62A6">
            <w:pPr>
              <w:ind w:left="563"/>
              <w:contextualSpacing/>
              <w:rPr>
                <w:rFonts w:cs="Times New Roman"/>
                <w:sz w:val="20"/>
                <w:szCs w:val="20"/>
              </w:rPr>
            </w:pPr>
            <w:r w:rsidRPr="00F7263B">
              <w:rPr>
                <w:rFonts w:cs="Times New Roman"/>
                <w:sz w:val="20"/>
                <w:szCs w:val="20"/>
              </w:rPr>
              <w:t>Mekelle</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AB72CB">
            <w:pPr>
              <w:contextualSpacing/>
              <w:jc w:val="center"/>
              <w:rPr>
                <w:rFonts w:cs="Times New Roman"/>
                <w:sz w:val="20"/>
                <w:szCs w:val="20"/>
              </w:rPr>
            </w:pPr>
            <w:r w:rsidRPr="00F7263B">
              <w:rPr>
                <w:rFonts w:cs="Times New Roman"/>
                <w:sz w:val="20"/>
                <w:szCs w:val="20"/>
              </w:rPr>
              <w:t>300</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C66940">
            <w:pPr>
              <w:contextualSpacing/>
              <w:jc w:val="center"/>
              <w:rPr>
                <w:rFonts w:cs="Times New Roman"/>
                <w:sz w:val="20"/>
                <w:szCs w:val="20"/>
              </w:rPr>
            </w:pPr>
            <w:r w:rsidRPr="00F7263B">
              <w:rPr>
                <w:rFonts w:cs="Times New Roman"/>
                <w:sz w:val="20"/>
                <w:szCs w:val="20"/>
              </w:rPr>
              <w:t>1,000</w:t>
            </w:r>
          </w:p>
        </w:tc>
      </w:tr>
      <w:tr w:rsidR="00AB72CB" w:rsidRPr="00F7263B" w:rsidTr="00254260">
        <w:trPr>
          <w:trHeight w:val="295"/>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FB62A6">
            <w:pPr>
              <w:ind w:left="563"/>
              <w:contextualSpacing/>
              <w:rPr>
                <w:rFonts w:cs="Times New Roman"/>
                <w:sz w:val="20"/>
                <w:szCs w:val="20"/>
              </w:rPr>
            </w:pPr>
            <w:r w:rsidRPr="00F7263B">
              <w:rPr>
                <w:rFonts w:cs="Times New Roman"/>
                <w:sz w:val="20"/>
                <w:szCs w:val="20"/>
              </w:rPr>
              <w:t>Axum</w:t>
            </w:r>
          </w:p>
        </w:tc>
        <w:tc>
          <w:tcPr>
            <w:tcW w:w="3428"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AB72CB">
            <w:pPr>
              <w:contextualSpacing/>
              <w:jc w:val="center"/>
              <w:rPr>
                <w:rFonts w:cs="Times New Roman"/>
                <w:sz w:val="20"/>
                <w:szCs w:val="20"/>
              </w:rPr>
            </w:pPr>
            <w:r w:rsidRPr="00F7263B">
              <w:rPr>
                <w:rFonts w:cs="Times New Roman"/>
                <w:sz w:val="20"/>
                <w:szCs w:val="20"/>
              </w:rPr>
              <w:t>320</w:t>
            </w:r>
          </w:p>
        </w:tc>
        <w:tc>
          <w:tcPr>
            <w:tcW w:w="3370" w:type="dxa"/>
            <w:tcBorders>
              <w:top w:val="single" w:sz="4" w:space="0" w:color="000000"/>
              <w:left w:val="single" w:sz="4" w:space="0" w:color="000000"/>
              <w:bottom w:val="single" w:sz="4" w:space="0" w:color="000000"/>
              <w:right w:val="single" w:sz="4" w:space="0" w:color="000000"/>
            </w:tcBorders>
            <w:shd w:val="clear" w:color="auto" w:fill="auto"/>
            <w:tcMar>
              <w:top w:w="16" w:type="dxa"/>
              <w:left w:w="16" w:type="dxa"/>
              <w:bottom w:w="0" w:type="dxa"/>
              <w:right w:w="16" w:type="dxa"/>
            </w:tcMar>
            <w:vAlign w:val="center"/>
          </w:tcPr>
          <w:p w:rsidR="00AB72CB" w:rsidRPr="00F7263B" w:rsidRDefault="00AB72CB" w:rsidP="00C66940">
            <w:pPr>
              <w:contextualSpacing/>
              <w:jc w:val="center"/>
              <w:rPr>
                <w:rFonts w:cs="Times New Roman"/>
                <w:sz w:val="20"/>
                <w:szCs w:val="20"/>
              </w:rPr>
            </w:pPr>
            <w:r w:rsidRPr="00F7263B">
              <w:rPr>
                <w:rFonts w:cs="Times New Roman"/>
                <w:sz w:val="20"/>
                <w:szCs w:val="20"/>
              </w:rPr>
              <w:t>1,</w:t>
            </w:r>
            <w:r w:rsidR="00C66940" w:rsidRPr="00F7263B">
              <w:rPr>
                <w:rFonts w:cs="Times New Roman"/>
                <w:sz w:val="20"/>
                <w:szCs w:val="20"/>
              </w:rPr>
              <w:t>300</w:t>
            </w:r>
          </w:p>
        </w:tc>
      </w:tr>
    </w:tbl>
    <w:p w:rsidR="00AB461F" w:rsidRPr="00F7263B" w:rsidRDefault="00AB72CB" w:rsidP="00254260">
      <w:pPr>
        <w:pStyle w:val="ListParagraph"/>
        <w:tabs>
          <w:tab w:val="left" w:pos="7350"/>
        </w:tabs>
        <w:ind w:left="0"/>
        <w:jc w:val="both"/>
        <w:rPr>
          <w:rFonts w:cs="Times New Roman"/>
          <w:sz w:val="20"/>
          <w:szCs w:val="20"/>
        </w:rPr>
      </w:pPr>
      <w:r w:rsidRPr="00F7263B">
        <w:rPr>
          <w:rFonts w:cs="Times New Roman"/>
          <w:i/>
          <w:sz w:val="20"/>
          <w:szCs w:val="20"/>
        </w:rPr>
        <w:t>Source:</w:t>
      </w:r>
      <w:r w:rsidR="00AB461F" w:rsidRPr="00F7263B">
        <w:rPr>
          <w:rFonts w:cs="Times New Roman"/>
          <w:sz w:val="20"/>
          <w:szCs w:val="20"/>
        </w:rPr>
        <w:t>ARPEDS CONSULT, 2011, “Assessment of the quality and value for money of investments undertaken under ULGDP.”</w:t>
      </w:r>
    </w:p>
    <w:p w:rsidR="00C66940" w:rsidRPr="00F7263B" w:rsidRDefault="00C66940" w:rsidP="00254260">
      <w:pPr>
        <w:pStyle w:val="ListParagraph"/>
        <w:tabs>
          <w:tab w:val="left" w:pos="7350"/>
        </w:tabs>
        <w:ind w:left="0"/>
        <w:jc w:val="both"/>
        <w:rPr>
          <w:rFonts w:cs="Times New Roman"/>
          <w:sz w:val="20"/>
          <w:szCs w:val="20"/>
        </w:rPr>
      </w:pPr>
    </w:p>
    <w:p w:rsidR="006E7278" w:rsidRPr="00F7263B" w:rsidRDefault="00C66940" w:rsidP="00056FC8">
      <w:pPr>
        <w:pStyle w:val="ListParagraph"/>
        <w:numPr>
          <w:ilvl w:val="0"/>
          <w:numId w:val="62"/>
        </w:numPr>
        <w:autoSpaceDE w:val="0"/>
        <w:autoSpaceDN w:val="0"/>
        <w:adjustRightInd w:val="0"/>
        <w:ind w:left="0" w:firstLine="0"/>
        <w:jc w:val="both"/>
        <w:rPr>
          <w:rFonts w:cs="Times New Roman"/>
          <w:sz w:val="20"/>
          <w:szCs w:val="20"/>
        </w:rPr>
      </w:pPr>
      <w:r w:rsidRPr="00F7263B">
        <w:rPr>
          <w:rFonts w:cs="Times New Roman"/>
          <w:sz w:val="20"/>
          <w:szCs w:val="20"/>
        </w:rPr>
        <w:t xml:space="preserve">The </w:t>
      </w:r>
      <w:r w:rsidR="00AB72CB" w:rsidRPr="00F7263B">
        <w:rPr>
          <w:rFonts w:cs="Times New Roman"/>
          <w:sz w:val="20"/>
          <w:szCs w:val="20"/>
        </w:rPr>
        <w:t>ULGDP modality of incentive based allocations promote</w:t>
      </w:r>
      <w:r w:rsidRPr="00F7263B">
        <w:rPr>
          <w:rFonts w:cs="Times New Roman"/>
          <w:sz w:val="20"/>
          <w:szCs w:val="20"/>
        </w:rPr>
        <w:t>s</w:t>
      </w:r>
      <w:r w:rsidR="00AB72CB" w:rsidRPr="00F7263B">
        <w:rPr>
          <w:rFonts w:cs="Times New Roman"/>
          <w:sz w:val="20"/>
          <w:szCs w:val="20"/>
        </w:rPr>
        <w:t xml:space="preserve"> planning, PFM, and governance improvements across a broad range of core areas, and has introduced a good sense of competition and awareness across the ULGs</w:t>
      </w:r>
      <w:r w:rsidRPr="00F7263B">
        <w:rPr>
          <w:rFonts w:cs="Times New Roman"/>
          <w:sz w:val="20"/>
          <w:szCs w:val="20"/>
        </w:rPr>
        <w:t xml:space="preserve">.  </w:t>
      </w:r>
      <w:r w:rsidR="00AB72CB" w:rsidRPr="00F7263B">
        <w:rPr>
          <w:rFonts w:cs="Times New Roman"/>
          <w:sz w:val="20"/>
          <w:szCs w:val="20"/>
        </w:rPr>
        <w:t>Compared to the baselines, there are significant improvements in areas of audit reports, planning documents (CIP, procurement plans, revenue enhancement plans, planning and budgeting for maintenance and operations), as well as in accountability and involvement of citizen groups in local planning</w:t>
      </w:r>
      <w:r w:rsidRPr="00F7263B">
        <w:rPr>
          <w:rFonts w:cs="Times New Roman"/>
          <w:sz w:val="20"/>
          <w:szCs w:val="20"/>
        </w:rPr>
        <w:t xml:space="preserve">.  </w:t>
      </w:r>
      <w:r w:rsidR="00AB72CB" w:rsidRPr="00F7263B">
        <w:rPr>
          <w:rFonts w:cs="Times New Roman"/>
          <w:sz w:val="20"/>
          <w:szCs w:val="20"/>
        </w:rPr>
        <w:t>The potential for improving the ULG performance in those core areas will be further tapped with strengthening of the targeting of performance incentives under the PforR support</w:t>
      </w:r>
      <w:r w:rsidRPr="00F7263B">
        <w:rPr>
          <w:rFonts w:cs="Times New Roman"/>
          <w:sz w:val="20"/>
          <w:szCs w:val="20"/>
        </w:rPr>
        <w:t xml:space="preserve">.  </w:t>
      </w:r>
    </w:p>
    <w:p w:rsidR="00AB72CB" w:rsidRPr="00F7263B" w:rsidRDefault="00AB72CB" w:rsidP="00AB72CB">
      <w:pPr>
        <w:pStyle w:val="ListParagraph"/>
        <w:autoSpaceDE w:val="0"/>
        <w:autoSpaceDN w:val="0"/>
        <w:adjustRightInd w:val="0"/>
        <w:spacing w:after="240"/>
        <w:ind w:left="0"/>
        <w:jc w:val="both"/>
        <w:rPr>
          <w:rFonts w:cs="Times New Roman"/>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sz w:val="20"/>
          <w:szCs w:val="20"/>
          <w:lang w:bidi="en-US"/>
        </w:rPr>
        <w:t xml:space="preserve">The exact composition of investments which will be undertaken across Program ULGs are not known </w:t>
      </w:r>
      <w:r w:rsidR="00C66940" w:rsidRPr="00F7263B">
        <w:rPr>
          <w:sz w:val="20"/>
          <w:szCs w:val="20"/>
          <w:lang w:bidi="en-US"/>
        </w:rPr>
        <w:t xml:space="preserve">at this time </w:t>
      </w:r>
      <w:r w:rsidRPr="00F7263B">
        <w:rPr>
          <w:sz w:val="20"/>
          <w:szCs w:val="20"/>
          <w:lang w:bidi="en-US"/>
        </w:rPr>
        <w:t xml:space="preserve">since they will be determined, like under the first ULGDP, through a participatory bottom-up planning </w:t>
      </w:r>
      <w:r w:rsidRPr="00F7263B">
        <w:rPr>
          <w:sz w:val="20"/>
          <w:szCs w:val="20"/>
          <w:lang w:bidi="en-US"/>
        </w:rPr>
        <w:lastRenderedPageBreak/>
        <w:t>process in ULGs</w:t>
      </w:r>
      <w:r w:rsidR="00C66940" w:rsidRPr="00F7263B">
        <w:rPr>
          <w:sz w:val="20"/>
          <w:szCs w:val="20"/>
          <w:lang w:bidi="en-US"/>
        </w:rPr>
        <w:t xml:space="preserve">.  </w:t>
      </w:r>
      <w:r w:rsidRPr="00F7263B">
        <w:rPr>
          <w:sz w:val="20"/>
          <w:szCs w:val="20"/>
          <w:lang w:bidi="en-US"/>
        </w:rPr>
        <w:t>The experience of the current program and other similar interventions indicate several potential benefits, which will be quantifiable after conducting post-construction evaluation</w:t>
      </w:r>
      <w:r w:rsidR="00C66940" w:rsidRPr="00F7263B">
        <w:rPr>
          <w:sz w:val="20"/>
          <w:szCs w:val="20"/>
          <w:lang w:bidi="en-US"/>
        </w:rPr>
        <w:t xml:space="preserve">.  </w:t>
      </w:r>
      <w:r w:rsidRPr="00F7263B">
        <w:rPr>
          <w:sz w:val="20"/>
          <w:szCs w:val="20"/>
          <w:lang w:bidi="en-US"/>
        </w:rPr>
        <w:t>At this stage of design, baseline data and appropriate assumptions on the stream of benefits and costs over the life of the Program can be made to estimate quantifiable benefits for sample category of sub-projects which will be most likely chosen by the ULGs, like the example above of the</w:t>
      </w:r>
      <w:r w:rsidR="00C66940" w:rsidRPr="00F7263B">
        <w:rPr>
          <w:sz w:val="20"/>
          <w:szCs w:val="20"/>
          <w:lang w:bidi="en-US"/>
        </w:rPr>
        <w:t xml:space="preserve"> cobblestone project and the internal rate of return</w:t>
      </w:r>
      <w:r w:rsidRPr="00F7263B">
        <w:rPr>
          <w:sz w:val="20"/>
          <w:szCs w:val="20"/>
          <w:lang w:bidi="en-US"/>
        </w:rPr>
        <w:t xml:space="preserve"> of water and sanitation projects</w:t>
      </w:r>
      <w:r w:rsidR="00C66940" w:rsidRPr="00F7263B">
        <w:rPr>
          <w:sz w:val="20"/>
          <w:szCs w:val="20"/>
          <w:lang w:bidi="en-US"/>
        </w:rPr>
        <w:t xml:space="preserve">.  </w:t>
      </w:r>
      <w:r w:rsidRPr="00F7263B">
        <w:rPr>
          <w:sz w:val="20"/>
          <w:szCs w:val="20"/>
        </w:rPr>
        <w:t xml:space="preserve">These results will be validated after the post construction evaluations of the sub-projects are subjected to </w:t>
      </w:r>
      <w:r w:rsidR="008A26F2" w:rsidRPr="00F7263B">
        <w:rPr>
          <w:sz w:val="20"/>
          <w:szCs w:val="20"/>
        </w:rPr>
        <w:t>value for money</w:t>
      </w:r>
      <w:r w:rsidRPr="00F7263B">
        <w:rPr>
          <w:sz w:val="20"/>
          <w:szCs w:val="20"/>
        </w:rPr>
        <w:t xml:space="preserve"> (from September 2015), cost effectiveness and cost benefit analysis are done</w:t>
      </w:r>
      <w:r w:rsidR="00C66940" w:rsidRPr="00F7263B">
        <w:rPr>
          <w:sz w:val="20"/>
          <w:szCs w:val="20"/>
        </w:rPr>
        <w:t xml:space="preserve">.  </w:t>
      </w:r>
      <w:r w:rsidRPr="00F7263B">
        <w:rPr>
          <w:sz w:val="20"/>
          <w:szCs w:val="20"/>
        </w:rPr>
        <w:t>Assessment of (</w:t>
      </w:r>
      <w:r w:rsidR="00C66940" w:rsidRPr="00F7263B">
        <w:rPr>
          <w:sz w:val="20"/>
          <w:szCs w:val="20"/>
        </w:rPr>
        <w:t>a</w:t>
      </w:r>
      <w:r w:rsidRPr="00F7263B">
        <w:rPr>
          <w:sz w:val="20"/>
          <w:szCs w:val="20"/>
        </w:rPr>
        <w:t>) the counterfactual scenario where Program is not introduced and the fiscal gap me</w:t>
      </w:r>
      <w:r w:rsidR="00C66940" w:rsidRPr="00F7263B">
        <w:rPr>
          <w:sz w:val="20"/>
          <w:szCs w:val="20"/>
        </w:rPr>
        <w:t>ntioned above continues, and (b</w:t>
      </w:r>
      <w:r w:rsidRPr="00F7263B">
        <w:rPr>
          <w:sz w:val="20"/>
          <w:szCs w:val="20"/>
        </w:rPr>
        <w:t>) the potential economic impact of the Program discussed above, shows strong rationale for the proposed intervention</w:t>
      </w:r>
      <w:r w:rsidR="00C66940" w:rsidRPr="00F7263B">
        <w:rPr>
          <w:sz w:val="20"/>
          <w:szCs w:val="20"/>
        </w:rPr>
        <w:t xml:space="preserve">.  </w:t>
      </w:r>
    </w:p>
    <w:p w:rsidR="00AB72CB" w:rsidRPr="00F7263B" w:rsidRDefault="00AB72CB" w:rsidP="00AB72CB">
      <w:pPr>
        <w:pStyle w:val="ListParagraph"/>
        <w:ind w:left="0"/>
        <w:rPr>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sz w:val="20"/>
          <w:szCs w:val="20"/>
        </w:rPr>
        <w:t>Under the counterfactual scenario without the Bank supported Program, the target ULGs would continue to face the large urban fiscal gap explained above, where, as a result of the absence of necessary investments in infrastructure and institutional capacity needed to keep up with rapid urbanization and the increase in urban residents in the targeted ULGs, would hinder the economic development of Ethiopia</w:t>
      </w:r>
      <w:r w:rsidR="00C66940" w:rsidRPr="00F7263B">
        <w:rPr>
          <w:sz w:val="20"/>
          <w:szCs w:val="20"/>
        </w:rPr>
        <w:t xml:space="preserve">.  </w:t>
      </w:r>
      <w:r w:rsidRPr="00F7263B">
        <w:rPr>
          <w:sz w:val="20"/>
          <w:szCs w:val="20"/>
        </w:rPr>
        <w:t>This alternative route will mean that the Program ULGs will face a serious challenge in meeting their ever- increasing residents’ expectations of delivering reliable urban services, as well as a possible deterioration, and in some cases, collapse of existing infrastructure</w:t>
      </w:r>
      <w:r w:rsidR="00C66940" w:rsidRPr="00F7263B">
        <w:rPr>
          <w:sz w:val="20"/>
          <w:szCs w:val="20"/>
        </w:rPr>
        <w:t xml:space="preserve">.  </w:t>
      </w:r>
      <w:r w:rsidRPr="00F7263B">
        <w:rPr>
          <w:sz w:val="20"/>
          <w:szCs w:val="20"/>
          <w:lang w:eastAsia="da-DK"/>
        </w:rPr>
        <w:t>I</w:t>
      </w:r>
      <w:r w:rsidRPr="00F7263B">
        <w:rPr>
          <w:sz w:val="20"/>
          <w:szCs w:val="20"/>
        </w:rPr>
        <w:t>t is evident that without the proposed Bank supported Program, the support to ULGs under the existing intergovernmental fiscal architecture would be severely inadequate in achieving the proposed objective in the GTP and urban policies of increased ULGs performance in expanding urban infrastructure</w:t>
      </w:r>
      <w:r w:rsidR="00C66940" w:rsidRPr="00F7263B">
        <w:rPr>
          <w:sz w:val="20"/>
          <w:szCs w:val="20"/>
        </w:rPr>
        <w:t xml:space="preserve">.  </w:t>
      </w:r>
    </w:p>
    <w:p w:rsidR="00AB72CB" w:rsidRPr="00F7263B" w:rsidRDefault="00AB72CB" w:rsidP="00AB72CB">
      <w:pPr>
        <w:pStyle w:val="ListParagraph"/>
        <w:ind w:left="0"/>
        <w:rPr>
          <w:sz w:val="20"/>
          <w:szCs w:val="20"/>
        </w:rPr>
      </w:pPr>
    </w:p>
    <w:p w:rsidR="006E7278" w:rsidRPr="00F7263B" w:rsidRDefault="00AB72CB" w:rsidP="00056FC8">
      <w:pPr>
        <w:pStyle w:val="ListParagraph"/>
        <w:numPr>
          <w:ilvl w:val="0"/>
          <w:numId w:val="62"/>
        </w:numPr>
        <w:autoSpaceDE w:val="0"/>
        <w:autoSpaceDN w:val="0"/>
        <w:adjustRightInd w:val="0"/>
        <w:spacing w:after="240"/>
        <w:ind w:left="0" w:firstLine="0"/>
        <w:jc w:val="both"/>
        <w:rPr>
          <w:rFonts w:cs="Times New Roman"/>
          <w:sz w:val="20"/>
          <w:szCs w:val="20"/>
        </w:rPr>
      </w:pPr>
      <w:r w:rsidRPr="00F7263B">
        <w:rPr>
          <w:sz w:val="20"/>
          <w:szCs w:val="20"/>
        </w:rPr>
        <w:t>To the extent possible and appropriate, the Program will promote local private sector development</w:t>
      </w:r>
      <w:r w:rsidR="00C66940" w:rsidRPr="00F7263B">
        <w:rPr>
          <w:sz w:val="20"/>
          <w:szCs w:val="20"/>
        </w:rPr>
        <w:t xml:space="preserve">.  </w:t>
      </w:r>
      <w:r w:rsidRPr="00F7263B">
        <w:rPr>
          <w:sz w:val="20"/>
          <w:szCs w:val="20"/>
        </w:rPr>
        <w:t>As under ULGDP, the implementation of almost all Program activities will be contracted out to the private sector</w:t>
      </w:r>
      <w:r w:rsidR="00C66940" w:rsidRPr="00F7263B">
        <w:rPr>
          <w:sz w:val="20"/>
          <w:szCs w:val="20"/>
        </w:rPr>
        <w:t xml:space="preserve">.  </w:t>
      </w:r>
      <w:r w:rsidRPr="00F7263B">
        <w:rPr>
          <w:sz w:val="20"/>
          <w:szCs w:val="20"/>
        </w:rPr>
        <w:t>More than 2</w:t>
      </w:r>
      <w:r w:rsidR="00AB461F" w:rsidRPr="00F7263B">
        <w:rPr>
          <w:sz w:val="20"/>
          <w:szCs w:val="20"/>
        </w:rPr>
        <w:t>,</w:t>
      </w:r>
      <w:r w:rsidRPr="00F7263B">
        <w:rPr>
          <w:sz w:val="20"/>
          <w:szCs w:val="20"/>
        </w:rPr>
        <w:t xml:space="preserve">000 </w:t>
      </w:r>
      <w:r w:rsidR="00AB461F" w:rsidRPr="00F7263B">
        <w:rPr>
          <w:sz w:val="20"/>
          <w:szCs w:val="20"/>
        </w:rPr>
        <w:t xml:space="preserve">micro small </w:t>
      </w:r>
      <w:r w:rsidR="00DA2BBC" w:rsidRPr="00F7263B">
        <w:rPr>
          <w:sz w:val="20"/>
          <w:szCs w:val="20"/>
        </w:rPr>
        <w:t>enterprises</w:t>
      </w:r>
      <w:r w:rsidRPr="00F7263B">
        <w:rPr>
          <w:sz w:val="20"/>
          <w:szCs w:val="20"/>
        </w:rPr>
        <w:t>were involved in the construction of investment projects from ULGDP from 2008</w:t>
      </w:r>
      <w:r w:rsidR="00AB461F" w:rsidRPr="00F7263B">
        <w:rPr>
          <w:sz w:val="20"/>
          <w:szCs w:val="20"/>
        </w:rPr>
        <w:t>–</w:t>
      </w:r>
      <w:r w:rsidRPr="00F7263B">
        <w:rPr>
          <w:sz w:val="20"/>
          <w:szCs w:val="20"/>
        </w:rPr>
        <w:t>2011 and this is expected to expand with the proposed investment menu and likely investments</w:t>
      </w:r>
      <w:r w:rsidR="00C66940" w:rsidRPr="00F7263B">
        <w:rPr>
          <w:sz w:val="20"/>
          <w:szCs w:val="20"/>
        </w:rPr>
        <w:t>.</w:t>
      </w:r>
      <w:r w:rsidRPr="00F7263B">
        <w:rPr>
          <w:sz w:val="20"/>
          <w:szCs w:val="20"/>
        </w:rPr>
        <w:t xml:space="preserve">ULGs, as implementing agencies, will retain supervisory role and the </w:t>
      </w:r>
      <w:r w:rsidR="00276BC8" w:rsidRPr="00F7263B">
        <w:rPr>
          <w:sz w:val="20"/>
          <w:szCs w:val="20"/>
        </w:rPr>
        <w:t>MUDHCo</w:t>
      </w:r>
      <w:r w:rsidRPr="00F7263B">
        <w:rPr>
          <w:sz w:val="20"/>
          <w:szCs w:val="20"/>
        </w:rPr>
        <w:t>, as the main executing ministry, will retain oversight and quality assurance role for Program implementation</w:t>
      </w:r>
      <w:r w:rsidR="00C66940" w:rsidRPr="00F7263B">
        <w:rPr>
          <w:sz w:val="20"/>
          <w:szCs w:val="20"/>
        </w:rPr>
        <w:t xml:space="preserve">.  </w:t>
      </w:r>
      <w:r w:rsidRPr="00F7263B">
        <w:rPr>
          <w:sz w:val="20"/>
          <w:szCs w:val="20"/>
        </w:rPr>
        <w:t>These arrangements are considered adequate in terms of economy, efficiency and effectiveness in addressing the urban development issues at hand</w:t>
      </w:r>
      <w:r w:rsidR="00C66940" w:rsidRPr="00F7263B">
        <w:rPr>
          <w:sz w:val="20"/>
          <w:szCs w:val="20"/>
        </w:rPr>
        <w:t xml:space="preserve">.  </w:t>
      </w:r>
    </w:p>
    <w:p w:rsidR="00AB72CB" w:rsidRPr="00F7263B" w:rsidRDefault="00AB72CB" w:rsidP="00254260">
      <w:pPr>
        <w:pStyle w:val="ListParagraph"/>
        <w:ind w:left="0"/>
        <w:rPr>
          <w:rFonts w:cs="Times New Roman"/>
          <w:sz w:val="20"/>
          <w:szCs w:val="20"/>
        </w:rPr>
      </w:pPr>
    </w:p>
    <w:p w:rsidR="006E7278" w:rsidRPr="00F7263B" w:rsidRDefault="00AB72CB" w:rsidP="00056FC8">
      <w:pPr>
        <w:pStyle w:val="ListParagraph"/>
        <w:numPr>
          <w:ilvl w:val="0"/>
          <w:numId w:val="62"/>
        </w:numPr>
        <w:autoSpaceDE w:val="0"/>
        <w:autoSpaceDN w:val="0"/>
        <w:adjustRightInd w:val="0"/>
        <w:ind w:left="0" w:firstLine="0"/>
        <w:jc w:val="both"/>
        <w:rPr>
          <w:rFonts w:cs="Times New Roman"/>
          <w:sz w:val="20"/>
          <w:szCs w:val="20"/>
        </w:rPr>
      </w:pPr>
      <w:r w:rsidRPr="00F7263B">
        <w:rPr>
          <w:rFonts w:cs="Times New Roman"/>
          <w:sz w:val="20"/>
          <w:szCs w:val="20"/>
        </w:rPr>
        <w:t>The investments supported under the Program are core urban public goods/services such as roads, drainage, sanitation and solid waste management, which would not be provided without significant public interventions</w:t>
      </w:r>
      <w:r w:rsidR="00C66940" w:rsidRPr="00F7263B">
        <w:rPr>
          <w:rFonts w:cs="Times New Roman"/>
          <w:sz w:val="20"/>
          <w:szCs w:val="20"/>
        </w:rPr>
        <w:t xml:space="preserve">.  </w:t>
      </w:r>
      <w:r w:rsidRPr="00F7263B">
        <w:rPr>
          <w:rFonts w:cs="Times New Roman"/>
          <w:sz w:val="20"/>
          <w:szCs w:val="20"/>
        </w:rPr>
        <w:t xml:space="preserve">The World Bank’s expertise within support of those areas in Ethiopia and elsewhere are comprehensive, and the experiences from ULGDP shows that in addition to the necessary support for financing of these interventions, the expertise the Bank can offer in the support of the design, technical </w:t>
      </w:r>
      <w:r w:rsidR="001D67D6" w:rsidRPr="00F7263B">
        <w:rPr>
          <w:rFonts w:cs="Times New Roman"/>
          <w:sz w:val="20"/>
          <w:szCs w:val="20"/>
        </w:rPr>
        <w:t>advice</w:t>
      </w:r>
      <w:r w:rsidRPr="00F7263B">
        <w:rPr>
          <w:rFonts w:cs="Times New Roman"/>
          <w:sz w:val="20"/>
          <w:szCs w:val="20"/>
        </w:rPr>
        <w:t xml:space="preserve">, monitoring and backstopping, is highly appreciated and valuable for the </w:t>
      </w:r>
      <w:r w:rsidR="00830508" w:rsidRPr="00F7263B">
        <w:rPr>
          <w:rFonts w:cs="Times New Roman"/>
          <w:sz w:val="20"/>
          <w:szCs w:val="20"/>
        </w:rPr>
        <w:t>government</w:t>
      </w:r>
      <w:r w:rsidRPr="00F7263B">
        <w:rPr>
          <w:rFonts w:cs="Times New Roman"/>
          <w:sz w:val="20"/>
          <w:szCs w:val="20"/>
        </w:rPr>
        <w:t xml:space="preserve"> and the </w:t>
      </w:r>
      <w:r w:rsidR="00830508" w:rsidRPr="00F7263B">
        <w:rPr>
          <w:rFonts w:cs="Times New Roman"/>
          <w:sz w:val="20"/>
          <w:szCs w:val="20"/>
        </w:rPr>
        <w:t>government</w:t>
      </w:r>
      <w:r w:rsidRPr="00F7263B">
        <w:rPr>
          <w:rFonts w:cs="Times New Roman"/>
          <w:sz w:val="20"/>
          <w:szCs w:val="20"/>
        </w:rPr>
        <w:t>’s urban program</w:t>
      </w:r>
      <w:r w:rsidR="00C66940" w:rsidRPr="00F7263B">
        <w:rPr>
          <w:rFonts w:cs="Times New Roman"/>
          <w:sz w:val="20"/>
          <w:szCs w:val="20"/>
        </w:rPr>
        <w:t>.</w:t>
      </w:r>
    </w:p>
    <w:p w:rsidR="00C66940" w:rsidRPr="00F7263B" w:rsidRDefault="00C66940" w:rsidP="00C66940">
      <w:pPr>
        <w:rPr>
          <w:sz w:val="20"/>
          <w:szCs w:val="20"/>
        </w:rPr>
      </w:pPr>
    </w:p>
    <w:p w:rsidR="00AB72CB" w:rsidRPr="00F7263B" w:rsidRDefault="00AB72CB" w:rsidP="00C66940">
      <w:pPr>
        <w:rPr>
          <w:b/>
          <w:sz w:val="20"/>
          <w:szCs w:val="20"/>
        </w:rPr>
      </w:pPr>
      <w:r w:rsidRPr="00F7263B">
        <w:rPr>
          <w:b/>
          <w:sz w:val="20"/>
          <w:szCs w:val="20"/>
        </w:rPr>
        <w:t xml:space="preserve">Evaluation of the </w:t>
      </w:r>
      <w:r w:rsidR="00C66940" w:rsidRPr="00F7263B">
        <w:rPr>
          <w:b/>
          <w:sz w:val="20"/>
          <w:szCs w:val="20"/>
        </w:rPr>
        <w:t>t</w:t>
      </w:r>
      <w:r w:rsidRPr="00F7263B">
        <w:rPr>
          <w:b/>
          <w:sz w:val="20"/>
          <w:szCs w:val="20"/>
        </w:rPr>
        <w:t xml:space="preserve">echnical </w:t>
      </w:r>
      <w:r w:rsidR="00C66940" w:rsidRPr="00F7263B">
        <w:rPr>
          <w:b/>
          <w:sz w:val="20"/>
          <w:szCs w:val="20"/>
        </w:rPr>
        <w:t>r</w:t>
      </w:r>
      <w:r w:rsidRPr="00F7263B">
        <w:rPr>
          <w:b/>
          <w:sz w:val="20"/>
          <w:szCs w:val="20"/>
        </w:rPr>
        <w:t>isks</w:t>
      </w:r>
    </w:p>
    <w:p w:rsidR="00AB72CB" w:rsidRPr="00F7263B" w:rsidRDefault="00AB72CB" w:rsidP="00C66940">
      <w:pPr>
        <w:rPr>
          <w:sz w:val="20"/>
          <w:szCs w:val="20"/>
        </w:rPr>
      </w:pPr>
    </w:p>
    <w:p w:rsidR="006E7278" w:rsidRPr="00F7263B" w:rsidRDefault="00AB72CB" w:rsidP="00056FC8">
      <w:pPr>
        <w:pStyle w:val="ListParagraph"/>
        <w:numPr>
          <w:ilvl w:val="0"/>
          <w:numId w:val="62"/>
        </w:numPr>
        <w:autoSpaceDE w:val="0"/>
        <w:autoSpaceDN w:val="0"/>
        <w:adjustRightInd w:val="0"/>
        <w:ind w:left="0" w:firstLine="0"/>
        <w:jc w:val="both"/>
        <w:rPr>
          <w:rFonts w:cs="Times New Roman"/>
          <w:sz w:val="20"/>
          <w:szCs w:val="20"/>
        </w:rPr>
      </w:pPr>
      <w:r w:rsidRPr="00F7263B">
        <w:rPr>
          <w:rFonts w:cs="Times New Roman"/>
          <w:sz w:val="20"/>
          <w:szCs w:val="20"/>
        </w:rPr>
        <w:t>Based on the findings of assessments undertaken for the preparation of the Program, the overall technical risk rating is substantial</w:t>
      </w:r>
      <w:r w:rsidR="00C66940" w:rsidRPr="00F7263B">
        <w:rPr>
          <w:rFonts w:cs="Times New Roman"/>
          <w:sz w:val="20"/>
          <w:szCs w:val="20"/>
        </w:rPr>
        <w:t xml:space="preserve">.  </w:t>
      </w:r>
      <w:r w:rsidRPr="00F7263B">
        <w:rPr>
          <w:rFonts w:cs="Times New Roman"/>
          <w:sz w:val="20"/>
          <w:szCs w:val="20"/>
        </w:rPr>
        <w:t>The overarching measures to mitigate these risks will be firstly the series of institutional enhancement activities, which will be financed by the two elements of the Program, and secondly the incentive mechanism under the performance</w:t>
      </w:r>
      <w:r w:rsidR="00702CD8" w:rsidRPr="00F7263B">
        <w:rPr>
          <w:rFonts w:cs="Times New Roman"/>
          <w:sz w:val="20"/>
          <w:szCs w:val="20"/>
        </w:rPr>
        <w:t>-</w:t>
      </w:r>
      <w:r w:rsidRPr="00F7263B">
        <w:rPr>
          <w:rFonts w:cs="Times New Roman"/>
          <w:sz w:val="20"/>
          <w:szCs w:val="20"/>
        </w:rPr>
        <w:t>based disbursement mechanism</w:t>
      </w:r>
      <w:r w:rsidR="00C66940" w:rsidRPr="00F7263B">
        <w:rPr>
          <w:rFonts w:cs="Times New Roman"/>
          <w:sz w:val="20"/>
          <w:szCs w:val="20"/>
        </w:rPr>
        <w:t xml:space="preserve">.  </w:t>
      </w:r>
    </w:p>
    <w:p w:rsidR="00AB72CB" w:rsidRPr="00F7263B" w:rsidRDefault="00AB72CB" w:rsidP="00635C55">
      <w:pPr>
        <w:jc w:val="both"/>
        <w:rPr>
          <w:rFonts w:cs="Times New Roman"/>
          <w:b/>
          <w:sz w:val="20"/>
          <w:szCs w:val="20"/>
        </w:rPr>
      </w:pPr>
    </w:p>
    <w:p w:rsidR="00142634" w:rsidRPr="00F7263B" w:rsidRDefault="00142634" w:rsidP="00556F1B">
      <w:pPr>
        <w:pStyle w:val="NoSpacing"/>
        <w:jc w:val="both"/>
        <w:rPr>
          <w:rFonts w:ascii="Times New Roman" w:hAnsi="Times New Roman" w:cs="Times New Roman"/>
          <w:sz w:val="20"/>
          <w:szCs w:val="20"/>
          <w:highlight w:val="yellow"/>
        </w:rPr>
      </w:pPr>
    </w:p>
    <w:p w:rsidR="00DE20A8" w:rsidRPr="00F7263B" w:rsidRDefault="00DE20A8" w:rsidP="00556F1B">
      <w:pPr>
        <w:pStyle w:val="NoSpacing"/>
        <w:ind w:left="360"/>
        <w:jc w:val="both"/>
        <w:rPr>
          <w:rFonts w:ascii="Times New Roman" w:hAnsi="Times New Roman" w:cs="Times New Roman"/>
          <w:sz w:val="20"/>
          <w:szCs w:val="20"/>
        </w:rPr>
        <w:sectPr w:rsidR="00DE20A8" w:rsidRPr="00F7263B">
          <w:pgSz w:w="12240" w:h="15840"/>
          <w:pgMar w:top="1440" w:right="1440" w:bottom="1440" w:left="1440" w:header="720" w:footer="720" w:gutter="0"/>
          <w:cols w:space="720"/>
          <w:docGrid w:linePitch="360"/>
        </w:sectPr>
      </w:pPr>
    </w:p>
    <w:p w:rsidR="00AE45E6" w:rsidRPr="00F7263B" w:rsidRDefault="006E6DDF" w:rsidP="006E6DDF">
      <w:pPr>
        <w:pStyle w:val="Caption"/>
        <w:jc w:val="center"/>
      </w:pPr>
      <w:bookmarkStart w:id="94" w:name="_Toc374060180"/>
      <w:bookmarkStart w:id="95" w:name="_Toc380087831"/>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5</w:t>
      </w:r>
      <w:r w:rsidR="00B845BE" w:rsidRPr="00F7263B">
        <w:fldChar w:fldCharType="end"/>
      </w:r>
      <w:r w:rsidR="001D2940" w:rsidRPr="00F7263B">
        <w:t xml:space="preserve">: </w:t>
      </w:r>
      <w:r w:rsidR="00142634" w:rsidRPr="00F7263B">
        <w:t>Summary</w:t>
      </w:r>
      <w:r w:rsidR="002E6E1E">
        <w:t xml:space="preserve"> </w:t>
      </w:r>
      <w:r w:rsidR="001D2940" w:rsidRPr="00F7263B">
        <w:t>Fiduciary Systems Assessment</w:t>
      </w:r>
      <w:bookmarkEnd w:id="94"/>
      <w:bookmarkEnd w:id="95"/>
    </w:p>
    <w:p w:rsidR="004D2B36" w:rsidRPr="00F7263B" w:rsidRDefault="004D2B36" w:rsidP="004D2B36">
      <w:pPr>
        <w:ind w:left="360"/>
        <w:rPr>
          <w:rFonts w:cs="Times New Roman"/>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 xml:space="preserve">An </w:t>
      </w:r>
      <w:r w:rsidR="00FF7824" w:rsidRPr="00F7263B">
        <w:rPr>
          <w:sz w:val="20"/>
          <w:szCs w:val="20"/>
        </w:rPr>
        <w:t>integrated fiducia</w:t>
      </w:r>
      <w:r w:rsidRPr="00F7263B">
        <w:rPr>
          <w:sz w:val="20"/>
          <w:szCs w:val="20"/>
        </w:rPr>
        <w:t xml:space="preserve">ry assessment of program fiduciary systems for the proposed Program was carried out on the </w:t>
      </w:r>
      <w:r w:rsidR="00E65E2E" w:rsidRPr="00F7263B">
        <w:rPr>
          <w:sz w:val="20"/>
          <w:szCs w:val="20"/>
        </w:rPr>
        <w:t>MUDHCo</w:t>
      </w:r>
      <w:r w:rsidRPr="00F7263B">
        <w:rPr>
          <w:sz w:val="20"/>
          <w:szCs w:val="20"/>
        </w:rPr>
        <w:t xml:space="preserve"> and a sample of participating regional and urban local governments that will implement the ULGDP II consistent with Operational Policy/Bank Procedure (OP/BP) 9.00, Program-for-Results Financing</w:t>
      </w:r>
      <w:r w:rsidR="00450F86" w:rsidRPr="00F7263B">
        <w:rPr>
          <w:sz w:val="20"/>
          <w:szCs w:val="20"/>
        </w:rPr>
        <w:t xml:space="preserve">.  </w:t>
      </w:r>
      <w:r w:rsidRPr="00F7263B">
        <w:rPr>
          <w:sz w:val="20"/>
          <w:szCs w:val="20"/>
        </w:rPr>
        <w:t>A special survey was designed for assessing the financial management performance of cities</w:t>
      </w:r>
      <w:r w:rsidR="00450F86" w:rsidRPr="00F7263B">
        <w:rPr>
          <w:sz w:val="20"/>
          <w:szCs w:val="20"/>
        </w:rPr>
        <w:t xml:space="preserve">.  </w:t>
      </w:r>
      <w:r w:rsidRPr="00F7263B">
        <w:rPr>
          <w:sz w:val="20"/>
          <w:szCs w:val="20"/>
        </w:rPr>
        <w:t>During September and October 2013, teams visited all 26 new cities joining the program to collect this information</w:t>
      </w:r>
      <w:r w:rsidR="00450F86" w:rsidRPr="00F7263B">
        <w:rPr>
          <w:sz w:val="20"/>
          <w:szCs w:val="20"/>
        </w:rPr>
        <w:t xml:space="preserve">.  </w:t>
      </w:r>
      <w:r w:rsidRPr="00F7263B">
        <w:rPr>
          <w:sz w:val="20"/>
          <w:szCs w:val="20"/>
        </w:rPr>
        <w:t>For the 18 cities in the current ULGDP program, data was obtained and analyzed from the last three Annual Performance Assessments</w:t>
      </w:r>
      <w:r w:rsidR="00450F86" w:rsidRPr="00F7263B">
        <w:rPr>
          <w:sz w:val="20"/>
          <w:szCs w:val="20"/>
        </w:rPr>
        <w:t xml:space="preserve">.  </w:t>
      </w:r>
      <w:r w:rsidRPr="00F7263B">
        <w:rPr>
          <w:sz w:val="20"/>
          <w:szCs w:val="20"/>
        </w:rPr>
        <w:t>The Procurement assessment is based upon data collected from 18 cities (sample of old and new cities in the program) that was collected in August and September 2013</w:t>
      </w:r>
      <w:r w:rsidR="00450F86" w:rsidRPr="00F7263B">
        <w:rPr>
          <w:sz w:val="20"/>
          <w:szCs w:val="20"/>
        </w:rPr>
        <w:t xml:space="preserve">.  </w:t>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The fiduciary assessment entailed a review of the capacity of the sample participating entities on their ability (a) to record, control, and manage all Program resources and produce timely, understandable, relevant, and reliable information for the borrower and the World Bank; (b) to follow procurement rules and procedures, capacity, and performance focusing on procurement performance indicators and the extent to which the capacity and performance support the program development objectives and risks associated with the Program and the implementing agency; and (c) to ensure that implementation arrangements are adequate and risks are reasonably mitigated by the existing framework</w:t>
      </w:r>
      <w:r w:rsidR="00450F86" w:rsidRPr="00F7263B">
        <w:rPr>
          <w:sz w:val="20"/>
          <w:szCs w:val="20"/>
        </w:rPr>
        <w:t xml:space="preserve">.  </w:t>
      </w:r>
      <w:r w:rsidRPr="00F7263B">
        <w:rPr>
          <w:sz w:val="20"/>
          <w:szCs w:val="20"/>
        </w:rPr>
        <w:t>A detailed Integrated Fiduciary Assessment is being circulated as part of the project package</w:t>
      </w:r>
      <w:r w:rsidR="00450F86" w:rsidRPr="00F7263B">
        <w:rPr>
          <w:sz w:val="20"/>
          <w:szCs w:val="20"/>
        </w:rPr>
        <w:t xml:space="preserve">.  </w:t>
      </w:r>
    </w:p>
    <w:p w:rsidR="004D2B36" w:rsidRPr="00F7263B" w:rsidRDefault="004D2B36" w:rsidP="004D2B36">
      <w:pPr>
        <w:jc w:val="both"/>
        <w:rPr>
          <w:rFonts w:cs="Times New Roman"/>
          <w:sz w:val="20"/>
          <w:szCs w:val="20"/>
        </w:rPr>
      </w:pPr>
    </w:p>
    <w:p w:rsidR="004D2B36" w:rsidRPr="00F7263B" w:rsidRDefault="004D2B36" w:rsidP="004D2B36">
      <w:pPr>
        <w:tabs>
          <w:tab w:val="left" w:pos="90"/>
        </w:tabs>
        <w:ind w:left="90" w:hanging="90"/>
        <w:contextualSpacing/>
        <w:jc w:val="both"/>
        <w:rPr>
          <w:b/>
          <w:sz w:val="20"/>
          <w:szCs w:val="20"/>
        </w:rPr>
      </w:pPr>
      <w:r w:rsidRPr="00F7263B">
        <w:rPr>
          <w:b/>
          <w:sz w:val="20"/>
          <w:szCs w:val="20"/>
        </w:rPr>
        <w:t>PFM System Assessment and FM arrangements</w:t>
      </w:r>
    </w:p>
    <w:p w:rsidR="004D2B36" w:rsidRPr="00F7263B" w:rsidRDefault="004D2B36" w:rsidP="004D2B36">
      <w:pPr>
        <w:rPr>
          <w:b/>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At the national level, the assessment notes that the Public Expenditure and Financial Accounting PEFA ratings of 2010 had placed Ethiopia in the top tier of countries in the Africa Region in public financial management</w:t>
      </w:r>
      <w:r w:rsidR="008073B5" w:rsidRPr="00F7263B">
        <w:rPr>
          <w:sz w:val="20"/>
          <w:szCs w:val="20"/>
        </w:rPr>
        <w:t xml:space="preserve">.  </w:t>
      </w:r>
    </w:p>
    <w:p w:rsidR="004D2B36" w:rsidRPr="00F7263B" w:rsidRDefault="004D2B36" w:rsidP="004D2B36">
      <w:pPr>
        <w:autoSpaceDE w:val="0"/>
        <w:autoSpaceDN w:val="0"/>
        <w:adjustRightInd w:val="0"/>
        <w:jc w:val="both"/>
        <w:rPr>
          <w:sz w:val="20"/>
          <w:szCs w:val="20"/>
        </w:rPr>
      </w:pPr>
    </w:p>
    <w:p w:rsidR="004D2B36" w:rsidRPr="00F7263B" w:rsidRDefault="004D2B36" w:rsidP="004D2B36">
      <w:pPr>
        <w:autoSpaceDE w:val="0"/>
        <w:autoSpaceDN w:val="0"/>
        <w:adjustRightInd w:val="0"/>
        <w:jc w:val="both"/>
        <w:rPr>
          <w:sz w:val="20"/>
          <w:szCs w:val="20"/>
        </w:rPr>
      </w:pPr>
      <w:r w:rsidRPr="00F7263B">
        <w:rPr>
          <w:noProof/>
          <w:sz w:val="20"/>
          <w:szCs w:val="20"/>
        </w:rPr>
        <w:drawing>
          <wp:inline distT="0" distB="0" distL="0" distR="0">
            <wp:extent cx="5335325" cy="293403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9596" cy="2936380"/>
                    </a:xfrm>
                    <a:prstGeom prst="rect">
                      <a:avLst/>
                    </a:prstGeom>
                    <a:noFill/>
                    <a:ln>
                      <a:noFill/>
                    </a:ln>
                    <a:effectLst/>
                    <a:extLst/>
                  </pic:spPr>
                </pic:pic>
              </a:graphicData>
            </a:graphic>
          </wp:inline>
        </w:drawing>
      </w: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As can be seen in the table above, there is significant variability between the Federal level and the regions</w:t>
      </w:r>
      <w:r w:rsidR="00450F86" w:rsidRPr="00F7263B">
        <w:rPr>
          <w:sz w:val="20"/>
          <w:szCs w:val="20"/>
        </w:rPr>
        <w:t xml:space="preserve">.  </w:t>
      </w:r>
      <w:r w:rsidRPr="00F7263B">
        <w:rPr>
          <w:sz w:val="20"/>
          <w:szCs w:val="20"/>
        </w:rPr>
        <w:t>Some of the areas where further improvements were needed are in the areas of multi-year planning, unreported government operations, tax collections, budget execution, procurement, internal audit and external oversight</w:t>
      </w:r>
      <w:r w:rsidR="00450F86" w:rsidRPr="00F7263B">
        <w:rPr>
          <w:sz w:val="20"/>
          <w:szCs w:val="20"/>
        </w:rPr>
        <w:t xml:space="preserve">.  </w:t>
      </w:r>
      <w:r w:rsidRPr="00F7263B">
        <w:rPr>
          <w:sz w:val="20"/>
          <w:szCs w:val="20"/>
        </w:rPr>
        <w:t xml:space="preserve">Government of Ethiopia has a </w:t>
      </w:r>
      <w:r w:rsidR="008B423D" w:rsidRPr="00F7263B">
        <w:rPr>
          <w:sz w:val="20"/>
          <w:szCs w:val="20"/>
        </w:rPr>
        <w:t>well-designed</w:t>
      </w:r>
      <w:r w:rsidRPr="00F7263B">
        <w:rPr>
          <w:sz w:val="20"/>
          <w:szCs w:val="20"/>
        </w:rPr>
        <w:t xml:space="preserve"> public financial reform program that is addressing these weaknesses in a systematic manner through the Expenditure Management and Control Program</w:t>
      </w:r>
      <w:r w:rsidR="00450F86" w:rsidRPr="00F7263B">
        <w:rPr>
          <w:sz w:val="20"/>
          <w:szCs w:val="20"/>
        </w:rPr>
        <w:t xml:space="preserve">.  </w:t>
      </w:r>
      <w:r w:rsidRPr="00F7263B">
        <w:rPr>
          <w:sz w:val="20"/>
          <w:szCs w:val="20"/>
        </w:rPr>
        <w:t>Sectoral weaknesses continue to persist and there is need for enhanced capacity building initiatives at the sectoral level, especially in sectors such as roads, energy, education, water, and urban development</w:t>
      </w:r>
      <w:r w:rsidR="00450F86" w:rsidRPr="00F7263B">
        <w:rPr>
          <w:sz w:val="20"/>
          <w:szCs w:val="20"/>
        </w:rPr>
        <w:t xml:space="preserve">.  </w:t>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color w:val="000000"/>
          <w:sz w:val="20"/>
          <w:szCs w:val="20"/>
        </w:rPr>
      </w:pPr>
      <w:r w:rsidRPr="00F7263B">
        <w:rPr>
          <w:color w:val="000000"/>
          <w:sz w:val="20"/>
          <w:szCs w:val="20"/>
        </w:rPr>
        <w:t xml:space="preserve">The key finding of the financial management assessment and the program financial management arrangements </w:t>
      </w:r>
      <w:r w:rsidR="005B351A" w:rsidRPr="00F7263B">
        <w:rPr>
          <w:color w:val="000000"/>
          <w:sz w:val="20"/>
          <w:szCs w:val="20"/>
        </w:rPr>
        <w:t xml:space="preserve">are highlighted below. On the basis of the issues </w:t>
      </w:r>
      <w:r w:rsidR="005B351A" w:rsidRPr="00F7263B">
        <w:rPr>
          <w:sz w:val="20"/>
          <w:szCs w:val="20"/>
        </w:rPr>
        <w:t>It is the conclusion of the assessment that the financial management risk is rated as Substantial</w:t>
      </w:r>
      <w:r w:rsidR="005B351A" w:rsidRPr="00F7263B">
        <w:rPr>
          <w:color w:val="000000"/>
          <w:sz w:val="20"/>
          <w:szCs w:val="20"/>
        </w:rPr>
        <w:t>.</w:t>
      </w:r>
    </w:p>
    <w:p w:rsidR="008B423D" w:rsidRPr="00F7263B" w:rsidRDefault="008B423D" w:rsidP="008B423D">
      <w:pPr>
        <w:autoSpaceDE w:val="0"/>
        <w:autoSpaceDN w:val="0"/>
        <w:adjustRightInd w:val="0"/>
        <w:contextualSpacing/>
        <w:jc w:val="both"/>
        <w:rPr>
          <w:color w:val="000000"/>
          <w:sz w:val="20"/>
          <w:szCs w:val="20"/>
        </w:rPr>
      </w:pPr>
    </w:p>
    <w:p w:rsidR="006E7278" w:rsidRPr="00F7263B" w:rsidRDefault="00450F86" w:rsidP="00056FC8">
      <w:pPr>
        <w:pStyle w:val="ListParagraph"/>
        <w:numPr>
          <w:ilvl w:val="0"/>
          <w:numId w:val="77"/>
        </w:numPr>
        <w:autoSpaceDE w:val="0"/>
        <w:autoSpaceDN w:val="0"/>
        <w:adjustRightInd w:val="0"/>
        <w:ind w:left="1440" w:hanging="720"/>
        <w:jc w:val="both"/>
        <w:rPr>
          <w:color w:val="000000"/>
          <w:sz w:val="20"/>
          <w:szCs w:val="20"/>
        </w:rPr>
      </w:pPr>
      <w:r w:rsidRPr="00F7263B">
        <w:rPr>
          <w:b/>
          <w:color w:val="000000"/>
          <w:sz w:val="20"/>
          <w:szCs w:val="20"/>
        </w:rPr>
        <w:t>Revenue.</w:t>
      </w:r>
      <w:r w:rsidR="004D2B36" w:rsidRPr="00F7263B">
        <w:rPr>
          <w:color w:val="000000"/>
          <w:sz w:val="20"/>
          <w:szCs w:val="20"/>
        </w:rPr>
        <w:t xml:space="preserve"> There is great potential for increasing State Revenue and Municipal Revenue during ULGDP II</w:t>
      </w:r>
      <w:r w:rsidRPr="00F7263B">
        <w:rPr>
          <w:color w:val="000000"/>
          <w:sz w:val="20"/>
          <w:szCs w:val="20"/>
        </w:rPr>
        <w:t xml:space="preserve">.  </w:t>
      </w:r>
      <w:r w:rsidR="004D2B36" w:rsidRPr="00F7263B">
        <w:rPr>
          <w:color w:val="000000"/>
          <w:sz w:val="20"/>
          <w:szCs w:val="20"/>
        </w:rPr>
        <w:t>In nominal terms for 17 new cities joining the program, between EFY 2002 and EFY 2005 State Revenue increased by 360% and Municipal Revenue increased by 233%</w:t>
      </w:r>
      <w:r w:rsidRPr="00F7263B">
        <w:rPr>
          <w:color w:val="000000"/>
          <w:sz w:val="20"/>
          <w:szCs w:val="20"/>
        </w:rPr>
        <w:t xml:space="preserve">.  </w:t>
      </w:r>
      <w:r w:rsidR="004D2B36" w:rsidRPr="00F7263B">
        <w:rPr>
          <w:color w:val="000000"/>
          <w:sz w:val="20"/>
          <w:szCs w:val="20"/>
        </w:rPr>
        <w:t>This is similar to the experience of the 18 cities currently in the program, where the last assessment showed that 11 cities exceeded their revenue targets for EFY 2003</w:t>
      </w:r>
      <w:r w:rsidRPr="00F7263B">
        <w:rPr>
          <w:color w:val="000000"/>
          <w:sz w:val="20"/>
          <w:szCs w:val="20"/>
        </w:rPr>
        <w:t xml:space="preserve">.  </w:t>
      </w:r>
      <w:r w:rsidR="004D2B36" w:rsidRPr="00F7263B">
        <w:rPr>
          <w:color w:val="000000"/>
          <w:sz w:val="20"/>
          <w:szCs w:val="20"/>
        </w:rPr>
        <w:t>This is not surprising since the Tax to GDP ratio in Ethiopia is only 12.5%</w:t>
      </w:r>
      <w:r w:rsidRPr="00F7263B">
        <w:rPr>
          <w:color w:val="000000"/>
          <w:sz w:val="20"/>
          <w:szCs w:val="20"/>
        </w:rPr>
        <w:t xml:space="preserve">.  </w:t>
      </w:r>
      <w:r w:rsidR="004D2B36" w:rsidRPr="00F7263B">
        <w:rPr>
          <w:color w:val="000000"/>
          <w:sz w:val="20"/>
          <w:szCs w:val="20"/>
        </w:rPr>
        <w:t>The draft Adam Smith study (November 2013) has assessed the tax gap as a percent of revenue as being 37.4% at the Federal level and much higher in some of the big regions where the primary focus of ULGDP II is going to be.</w:t>
      </w:r>
    </w:p>
    <w:p w:rsidR="004D2B36" w:rsidRPr="00F7263B" w:rsidRDefault="004D2B36" w:rsidP="004D2B36">
      <w:pPr>
        <w:autoSpaceDE w:val="0"/>
        <w:autoSpaceDN w:val="0"/>
        <w:adjustRightInd w:val="0"/>
        <w:ind w:left="720"/>
        <w:contextualSpacing/>
        <w:jc w:val="both"/>
        <w:rPr>
          <w:color w:val="000000"/>
          <w:sz w:val="20"/>
          <w:szCs w:val="20"/>
        </w:rPr>
      </w:pPr>
    </w:p>
    <w:p w:rsidR="006E7278" w:rsidRPr="00F7263B" w:rsidRDefault="00450F86" w:rsidP="00056FC8">
      <w:pPr>
        <w:pStyle w:val="ListParagraph"/>
        <w:numPr>
          <w:ilvl w:val="0"/>
          <w:numId w:val="77"/>
        </w:numPr>
        <w:autoSpaceDE w:val="0"/>
        <w:autoSpaceDN w:val="0"/>
        <w:adjustRightInd w:val="0"/>
        <w:ind w:left="1440" w:hanging="720"/>
        <w:jc w:val="both"/>
        <w:rPr>
          <w:color w:val="000000"/>
          <w:sz w:val="20"/>
          <w:szCs w:val="20"/>
        </w:rPr>
      </w:pPr>
      <w:r w:rsidRPr="00F7263B">
        <w:rPr>
          <w:b/>
          <w:color w:val="000000"/>
          <w:sz w:val="20"/>
          <w:szCs w:val="20"/>
        </w:rPr>
        <w:t>Planning and b</w:t>
      </w:r>
      <w:r w:rsidR="004D2B36" w:rsidRPr="00F7263B">
        <w:rPr>
          <w:b/>
          <w:color w:val="000000"/>
          <w:sz w:val="20"/>
          <w:szCs w:val="20"/>
        </w:rPr>
        <w:t>udgeting</w:t>
      </w:r>
      <w:r w:rsidRPr="00F7263B">
        <w:rPr>
          <w:color w:val="000000"/>
          <w:sz w:val="20"/>
          <w:szCs w:val="20"/>
        </w:rPr>
        <w:t xml:space="preserve">.  </w:t>
      </w:r>
      <w:r w:rsidR="004D2B36" w:rsidRPr="00F7263B">
        <w:rPr>
          <w:color w:val="000000"/>
          <w:sz w:val="20"/>
          <w:szCs w:val="20"/>
        </w:rPr>
        <w:t xml:space="preserve">As indicated in the PEFA assessments and as the ULGDP I shows, Ethiopia has a </w:t>
      </w:r>
      <w:r w:rsidR="008B423D" w:rsidRPr="00F7263B">
        <w:rPr>
          <w:color w:val="000000"/>
          <w:sz w:val="20"/>
          <w:szCs w:val="20"/>
        </w:rPr>
        <w:t>well-functioning</w:t>
      </w:r>
      <w:r w:rsidR="004D2B36" w:rsidRPr="00F7263B">
        <w:rPr>
          <w:color w:val="000000"/>
          <w:sz w:val="20"/>
          <w:szCs w:val="20"/>
        </w:rPr>
        <w:t xml:space="preserve"> planning and budgeting system</w:t>
      </w:r>
      <w:r w:rsidRPr="00F7263B">
        <w:rPr>
          <w:color w:val="000000"/>
          <w:sz w:val="20"/>
          <w:szCs w:val="20"/>
        </w:rPr>
        <w:t xml:space="preserve">.  </w:t>
      </w:r>
      <w:r w:rsidR="004D2B36" w:rsidRPr="00F7263B">
        <w:rPr>
          <w:color w:val="000000"/>
          <w:sz w:val="20"/>
          <w:szCs w:val="20"/>
        </w:rPr>
        <w:t>The APA for EFY 2004 showed that fifteen of the eighteen cities in the program had fully complied with government planning processes</w:t>
      </w:r>
      <w:r w:rsidRPr="00F7263B">
        <w:rPr>
          <w:color w:val="000000"/>
          <w:sz w:val="20"/>
          <w:szCs w:val="20"/>
        </w:rPr>
        <w:t xml:space="preserve">.  </w:t>
      </w:r>
      <w:r w:rsidR="004D2B36" w:rsidRPr="00F7263B">
        <w:rPr>
          <w:color w:val="000000"/>
          <w:sz w:val="20"/>
          <w:szCs w:val="20"/>
          <w:lang w:val="en-GB"/>
        </w:rPr>
        <w:t>The program will follow government planning and budgeting arrangements as outlined budget Manuals</w:t>
      </w:r>
      <w:r w:rsidRPr="00F7263B">
        <w:rPr>
          <w:color w:val="000000"/>
          <w:sz w:val="20"/>
          <w:szCs w:val="20"/>
          <w:lang w:val="en-GB"/>
        </w:rPr>
        <w:t xml:space="preserve">.  </w:t>
      </w:r>
      <w:r w:rsidR="004D2B36" w:rsidRPr="00F7263B">
        <w:rPr>
          <w:color w:val="000000"/>
          <w:sz w:val="20"/>
          <w:szCs w:val="20"/>
          <w:lang w:val="en-GB"/>
        </w:rPr>
        <w:t xml:space="preserve">The budget will be proclaimed at the Federal level following the PSCAP Model at the Federal </w:t>
      </w:r>
      <w:r w:rsidR="005B351A" w:rsidRPr="00F7263B">
        <w:rPr>
          <w:color w:val="000000"/>
          <w:sz w:val="20"/>
          <w:szCs w:val="20"/>
          <w:lang w:val="en-GB"/>
        </w:rPr>
        <w:t>MUDHC</w:t>
      </w:r>
      <w:r w:rsidR="0053260E" w:rsidRPr="00F7263B">
        <w:rPr>
          <w:color w:val="000000"/>
          <w:sz w:val="20"/>
          <w:szCs w:val="20"/>
          <w:lang w:val="en-GB"/>
        </w:rPr>
        <w:t>o</w:t>
      </w:r>
      <w:r w:rsidR="004D2B36" w:rsidRPr="00F7263B">
        <w:rPr>
          <w:color w:val="000000"/>
          <w:sz w:val="20"/>
          <w:szCs w:val="20"/>
          <w:lang w:val="en-GB"/>
        </w:rPr>
        <w:t xml:space="preserve"> as a special purpose Grant classified by Regions </w:t>
      </w:r>
      <w:r w:rsidR="005B351A" w:rsidRPr="00F7263B">
        <w:rPr>
          <w:color w:val="000000"/>
          <w:sz w:val="20"/>
          <w:szCs w:val="20"/>
          <w:lang w:val="en-GB"/>
        </w:rPr>
        <w:t xml:space="preserve">ULGs/Cities </w:t>
      </w:r>
      <w:r w:rsidR="004D2B36" w:rsidRPr="00F7263B">
        <w:rPr>
          <w:color w:val="000000"/>
          <w:sz w:val="20"/>
          <w:szCs w:val="20"/>
          <w:lang w:val="en-GB"/>
        </w:rPr>
        <w:t xml:space="preserve">and </w:t>
      </w:r>
      <w:r w:rsidR="005B351A" w:rsidRPr="00F7263B">
        <w:rPr>
          <w:color w:val="000000"/>
          <w:sz w:val="20"/>
          <w:szCs w:val="20"/>
          <w:lang w:val="en-GB"/>
        </w:rPr>
        <w:t>MUDHC</w:t>
      </w:r>
      <w:r w:rsidR="0053260E" w:rsidRPr="00F7263B">
        <w:rPr>
          <w:color w:val="000000"/>
          <w:sz w:val="20"/>
          <w:szCs w:val="20"/>
          <w:lang w:val="en-GB"/>
        </w:rPr>
        <w:t>o</w:t>
      </w:r>
      <w:r w:rsidRPr="00F7263B">
        <w:rPr>
          <w:color w:val="000000"/>
          <w:sz w:val="20"/>
          <w:szCs w:val="20"/>
          <w:lang w:val="en-GB"/>
        </w:rPr>
        <w:t xml:space="preserve">.  </w:t>
      </w:r>
      <w:r w:rsidR="005B351A" w:rsidRPr="00F7263B">
        <w:rPr>
          <w:color w:val="000000"/>
          <w:sz w:val="20"/>
          <w:szCs w:val="20"/>
          <w:lang w:val="en-GB"/>
        </w:rPr>
        <w:t xml:space="preserve">At the </w:t>
      </w:r>
      <w:r w:rsidR="004D2B36" w:rsidRPr="00F7263B">
        <w:rPr>
          <w:color w:val="000000"/>
          <w:sz w:val="20"/>
          <w:szCs w:val="20"/>
          <w:lang w:val="en-GB"/>
        </w:rPr>
        <w:t>Regional and ULG level</w:t>
      </w:r>
      <w:r w:rsidR="005B351A" w:rsidRPr="00F7263B">
        <w:rPr>
          <w:color w:val="000000"/>
          <w:sz w:val="20"/>
          <w:szCs w:val="20"/>
          <w:lang w:val="en-GB"/>
        </w:rPr>
        <w:t>,the budget will also be proclaimed without offset and double counting</w:t>
      </w:r>
      <w:r w:rsidR="004D2B36" w:rsidRPr="00F7263B">
        <w:rPr>
          <w:color w:val="000000"/>
          <w:sz w:val="20"/>
          <w:szCs w:val="20"/>
          <w:lang w:val="en-GB"/>
        </w:rPr>
        <w:t>.</w:t>
      </w:r>
    </w:p>
    <w:p w:rsidR="004D2B36" w:rsidRPr="00F7263B" w:rsidRDefault="004D2B36" w:rsidP="004D2B36">
      <w:pPr>
        <w:autoSpaceDE w:val="0"/>
        <w:autoSpaceDN w:val="0"/>
        <w:adjustRightInd w:val="0"/>
        <w:ind w:left="720"/>
        <w:contextualSpacing/>
        <w:jc w:val="both"/>
        <w:rPr>
          <w:color w:val="000000"/>
          <w:sz w:val="20"/>
          <w:szCs w:val="20"/>
        </w:rPr>
      </w:pPr>
    </w:p>
    <w:p w:rsidR="006E7278" w:rsidRPr="00F7263B" w:rsidRDefault="00450F86" w:rsidP="00056FC8">
      <w:pPr>
        <w:pStyle w:val="ListParagraph"/>
        <w:numPr>
          <w:ilvl w:val="0"/>
          <w:numId w:val="77"/>
        </w:numPr>
        <w:autoSpaceDE w:val="0"/>
        <w:autoSpaceDN w:val="0"/>
        <w:adjustRightInd w:val="0"/>
        <w:ind w:left="1440" w:hanging="720"/>
        <w:jc w:val="both"/>
        <w:rPr>
          <w:color w:val="000000"/>
          <w:sz w:val="20"/>
          <w:szCs w:val="20"/>
        </w:rPr>
      </w:pPr>
      <w:r w:rsidRPr="00F7263B">
        <w:rPr>
          <w:b/>
          <w:color w:val="000000"/>
          <w:sz w:val="20"/>
          <w:szCs w:val="20"/>
        </w:rPr>
        <w:t>Budget e</w:t>
      </w:r>
      <w:r w:rsidR="004D2B36" w:rsidRPr="00F7263B">
        <w:rPr>
          <w:b/>
          <w:color w:val="000000"/>
          <w:sz w:val="20"/>
          <w:szCs w:val="20"/>
        </w:rPr>
        <w:t>xecution</w:t>
      </w:r>
      <w:r w:rsidRPr="00F7263B">
        <w:rPr>
          <w:b/>
          <w:color w:val="000000"/>
          <w:sz w:val="20"/>
          <w:szCs w:val="20"/>
        </w:rPr>
        <w:t xml:space="preserve">. </w:t>
      </w:r>
      <w:r w:rsidR="004D2B36" w:rsidRPr="00F7263B">
        <w:rPr>
          <w:color w:val="000000"/>
          <w:sz w:val="20"/>
          <w:szCs w:val="20"/>
        </w:rPr>
        <w:t>Budget execution (of the adjusted budget) is good at the national, regional and woreda levels</w:t>
      </w:r>
      <w:r w:rsidRPr="00F7263B">
        <w:rPr>
          <w:color w:val="000000"/>
          <w:sz w:val="20"/>
          <w:szCs w:val="20"/>
        </w:rPr>
        <w:t xml:space="preserve">.  </w:t>
      </w:r>
      <w:r w:rsidR="004D2B36" w:rsidRPr="00F7263B">
        <w:rPr>
          <w:color w:val="000000"/>
          <w:sz w:val="20"/>
          <w:szCs w:val="20"/>
        </w:rPr>
        <w:t>In EFY 2004, the recurrent budget execution rate for the 18 cities in the program was close to 100</w:t>
      </w:r>
      <w:r w:rsidR="001D67D6" w:rsidRPr="00F7263B">
        <w:rPr>
          <w:color w:val="000000"/>
          <w:sz w:val="20"/>
          <w:szCs w:val="20"/>
        </w:rPr>
        <w:t xml:space="preserve"> percent</w:t>
      </w:r>
      <w:r w:rsidR="004D2B36" w:rsidRPr="00F7263B">
        <w:rPr>
          <w:color w:val="000000"/>
          <w:sz w:val="20"/>
          <w:szCs w:val="20"/>
        </w:rPr>
        <w:t xml:space="preserve"> and for the capital investment program it was 78</w:t>
      </w:r>
      <w:r w:rsidR="001D67D6" w:rsidRPr="00F7263B">
        <w:rPr>
          <w:color w:val="000000"/>
          <w:sz w:val="20"/>
          <w:szCs w:val="20"/>
        </w:rPr>
        <w:t xml:space="preserve"> percent</w:t>
      </w:r>
      <w:r w:rsidRPr="00F7263B">
        <w:rPr>
          <w:color w:val="000000"/>
          <w:sz w:val="20"/>
          <w:szCs w:val="20"/>
        </w:rPr>
        <w:t xml:space="preserve">.  </w:t>
      </w:r>
      <w:r w:rsidR="004D2B36" w:rsidRPr="00F7263B">
        <w:rPr>
          <w:color w:val="000000"/>
          <w:sz w:val="20"/>
          <w:szCs w:val="20"/>
        </w:rPr>
        <w:t>For the 26 new cities joining the program (as an average for three years – EFY 2002 to EFY 2005), the recurrent budget execution rate was almost 100% and the capital budget execution rate was 72</w:t>
      </w:r>
      <w:r w:rsidR="001D67D6" w:rsidRPr="00F7263B">
        <w:rPr>
          <w:color w:val="000000"/>
          <w:sz w:val="20"/>
          <w:szCs w:val="20"/>
        </w:rPr>
        <w:t xml:space="preserve"> percent</w:t>
      </w:r>
      <w:r w:rsidRPr="00F7263B">
        <w:rPr>
          <w:color w:val="000000"/>
          <w:sz w:val="20"/>
          <w:szCs w:val="20"/>
        </w:rPr>
        <w:t xml:space="preserve">.  </w:t>
      </w:r>
      <w:r w:rsidR="004D2B36" w:rsidRPr="00F7263B">
        <w:rPr>
          <w:color w:val="000000"/>
          <w:sz w:val="20"/>
          <w:szCs w:val="20"/>
        </w:rPr>
        <w:t>In ULGDP I there have been significant timing delays in the completion of the APA</w:t>
      </w:r>
      <w:r w:rsidRPr="00F7263B">
        <w:rPr>
          <w:color w:val="000000"/>
          <w:sz w:val="20"/>
          <w:szCs w:val="20"/>
        </w:rPr>
        <w:t xml:space="preserve">.  </w:t>
      </w:r>
      <w:r w:rsidR="004D2B36" w:rsidRPr="00F7263B">
        <w:rPr>
          <w:color w:val="000000"/>
          <w:sz w:val="20"/>
          <w:szCs w:val="20"/>
        </w:rPr>
        <w:t xml:space="preserve">There have also been delays in receipt of the regional contribution and the contribution of the </w:t>
      </w:r>
      <w:r w:rsidR="001D67D6" w:rsidRPr="00F7263B">
        <w:rPr>
          <w:color w:val="000000"/>
          <w:sz w:val="20"/>
          <w:szCs w:val="20"/>
        </w:rPr>
        <w:t>c</w:t>
      </w:r>
      <w:r w:rsidR="004D2B36" w:rsidRPr="00F7263B">
        <w:rPr>
          <w:color w:val="000000"/>
          <w:sz w:val="20"/>
          <w:szCs w:val="20"/>
        </w:rPr>
        <w:t>ity</w:t>
      </w:r>
      <w:r w:rsidRPr="00F7263B">
        <w:rPr>
          <w:color w:val="000000"/>
          <w:sz w:val="20"/>
          <w:szCs w:val="20"/>
        </w:rPr>
        <w:t xml:space="preserve">.  </w:t>
      </w:r>
      <w:r w:rsidR="004D2B36" w:rsidRPr="00F7263B">
        <w:rPr>
          <w:color w:val="000000"/>
          <w:sz w:val="20"/>
          <w:szCs w:val="20"/>
        </w:rPr>
        <w:t xml:space="preserve">Due to this several cities have had to maintain </w:t>
      </w:r>
      <w:r w:rsidR="004D2B36" w:rsidRPr="00F7263B">
        <w:rPr>
          <w:sz w:val="20"/>
          <w:szCs w:val="20"/>
        </w:rPr>
        <w:t>two capital investment budgets – one being their own CIP and the other being the ULGDP CIP</w:t>
      </w:r>
      <w:r w:rsidRPr="00F7263B">
        <w:rPr>
          <w:sz w:val="20"/>
          <w:szCs w:val="20"/>
        </w:rPr>
        <w:t xml:space="preserve">.  </w:t>
      </w:r>
      <w:r w:rsidR="004D2B36" w:rsidRPr="00F7263B">
        <w:rPr>
          <w:sz w:val="20"/>
          <w:szCs w:val="20"/>
        </w:rPr>
        <w:t>This will need to be addressed as the program moves into its second phase</w:t>
      </w:r>
      <w:r w:rsidRPr="00F7263B">
        <w:rPr>
          <w:sz w:val="20"/>
          <w:szCs w:val="20"/>
        </w:rPr>
        <w:t xml:space="preserve">.  </w:t>
      </w:r>
      <w:r w:rsidR="005B351A" w:rsidRPr="00F7263B">
        <w:rPr>
          <w:sz w:val="20"/>
          <w:szCs w:val="20"/>
        </w:rPr>
        <w:t>Semi</w:t>
      </w:r>
      <w:r w:rsidR="00AB461F" w:rsidRPr="00F7263B">
        <w:rPr>
          <w:sz w:val="20"/>
          <w:szCs w:val="20"/>
        </w:rPr>
        <w:t>-</w:t>
      </w:r>
      <w:r w:rsidR="005B351A" w:rsidRPr="00F7263B">
        <w:rPr>
          <w:sz w:val="20"/>
          <w:szCs w:val="20"/>
        </w:rPr>
        <w:t>annual</w:t>
      </w:r>
      <w:r w:rsidR="002E6E1E">
        <w:rPr>
          <w:sz w:val="20"/>
          <w:szCs w:val="20"/>
        </w:rPr>
        <w:t xml:space="preserve"> </w:t>
      </w:r>
      <w:r w:rsidR="004D2B36" w:rsidRPr="00F7263B">
        <w:rPr>
          <w:sz w:val="20"/>
          <w:szCs w:val="20"/>
        </w:rPr>
        <w:t>financial reports also will report on the budget utilization including variances analysis and explanation for the reasons leading them.</w:t>
      </w:r>
    </w:p>
    <w:p w:rsidR="008B423D" w:rsidRPr="00F7263B" w:rsidRDefault="008B423D" w:rsidP="004D2B36">
      <w:pPr>
        <w:autoSpaceDE w:val="0"/>
        <w:autoSpaceDN w:val="0"/>
        <w:adjustRightInd w:val="0"/>
        <w:ind w:left="720"/>
        <w:contextualSpacing/>
        <w:jc w:val="both"/>
        <w:rPr>
          <w:color w:val="000000"/>
          <w:sz w:val="20"/>
          <w:szCs w:val="20"/>
        </w:rPr>
      </w:pPr>
    </w:p>
    <w:p w:rsidR="006E7278" w:rsidRPr="00F7263B" w:rsidRDefault="00450F86" w:rsidP="00056FC8">
      <w:pPr>
        <w:pStyle w:val="ListParagraph"/>
        <w:numPr>
          <w:ilvl w:val="0"/>
          <w:numId w:val="77"/>
        </w:numPr>
        <w:autoSpaceDE w:val="0"/>
        <w:autoSpaceDN w:val="0"/>
        <w:adjustRightInd w:val="0"/>
        <w:ind w:left="1440" w:hanging="720"/>
        <w:jc w:val="both"/>
        <w:rPr>
          <w:color w:val="000000"/>
          <w:sz w:val="20"/>
          <w:szCs w:val="20"/>
          <w:lang w:val="en-GB"/>
        </w:rPr>
      </w:pPr>
      <w:r w:rsidRPr="00F7263B">
        <w:rPr>
          <w:b/>
          <w:color w:val="000000"/>
          <w:sz w:val="20"/>
          <w:szCs w:val="20"/>
        </w:rPr>
        <w:t>Treasury management and flow of f</w:t>
      </w:r>
      <w:r w:rsidR="004D2B36" w:rsidRPr="00F7263B">
        <w:rPr>
          <w:b/>
          <w:color w:val="000000"/>
          <w:sz w:val="20"/>
          <w:szCs w:val="20"/>
        </w:rPr>
        <w:t>unds</w:t>
      </w:r>
      <w:r w:rsidRPr="00F7263B">
        <w:rPr>
          <w:color w:val="000000"/>
          <w:sz w:val="20"/>
          <w:szCs w:val="20"/>
        </w:rPr>
        <w:t>.</w:t>
      </w:r>
      <w:r w:rsidR="00DD6295">
        <w:rPr>
          <w:color w:val="000000"/>
          <w:sz w:val="20"/>
          <w:szCs w:val="20"/>
        </w:rPr>
        <w:t xml:space="preserve"> </w:t>
      </w:r>
      <w:r w:rsidR="004D2B36" w:rsidRPr="00F7263B">
        <w:rPr>
          <w:color w:val="000000"/>
          <w:sz w:val="20"/>
          <w:szCs w:val="20"/>
        </w:rPr>
        <w:t>The experience during ULGDP I has been that absorption and release of funds during the first three years of the program was slow</w:t>
      </w:r>
      <w:r w:rsidRPr="00F7263B">
        <w:rPr>
          <w:color w:val="000000"/>
          <w:sz w:val="20"/>
          <w:szCs w:val="20"/>
        </w:rPr>
        <w:t xml:space="preserve">.  </w:t>
      </w:r>
      <w:r w:rsidR="004D2B36" w:rsidRPr="00F7263B">
        <w:rPr>
          <w:color w:val="000000"/>
          <w:sz w:val="20"/>
          <w:szCs w:val="20"/>
        </w:rPr>
        <w:t xml:space="preserve">An initial allocation of </w:t>
      </w:r>
      <w:r w:rsidRPr="00F7263B">
        <w:rPr>
          <w:color w:val="000000"/>
          <w:sz w:val="20"/>
          <w:szCs w:val="20"/>
        </w:rPr>
        <w:t>US</w:t>
      </w:r>
      <w:r w:rsidR="004D2B36" w:rsidRPr="00F7263B">
        <w:rPr>
          <w:color w:val="000000"/>
          <w:sz w:val="20"/>
          <w:szCs w:val="20"/>
        </w:rPr>
        <w:t>$99 m</w:t>
      </w:r>
      <w:r w:rsidRPr="00F7263B">
        <w:rPr>
          <w:color w:val="000000"/>
          <w:sz w:val="20"/>
          <w:szCs w:val="20"/>
        </w:rPr>
        <w:t>illio</w:t>
      </w:r>
      <w:r w:rsidR="004D2B36" w:rsidRPr="00F7263B">
        <w:rPr>
          <w:color w:val="000000"/>
          <w:sz w:val="20"/>
          <w:szCs w:val="20"/>
        </w:rPr>
        <w:t>n was made at the start of the program</w:t>
      </w:r>
      <w:r w:rsidRPr="00F7263B">
        <w:rPr>
          <w:color w:val="000000"/>
          <w:sz w:val="20"/>
          <w:szCs w:val="20"/>
        </w:rPr>
        <w:t xml:space="preserve">.  </w:t>
      </w:r>
      <w:r w:rsidR="004D2B36" w:rsidRPr="00F7263B">
        <w:rPr>
          <w:color w:val="000000"/>
          <w:sz w:val="20"/>
          <w:szCs w:val="20"/>
        </w:rPr>
        <w:t>Three years later, 35</w:t>
      </w:r>
      <w:r w:rsidRPr="00F7263B">
        <w:rPr>
          <w:color w:val="000000"/>
          <w:sz w:val="20"/>
          <w:szCs w:val="20"/>
        </w:rPr>
        <w:t xml:space="preserve"> percent</w:t>
      </w:r>
      <w:r w:rsidR="004D2B36" w:rsidRPr="00F7263B">
        <w:rPr>
          <w:color w:val="000000"/>
          <w:sz w:val="20"/>
          <w:szCs w:val="20"/>
        </w:rPr>
        <w:t xml:space="preserve"> of the initial allocation was not utilized</w:t>
      </w:r>
      <w:r w:rsidRPr="00F7263B">
        <w:rPr>
          <w:color w:val="000000"/>
          <w:sz w:val="20"/>
          <w:szCs w:val="20"/>
        </w:rPr>
        <w:t xml:space="preserve">.  </w:t>
      </w:r>
      <w:r w:rsidR="004D2B36" w:rsidRPr="00F7263B">
        <w:rPr>
          <w:color w:val="000000"/>
          <w:sz w:val="20"/>
          <w:szCs w:val="20"/>
        </w:rPr>
        <w:t>Cities in the ULGDP have voiced their concerns regarding the flow of funds</w:t>
      </w:r>
      <w:r w:rsidRPr="00F7263B">
        <w:rPr>
          <w:color w:val="000000"/>
          <w:sz w:val="20"/>
          <w:szCs w:val="20"/>
        </w:rPr>
        <w:t xml:space="preserve">.  </w:t>
      </w:r>
      <w:r w:rsidR="004D2B36" w:rsidRPr="00F7263B">
        <w:rPr>
          <w:color w:val="000000"/>
          <w:sz w:val="20"/>
          <w:szCs w:val="20"/>
        </w:rPr>
        <w:t xml:space="preserve">Things have improved in recent years and the program is expected to fully disburse </w:t>
      </w:r>
      <w:r w:rsidRPr="00F7263B">
        <w:rPr>
          <w:color w:val="000000"/>
          <w:sz w:val="20"/>
          <w:szCs w:val="20"/>
        </w:rPr>
        <w:t>US</w:t>
      </w:r>
      <w:r w:rsidR="004D2B36" w:rsidRPr="00F7263B">
        <w:rPr>
          <w:color w:val="000000"/>
          <w:sz w:val="20"/>
          <w:szCs w:val="20"/>
        </w:rPr>
        <w:t xml:space="preserve">$300 </w:t>
      </w:r>
      <w:r w:rsidRPr="00F7263B">
        <w:rPr>
          <w:color w:val="000000"/>
          <w:sz w:val="20"/>
          <w:szCs w:val="20"/>
        </w:rPr>
        <w:t>million</w:t>
      </w:r>
      <w:r w:rsidR="004D2B36" w:rsidRPr="00F7263B">
        <w:rPr>
          <w:color w:val="000000"/>
          <w:sz w:val="20"/>
          <w:szCs w:val="20"/>
        </w:rPr>
        <w:t xml:space="preserve"> by the end of the program in December 2014</w:t>
      </w:r>
      <w:r w:rsidRPr="00F7263B">
        <w:rPr>
          <w:color w:val="000000"/>
          <w:sz w:val="20"/>
          <w:szCs w:val="20"/>
        </w:rPr>
        <w:t xml:space="preserve">.  </w:t>
      </w:r>
    </w:p>
    <w:p w:rsidR="00450F86" w:rsidRPr="00F7263B" w:rsidRDefault="00450F86" w:rsidP="00450F86">
      <w:pPr>
        <w:pStyle w:val="ListParagraph"/>
        <w:autoSpaceDE w:val="0"/>
        <w:autoSpaceDN w:val="0"/>
        <w:adjustRightInd w:val="0"/>
        <w:ind w:left="1440"/>
        <w:jc w:val="both"/>
        <w:rPr>
          <w:color w:val="000000"/>
          <w:sz w:val="20"/>
          <w:szCs w:val="20"/>
          <w:lang w:val="en-GB"/>
        </w:rPr>
      </w:pPr>
    </w:p>
    <w:p w:rsidR="005B53BB" w:rsidRPr="00F7263B" w:rsidRDefault="004D2B36" w:rsidP="005B53BB">
      <w:pPr>
        <w:autoSpaceDE w:val="0"/>
        <w:autoSpaceDN w:val="0"/>
        <w:adjustRightInd w:val="0"/>
        <w:ind w:left="1440"/>
        <w:contextualSpacing/>
        <w:jc w:val="both"/>
        <w:rPr>
          <w:color w:val="000000"/>
          <w:sz w:val="20"/>
          <w:szCs w:val="20"/>
          <w:lang w:val="en-GB"/>
        </w:rPr>
      </w:pPr>
      <w:r w:rsidRPr="00F7263B">
        <w:rPr>
          <w:color w:val="000000"/>
          <w:sz w:val="20"/>
          <w:szCs w:val="20"/>
        </w:rPr>
        <w:t>Disbursement</w:t>
      </w:r>
      <w:r w:rsidRPr="00F7263B">
        <w:rPr>
          <w:color w:val="000000"/>
          <w:sz w:val="20"/>
          <w:szCs w:val="20"/>
          <w:lang w:val="en-GB"/>
        </w:rPr>
        <w:t xml:space="preserve"> of program funds will be made upon achievement of the disbursement linked indicators (DLI) twice a year</w:t>
      </w:r>
      <w:r w:rsidR="00450F86" w:rsidRPr="00F7263B">
        <w:rPr>
          <w:color w:val="000000"/>
          <w:sz w:val="20"/>
          <w:szCs w:val="20"/>
          <w:lang w:val="en-GB"/>
        </w:rPr>
        <w:t xml:space="preserve">.  </w:t>
      </w:r>
      <w:r w:rsidRPr="00F7263B">
        <w:rPr>
          <w:color w:val="000000"/>
          <w:sz w:val="20"/>
          <w:szCs w:val="20"/>
          <w:lang w:val="en-GB"/>
        </w:rPr>
        <w:t>Funds will be deposited to the Treasury or a separate foreign currency account</w:t>
      </w:r>
      <w:r w:rsidR="00450F86" w:rsidRPr="00F7263B">
        <w:rPr>
          <w:color w:val="000000"/>
          <w:sz w:val="20"/>
          <w:szCs w:val="20"/>
          <w:lang w:val="en-GB"/>
        </w:rPr>
        <w:t xml:space="preserve">.  </w:t>
      </w:r>
      <w:r w:rsidRPr="00F7263B">
        <w:rPr>
          <w:color w:val="000000"/>
          <w:sz w:val="20"/>
          <w:szCs w:val="20"/>
          <w:lang w:val="en-GB"/>
        </w:rPr>
        <w:t xml:space="preserve">Upon achievement of the indicators, the </w:t>
      </w:r>
      <w:r w:rsidR="005B351A" w:rsidRPr="00F7263B">
        <w:rPr>
          <w:color w:val="000000"/>
          <w:sz w:val="20"/>
          <w:szCs w:val="20"/>
          <w:lang w:val="en-GB"/>
        </w:rPr>
        <w:t>MUDHC</w:t>
      </w:r>
      <w:r w:rsidR="0053260E" w:rsidRPr="00F7263B">
        <w:rPr>
          <w:color w:val="000000"/>
          <w:sz w:val="20"/>
          <w:szCs w:val="20"/>
          <w:lang w:val="en-GB"/>
        </w:rPr>
        <w:t>o</w:t>
      </w:r>
      <w:r w:rsidRPr="00F7263B">
        <w:rPr>
          <w:color w:val="000000"/>
          <w:sz w:val="20"/>
          <w:szCs w:val="20"/>
          <w:lang w:val="en-GB"/>
        </w:rPr>
        <w:t xml:space="preserve"> will work with MoFED to inform the World Bank and provide evidence as per the verification protocols, as justification that results for the DLI have been met</w:t>
      </w:r>
      <w:r w:rsidR="00450F86" w:rsidRPr="00F7263B">
        <w:rPr>
          <w:color w:val="000000"/>
          <w:sz w:val="20"/>
          <w:szCs w:val="20"/>
          <w:lang w:val="en-GB"/>
        </w:rPr>
        <w:t xml:space="preserve">.  </w:t>
      </w:r>
      <w:r w:rsidRPr="00F7263B">
        <w:rPr>
          <w:color w:val="000000"/>
          <w:sz w:val="20"/>
          <w:szCs w:val="20"/>
          <w:lang w:val="en-GB"/>
        </w:rPr>
        <w:t>In case of a scalable DLI, the task team will determine the amount to be disbursed on the basis of the programs progress report and DLI verification protocol</w:t>
      </w:r>
      <w:r w:rsidR="00450F86" w:rsidRPr="00F7263B">
        <w:rPr>
          <w:color w:val="000000"/>
          <w:sz w:val="20"/>
          <w:szCs w:val="20"/>
          <w:lang w:val="en-GB"/>
        </w:rPr>
        <w:t xml:space="preserve">.  </w:t>
      </w:r>
      <w:r w:rsidRPr="00F7263B">
        <w:rPr>
          <w:color w:val="000000"/>
          <w:sz w:val="20"/>
          <w:szCs w:val="20"/>
          <w:lang w:val="en-GB"/>
        </w:rPr>
        <w:t>A notification will be made to the borrower to advise the amount to be disbursed against progress achieved towards the results of the scalable DLI</w:t>
      </w:r>
      <w:r w:rsidR="00450F86" w:rsidRPr="00F7263B">
        <w:rPr>
          <w:color w:val="000000"/>
          <w:sz w:val="20"/>
          <w:szCs w:val="20"/>
          <w:lang w:val="en-GB"/>
        </w:rPr>
        <w:t xml:space="preserve">.  </w:t>
      </w:r>
      <w:r w:rsidRPr="00F7263B">
        <w:rPr>
          <w:color w:val="000000"/>
          <w:sz w:val="20"/>
          <w:szCs w:val="20"/>
          <w:lang w:val="en-GB"/>
        </w:rPr>
        <w:t>Disbursement requests will be submitted to the Bank using the Bank’s standard disbursement forms signed by an authorized signatory</w:t>
      </w:r>
      <w:r w:rsidR="00450F86" w:rsidRPr="00F7263B">
        <w:rPr>
          <w:color w:val="000000"/>
          <w:sz w:val="20"/>
          <w:szCs w:val="20"/>
          <w:lang w:val="en-GB"/>
        </w:rPr>
        <w:t xml:space="preserve">.  </w:t>
      </w:r>
    </w:p>
    <w:p w:rsidR="00713BB0" w:rsidRPr="00F7263B" w:rsidRDefault="00713BB0" w:rsidP="0068255C">
      <w:pPr>
        <w:autoSpaceDE w:val="0"/>
        <w:autoSpaceDN w:val="0"/>
        <w:adjustRightInd w:val="0"/>
        <w:ind w:left="1440"/>
        <w:contextualSpacing/>
        <w:jc w:val="both"/>
        <w:rPr>
          <w:color w:val="000000"/>
          <w:sz w:val="20"/>
          <w:szCs w:val="20"/>
          <w:lang w:val="en-GB"/>
        </w:rPr>
      </w:pPr>
    </w:p>
    <w:p w:rsidR="004D2B36" w:rsidRPr="00F7263B" w:rsidRDefault="004D2B36" w:rsidP="00450F86">
      <w:pPr>
        <w:autoSpaceDE w:val="0"/>
        <w:autoSpaceDN w:val="0"/>
        <w:adjustRightInd w:val="0"/>
        <w:ind w:left="1440"/>
        <w:contextualSpacing/>
        <w:jc w:val="both"/>
        <w:rPr>
          <w:color w:val="000000"/>
          <w:sz w:val="20"/>
          <w:szCs w:val="20"/>
          <w:lang w:val="en-GB"/>
        </w:rPr>
      </w:pPr>
      <w:r w:rsidRPr="00F7263B">
        <w:rPr>
          <w:color w:val="000000"/>
          <w:sz w:val="20"/>
          <w:szCs w:val="20"/>
          <w:lang w:val="en-GB"/>
        </w:rPr>
        <w:t>Although PforR operations do not link disbursements to individual expenditure transactions, the aggregate disbursements under such operations should not exceed the total expenditures by the borrower under the Program over its implementation period</w:t>
      </w:r>
      <w:r w:rsidR="00450F86" w:rsidRPr="00F7263B">
        <w:rPr>
          <w:color w:val="000000"/>
          <w:sz w:val="20"/>
          <w:szCs w:val="20"/>
          <w:lang w:val="en-GB"/>
        </w:rPr>
        <w:t xml:space="preserve">.  </w:t>
      </w:r>
      <w:r w:rsidR="00FF7824" w:rsidRPr="00F7263B">
        <w:rPr>
          <w:color w:val="000000"/>
          <w:sz w:val="20"/>
          <w:szCs w:val="20"/>
          <w:lang w:val="en-GB"/>
        </w:rPr>
        <w:t>If, by Program completion, Bank financing disbursed exceeds the total amount of program expenditures, the borrower is required to refund the difference to the Bank</w:t>
      </w:r>
      <w:r w:rsidR="00056FC8" w:rsidRPr="00F7263B">
        <w:rPr>
          <w:color w:val="000000"/>
          <w:sz w:val="20"/>
          <w:szCs w:val="20"/>
          <w:lang w:val="en-GB"/>
        </w:rPr>
        <w:t>.</w:t>
      </w:r>
    </w:p>
    <w:p w:rsidR="004D2B36" w:rsidRPr="00F7263B" w:rsidRDefault="004D2B36" w:rsidP="00450F86">
      <w:pPr>
        <w:widowControl w:val="0"/>
        <w:autoSpaceDE w:val="0"/>
        <w:autoSpaceDN w:val="0"/>
        <w:adjustRightInd w:val="0"/>
        <w:ind w:left="720" w:right="288"/>
        <w:contextualSpacing/>
        <w:jc w:val="both"/>
        <w:rPr>
          <w:color w:val="000000"/>
          <w:sz w:val="20"/>
          <w:szCs w:val="20"/>
          <w:lang w:val="en-GB"/>
        </w:rPr>
      </w:pPr>
    </w:p>
    <w:p w:rsidR="006E7278" w:rsidRPr="00F7263B" w:rsidRDefault="004D2B36" w:rsidP="00056FC8">
      <w:pPr>
        <w:pStyle w:val="ListParagraph"/>
        <w:numPr>
          <w:ilvl w:val="0"/>
          <w:numId w:val="77"/>
        </w:numPr>
        <w:autoSpaceDE w:val="0"/>
        <w:autoSpaceDN w:val="0"/>
        <w:adjustRightInd w:val="0"/>
        <w:ind w:left="1440" w:hanging="720"/>
        <w:jc w:val="both"/>
        <w:rPr>
          <w:color w:val="000000"/>
          <w:sz w:val="20"/>
          <w:szCs w:val="20"/>
          <w:lang w:val="en-GB"/>
        </w:rPr>
      </w:pPr>
      <w:r w:rsidRPr="00F7263B">
        <w:rPr>
          <w:b/>
          <w:color w:val="000000"/>
          <w:sz w:val="20"/>
          <w:szCs w:val="20"/>
        </w:rPr>
        <w:t>Accounting and Reporting</w:t>
      </w:r>
      <w:r w:rsidR="00450F86" w:rsidRPr="00F7263B">
        <w:rPr>
          <w:b/>
          <w:color w:val="000000"/>
          <w:sz w:val="20"/>
          <w:szCs w:val="20"/>
        </w:rPr>
        <w:t xml:space="preserve">.  </w:t>
      </w:r>
      <w:r w:rsidRPr="00F7263B">
        <w:rPr>
          <w:color w:val="000000"/>
          <w:sz w:val="20"/>
          <w:szCs w:val="20"/>
        </w:rPr>
        <w:t xml:space="preserve">ULGDP has been a Special Purpose Grant that has been provided through </w:t>
      </w:r>
      <w:r w:rsidR="005B351A" w:rsidRPr="00F7263B">
        <w:rPr>
          <w:color w:val="000000"/>
          <w:sz w:val="20"/>
          <w:szCs w:val="20"/>
        </w:rPr>
        <w:t>MUDHC</w:t>
      </w:r>
      <w:r w:rsidR="0053260E" w:rsidRPr="00F7263B">
        <w:rPr>
          <w:color w:val="000000"/>
          <w:sz w:val="20"/>
          <w:szCs w:val="20"/>
        </w:rPr>
        <w:t>o</w:t>
      </w:r>
      <w:r w:rsidRPr="00F7263B">
        <w:rPr>
          <w:color w:val="000000"/>
          <w:sz w:val="20"/>
          <w:szCs w:val="20"/>
        </w:rPr>
        <w:t xml:space="preserve"> to the cities</w:t>
      </w:r>
      <w:r w:rsidR="00450F86" w:rsidRPr="00F7263B">
        <w:rPr>
          <w:color w:val="000000"/>
          <w:sz w:val="20"/>
          <w:szCs w:val="20"/>
        </w:rPr>
        <w:t xml:space="preserve">.  </w:t>
      </w:r>
      <w:r w:rsidRPr="00F7263B">
        <w:rPr>
          <w:color w:val="000000"/>
          <w:sz w:val="20"/>
          <w:szCs w:val="20"/>
        </w:rPr>
        <w:t xml:space="preserve">It is therefore a Channel 2 program that has operated outside the </w:t>
      </w:r>
      <w:r w:rsidRPr="00F7263B">
        <w:rPr>
          <w:color w:val="000000"/>
          <w:sz w:val="20"/>
          <w:szCs w:val="20"/>
        </w:rPr>
        <w:lastRenderedPageBreak/>
        <w:t>core government system at the regional and city levels</w:t>
      </w:r>
      <w:r w:rsidR="00450F86" w:rsidRPr="00F7263B">
        <w:rPr>
          <w:color w:val="000000"/>
          <w:sz w:val="20"/>
          <w:szCs w:val="20"/>
        </w:rPr>
        <w:t>.  During ULGDP, c</w:t>
      </w:r>
      <w:r w:rsidRPr="00F7263B">
        <w:rPr>
          <w:color w:val="000000"/>
          <w:sz w:val="20"/>
          <w:szCs w:val="20"/>
        </w:rPr>
        <w:t>ities used a mix of system for accounting for ULGDP funds</w:t>
      </w:r>
      <w:r w:rsidR="00450F86" w:rsidRPr="00F7263B">
        <w:rPr>
          <w:color w:val="000000"/>
          <w:sz w:val="20"/>
          <w:szCs w:val="20"/>
        </w:rPr>
        <w:t xml:space="preserve">.  </w:t>
      </w:r>
      <w:r w:rsidRPr="00F7263B">
        <w:rPr>
          <w:color w:val="000000"/>
          <w:sz w:val="20"/>
          <w:szCs w:val="20"/>
        </w:rPr>
        <w:t>These were a mix of manual, IBEX and discrete systems such as Peachtree</w:t>
      </w:r>
      <w:r w:rsidR="00450F86" w:rsidRPr="00F7263B">
        <w:rPr>
          <w:color w:val="000000"/>
          <w:sz w:val="20"/>
          <w:szCs w:val="20"/>
        </w:rPr>
        <w:t xml:space="preserve">.  </w:t>
      </w:r>
      <w:r w:rsidRPr="00F7263B">
        <w:rPr>
          <w:color w:val="000000"/>
          <w:sz w:val="20"/>
          <w:szCs w:val="20"/>
        </w:rPr>
        <w:t>Accounting was a major challenge since there were majo</w:t>
      </w:r>
      <w:r w:rsidR="00450F86" w:rsidRPr="00F7263B">
        <w:rPr>
          <w:color w:val="000000"/>
          <w:sz w:val="20"/>
          <w:szCs w:val="20"/>
        </w:rPr>
        <w:t>r variations in figures at the city,</w:t>
      </w:r>
      <w:r w:rsidR="00EF52FE">
        <w:rPr>
          <w:color w:val="000000"/>
          <w:sz w:val="20"/>
          <w:szCs w:val="20"/>
        </w:rPr>
        <w:t xml:space="preserve"> </w:t>
      </w:r>
      <w:r w:rsidR="00450F86" w:rsidRPr="00F7263B">
        <w:rPr>
          <w:color w:val="000000"/>
          <w:sz w:val="20"/>
          <w:szCs w:val="20"/>
        </w:rPr>
        <w:t>r</w:t>
      </w:r>
      <w:r w:rsidRPr="00F7263B">
        <w:rPr>
          <w:color w:val="000000"/>
          <w:sz w:val="20"/>
          <w:szCs w:val="20"/>
        </w:rPr>
        <w:t xml:space="preserve">egional and </w:t>
      </w:r>
      <w:r w:rsidR="00450F86" w:rsidRPr="00F7263B">
        <w:rPr>
          <w:color w:val="000000"/>
          <w:sz w:val="20"/>
          <w:szCs w:val="20"/>
        </w:rPr>
        <w:t>f</w:t>
      </w:r>
      <w:r w:rsidRPr="00F7263B">
        <w:rPr>
          <w:color w:val="000000"/>
          <w:sz w:val="20"/>
          <w:szCs w:val="20"/>
        </w:rPr>
        <w:t>ederal levels</w:t>
      </w:r>
      <w:r w:rsidR="00450F86" w:rsidRPr="00F7263B">
        <w:rPr>
          <w:color w:val="000000"/>
          <w:sz w:val="20"/>
          <w:szCs w:val="20"/>
        </w:rPr>
        <w:t xml:space="preserve">.  </w:t>
      </w:r>
      <w:r w:rsidRPr="00F7263B">
        <w:rPr>
          <w:color w:val="000000"/>
          <w:sz w:val="20"/>
          <w:szCs w:val="20"/>
        </w:rPr>
        <w:t>Over the course of the program, the quality of accounting and reporting has improved significantly but is still a challenge in some of the 18 cities who joined the program in 2008</w:t>
      </w:r>
      <w:r w:rsidR="00450F86" w:rsidRPr="00F7263B">
        <w:rPr>
          <w:color w:val="000000"/>
          <w:sz w:val="20"/>
          <w:szCs w:val="20"/>
        </w:rPr>
        <w:t xml:space="preserve">.  </w:t>
      </w:r>
      <w:r w:rsidRPr="00F7263B">
        <w:rPr>
          <w:color w:val="000000"/>
          <w:sz w:val="20"/>
          <w:szCs w:val="20"/>
        </w:rPr>
        <w:t>For the 26 new cities joining the program, this is going to be a challenge</w:t>
      </w:r>
      <w:r w:rsidR="00450F86" w:rsidRPr="00F7263B">
        <w:rPr>
          <w:color w:val="000000"/>
          <w:sz w:val="20"/>
          <w:szCs w:val="20"/>
        </w:rPr>
        <w:t xml:space="preserve">.  </w:t>
      </w:r>
      <w:r w:rsidRPr="00F7263B">
        <w:rPr>
          <w:color w:val="000000"/>
          <w:sz w:val="20"/>
          <w:szCs w:val="20"/>
        </w:rPr>
        <w:t>In 58</w:t>
      </w:r>
      <w:r w:rsidR="00450F86" w:rsidRPr="00F7263B">
        <w:rPr>
          <w:color w:val="000000"/>
          <w:sz w:val="20"/>
          <w:szCs w:val="20"/>
        </w:rPr>
        <w:t xml:space="preserve"> percent</w:t>
      </w:r>
      <w:r w:rsidRPr="00F7263B">
        <w:rPr>
          <w:color w:val="000000"/>
          <w:sz w:val="20"/>
          <w:szCs w:val="20"/>
        </w:rPr>
        <w:t xml:space="preserve"> of these cities cash flow statements are not prepared in a timely manner, the timeliness of cities who submit reports in a timely manner to BOFEDs per quarter varies from 46</w:t>
      </w:r>
      <w:r w:rsidR="00450F86" w:rsidRPr="00F7263B">
        <w:rPr>
          <w:color w:val="000000"/>
          <w:sz w:val="20"/>
          <w:szCs w:val="20"/>
        </w:rPr>
        <w:t xml:space="preserve"> percent</w:t>
      </w:r>
      <w:r w:rsidRPr="00F7263B">
        <w:rPr>
          <w:color w:val="000000"/>
          <w:sz w:val="20"/>
          <w:szCs w:val="20"/>
        </w:rPr>
        <w:t xml:space="preserve"> to 76</w:t>
      </w:r>
      <w:r w:rsidR="00450F86" w:rsidRPr="00F7263B">
        <w:rPr>
          <w:color w:val="000000"/>
          <w:sz w:val="20"/>
          <w:szCs w:val="20"/>
        </w:rPr>
        <w:t xml:space="preserve"> percent</w:t>
      </w:r>
      <w:r w:rsidRPr="00F7263B">
        <w:rPr>
          <w:color w:val="000000"/>
          <w:sz w:val="20"/>
          <w:szCs w:val="20"/>
        </w:rPr>
        <w:t xml:space="preserve"> and only 38</w:t>
      </w:r>
      <w:r w:rsidR="00450F86" w:rsidRPr="00F7263B">
        <w:rPr>
          <w:color w:val="000000"/>
          <w:sz w:val="20"/>
          <w:szCs w:val="20"/>
        </w:rPr>
        <w:t xml:space="preserve"> percent</w:t>
      </w:r>
      <w:r w:rsidRPr="00F7263B">
        <w:rPr>
          <w:color w:val="000000"/>
          <w:sz w:val="20"/>
          <w:szCs w:val="20"/>
        </w:rPr>
        <w:t xml:space="preserve"> of cities generate income and expenditure statements in a timely manner</w:t>
      </w:r>
      <w:r w:rsidR="00450F86" w:rsidRPr="00F7263B">
        <w:rPr>
          <w:color w:val="000000"/>
          <w:sz w:val="20"/>
          <w:szCs w:val="20"/>
        </w:rPr>
        <w:t xml:space="preserve">.  </w:t>
      </w:r>
      <w:r w:rsidRPr="00F7263B">
        <w:rPr>
          <w:color w:val="000000"/>
          <w:sz w:val="20"/>
          <w:szCs w:val="20"/>
        </w:rPr>
        <w:t>IBEX has been introduced in all cities for core government operations</w:t>
      </w:r>
      <w:r w:rsidR="00450F86" w:rsidRPr="00F7263B">
        <w:rPr>
          <w:color w:val="000000"/>
          <w:sz w:val="20"/>
          <w:szCs w:val="20"/>
        </w:rPr>
        <w:t xml:space="preserve">.  </w:t>
      </w:r>
      <w:r w:rsidRPr="00F7263B">
        <w:rPr>
          <w:color w:val="000000"/>
          <w:sz w:val="20"/>
          <w:szCs w:val="20"/>
        </w:rPr>
        <w:t>Only a few of these cities are using IBEX for accounting and reporting on donor funded projects.</w:t>
      </w:r>
    </w:p>
    <w:p w:rsidR="00450F86" w:rsidRPr="00F7263B" w:rsidRDefault="00450F86" w:rsidP="00450F86">
      <w:pPr>
        <w:pStyle w:val="ListParagraph"/>
        <w:autoSpaceDE w:val="0"/>
        <w:autoSpaceDN w:val="0"/>
        <w:adjustRightInd w:val="0"/>
        <w:ind w:left="1440"/>
        <w:jc w:val="both"/>
        <w:rPr>
          <w:color w:val="000000"/>
          <w:sz w:val="20"/>
          <w:szCs w:val="20"/>
          <w:lang w:val="en-GB"/>
        </w:rPr>
      </w:pPr>
    </w:p>
    <w:p w:rsidR="004D2B36" w:rsidRPr="00F7263B" w:rsidRDefault="004D2B36" w:rsidP="00450F86">
      <w:pPr>
        <w:autoSpaceDE w:val="0"/>
        <w:autoSpaceDN w:val="0"/>
        <w:adjustRightInd w:val="0"/>
        <w:ind w:left="1440"/>
        <w:jc w:val="both"/>
        <w:rPr>
          <w:color w:val="000000"/>
          <w:sz w:val="20"/>
          <w:szCs w:val="20"/>
          <w:lang w:val="en-GB"/>
        </w:rPr>
      </w:pPr>
      <w:r w:rsidRPr="00F7263B">
        <w:rPr>
          <w:color w:val="000000"/>
          <w:sz w:val="20"/>
          <w:szCs w:val="20"/>
        </w:rPr>
        <w:t>Government</w:t>
      </w:r>
      <w:r w:rsidRPr="00F7263B">
        <w:rPr>
          <w:color w:val="000000"/>
          <w:sz w:val="20"/>
          <w:szCs w:val="20"/>
          <w:lang w:val="en-GB"/>
        </w:rPr>
        <w:t xml:space="preserve"> rules/regulations and directives as well as manuals will be in use for the Program in respect to accounting policies and procedures</w:t>
      </w:r>
      <w:r w:rsidR="00450F86" w:rsidRPr="00F7263B">
        <w:rPr>
          <w:color w:val="000000"/>
          <w:sz w:val="20"/>
          <w:szCs w:val="20"/>
          <w:lang w:val="en-GB"/>
        </w:rPr>
        <w:t xml:space="preserve">.  </w:t>
      </w:r>
      <w:r w:rsidRPr="00F7263B">
        <w:rPr>
          <w:color w:val="000000"/>
          <w:sz w:val="20"/>
          <w:szCs w:val="20"/>
          <w:lang w:val="en-GB"/>
        </w:rPr>
        <w:t xml:space="preserve">Chart of accounts will be clarified to take on board of program accounting and reporting needs and this will be documented </w:t>
      </w:r>
      <w:r w:rsidR="005B351A" w:rsidRPr="00F7263B">
        <w:rPr>
          <w:color w:val="000000"/>
          <w:sz w:val="20"/>
          <w:szCs w:val="20"/>
          <w:lang w:val="en-GB"/>
        </w:rPr>
        <w:t>in the Program Operating Manua</w:t>
      </w:r>
      <w:r w:rsidR="00DA2BBC" w:rsidRPr="00F7263B">
        <w:rPr>
          <w:color w:val="000000"/>
          <w:sz w:val="20"/>
          <w:szCs w:val="20"/>
          <w:lang w:val="en-GB"/>
        </w:rPr>
        <w:t>l</w:t>
      </w:r>
      <w:r w:rsidR="00450F86" w:rsidRPr="00F7263B">
        <w:rPr>
          <w:color w:val="000000"/>
          <w:sz w:val="20"/>
          <w:szCs w:val="20"/>
          <w:lang w:val="en-GB"/>
        </w:rPr>
        <w:t xml:space="preserve">.  </w:t>
      </w:r>
      <w:r w:rsidRPr="00F7263B">
        <w:rPr>
          <w:color w:val="000000"/>
          <w:sz w:val="20"/>
          <w:szCs w:val="20"/>
          <w:lang w:val="en-GB"/>
        </w:rPr>
        <w:t>IBEX will be used by all participating cities to record transactions and to produce reports at all levels</w:t>
      </w:r>
      <w:r w:rsidR="00450F86" w:rsidRPr="00F7263B">
        <w:rPr>
          <w:color w:val="000000"/>
          <w:sz w:val="20"/>
          <w:szCs w:val="20"/>
          <w:lang w:val="en-GB"/>
        </w:rPr>
        <w:t xml:space="preserve">.  </w:t>
      </w:r>
      <w:r w:rsidRPr="00F7263B">
        <w:rPr>
          <w:color w:val="000000"/>
          <w:sz w:val="20"/>
          <w:szCs w:val="20"/>
          <w:lang w:val="en-GB"/>
        </w:rPr>
        <w:t>Adequate capacity building will be provided to cities to enable them to utilize this software effectively for ULGDP II</w:t>
      </w:r>
      <w:r w:rsidR="00450F86" w:rsidRPr="00F7263B">
        <w:rPr>
          <w:color w:val="000000"/>
          <w:sz w:val="20"/>
          <w:szCs w:val="20"/>
          <w:lang w:val="en-GB"/>
        </w:rPr>
        <w:t xml:space="preserve">.  </w:t>
      </w:r>
      <w:r w:rsidRPr="00F7263B">
        <w:rPr>
          <w:color w:val="000000"/>
          <w:sz w:val="20"/>
          <w:szCs w:val="20"/>
          <w:lang w:val="en-GB"/>
        </w:rPr>
        <w:t xml:space="preserve">The Program will allocate adequate financial management staff at MoFED, </w:t>
      </w:r>
      <w:r w:rsidR="005B351A" w:rsidRPr="00F7263B">
        <w:rPr>
          <w:color w:val="000000"/>
          <w:sz w:val="20"/>
          <w:szCs w:val="20"/>
          <w:lang w:val="en-GB"/>
        </w:rPr>
        <w:t>MUDHC</w:t>
      </w:r>
      <w:r w:rsidR="0053260E" w:rsidRPr="00F7263B">
        <w:rPr>
          <w:color w:val="000000"/>
          <w:sz w:val="20"/>
          <w:szCs w:val="20"/>
          <w:lang w:val="en-GB"/>
        </w:rPr>
        <w:t>o</w:t>
      </w:r>
      <w:r w:rsidRPr="00F7263B">
        <w:rPr>
          <w:color w:val="000000"/>
          <w:sz w:val="20"/>
          <w:szCs w:val="20"/>
          <w:lang w:val="en-GB"/>
        </w:rPr>
        <w:t xml:space="preserve"> and ULGs to perform program FM duties</w:t>
      </w:r>
      <w:r w:rsidR="00450F86" w:rsidRPr="00F7263B">
        <w:rPr>
          <w:color w:val="000000"/>
          <w:sz w:val="20"/>
          <w:szCs w:val="20"/>
          <w:lang w:val="en-GB"/>
        </w:rPr>
        <w:t xml:space="preserve">.  </w:t>
      </w:r>
    </w:p>
    <w:p w:rsidR="00450F86" w:rsidRPr="00F7263B" w:rsidRDefault="00450F86" w:rsidP="00450F86">
      <w:pPr>
        <w:autoSpaceDE w:val="0"/>
        <w:autoSpaceDN w:val="0"/>
        <w:adjustRightInd w:val="0"/>
        <w:ind w:left="1440"/>
        <w:jc w:val="both"/>
        <w:rPr>
          <w:color w:val="000000"/>
          <w:sz w:val="20"/>
          <w:szCs w:val="20"/>
          <w:lang w:val="en-GB"/>
        </w:rPr>
      </w:pPr>
    </w:p>
    <w:p w:rsidR="004D2B36" w:rsidRPr="00F7263B" w:rsidRDefault="005B351A" w:rsidP="00450F86">
      <w:pPr>
        <w:autoSpaceDE w:val="0"/>
        <w:autoSpaceDN w:val="0"/>
        <w:adjustRightInd w:val="0"/>
        <w:ind w:left="1440"/>
        <w:jc w:val="both"/>
        <w:rPr>
          <w:color w:val="000000"/>
          <w:sz w:val="20"/>
          <w:szCs w:val="20"/>
          <w:lang w:val="en-GB"/>
        </w:rPr>
      </w:pPr>
      <w:r w:rsidRPr="00F7263B">
        <w:rPr>
          <w:color w:val="000000"/>
          <w:sz w:val="20"/>
          <w:szCs w:val="20"/>
        </w:rPr>
        <w:t>Semiannual</w:t>
      </w:r>
      <w:r w:rsidR="004D2B36" w:rsidRPr="00F7263B">
        <w:rPr>
          <w:color w:val="000000"/>
          <w:sz w:val="20"/>
          <w:szCs w:val="20"/>
          <w:lang w:val="en-GB"/>
        </w:rPr>
        <w:t xml:space="preserve">accounting reports, the </w:t>
      </w:r>
      <w:r w:rsidR="00AB461F" w:rsidRPr="00F7263B">
        <w:rPr>
          <w:color w:val="000000"/>
          <w:sz w:val="20"/>
          <w:szCs w:val="20"/>
          <w:lang w:val="en-GB"/>
        </w:rPr>
        <w:t>f</w:t>
      </w:r>
      <w:r w:rsidR="004D2B36" w:rsidRPr="00F7263B">
        <w:rPr>
          <w:color w:val="000000"/>
          <w:sz w:val="20"/>
          <w:szCs w:val="20"/>
          <w:lang w:val="en-GB"/>
        </w:rPr>
        <w:t>ormat of which has been agreed will be used, to report on the use of program resources</w:t>
      </w:r>
      <w:r w:rsidR="00450F86" w:rsidRPr="00F7263B">
        <w:rPr>
          <w:color w:val="000000"/>
          <w:sz w:val="20"/>
          <w:szCs w:val="20"/>
          <w:lang w:val="en-GB"/>
        </w:rPr>
        <w:t xml:space="preserve">.  </w:t>
      </w:r>
      <w:r w:rsidR="004D2B36" w:rsidRPr="00F7263B">
        <w:rPr>
          <w:color w:val="000000"/>
          <w:sz w:val="20"/>
          <w:szCs w:val="20"/>
          <w:lang w:val="en-GB"/>
        </w:rPr>
        <w:t>The</w:t>
      </w:r>
      <w:r w:rsidRPr="00F7263B">
        <w:rPr>
          <w:color w:val="000000"/>
          <w:sz w:val="20"/>
          <w:szCs w:val="20"/>
          <w:lang w:val="en-GB"/>
        </w:rPr>
        <w:t>se</w:t>
      </w:r>
      <w:r w:rsidR="004D2B36" w:rsidRPr="00F7263B">
        <w:rPr>
          <w:color w:val="000000"/>
          <w:sz w:val="20"/>
          <w:szCs w:val="20"/>
          <w:lang w:val="en-GB"/>
        </w:rPr>
        <w:t xml:space="preserve"> reports will be submitted to the World Bank by MoFED within 45 days </w:t>
      </w:r>
      <w:r w:rsidR="00DA2BBC" w:rsidRPr="00F7263B">
        <w:rPr>
          <w:color w:val="000000"/>
          <w:sz w:val="20"/>
          <w:szCs w:val="20"/>
          <w:lang w:val="en-GB"/>
        </w:rPr>
        <w:t>at the end of the half year</w:t>
      </w:r>
      <w:r w:rsidRPr="00F7263B">
        <w:rPr>
          <w:color w:val="000000"/>
          <w:sz w:val="20"/>
          <w:szCs w:val="20"/>
          <w:lang w:val="en-GB"/>
        </w:rPr>
        <w:t xml:space="preserve"> (semi</w:t>
      </w:r>
      <w:r w:rsidR="0079568E">
        <w:rPr>
          <w:color w:val="000000"/>
          <w:sz w:val="20"/>
          <w:szCs w:val="20"/>
          <w:lang w:val="en-GB"/>
        </w:rPr>
        <w:t xml:space="preserve"> </w:t>
      </w:r>
      <w:r w:rsidRPr="00F7263B">
        <w:rPr>
          <w:color w:val="000000"/>
          <w:sz w:val="20"/>
          <w:szCs w:val="20"/>
          <w:lang w:val="en-GB"/>
        </w:rPr>
        <w:t>annual end date)</w:t>
      </w:r>
      <w:r w:rsidR="00450F86" w:rsidRPr="00F7263B">
        <w:rPr>
          <w:color w:val="000000"/>
          <w:sz w:val="20"/>
          <w:szCs w:val="20"/>
          <w:lang w:val="en-GB"/>
        </w:rPr>
        <w:t xml:space="preserve">.  </w:t>
      </w:r>
      <w:r w:rsidR="004D2B36" w:rsidRPr="00F7263B">
        <w:rPr>
          <w:color w:val="000000"/>
          <w:sz w:val="20"/>
          <w:szCs w:val="20"/>
          <w:lang w:val="en-GB"/>
        </w:rPr>
        <w:t>Program financial reports will be produced from the existing system and their production will be the responsibility of the each implementing entity which will be consolidated at the higher level and at the end by MoFED</w:t>
      </w:r>
      <w:r w:rsidR="00450F86" w:rsidRPr="00F7263B">
        <w:rPr>
          <w:color w:val="000000"/>
          <w:sz w:val="20"/>
          <w:szCs w:val="20"/>
          <w:lang w:val="en-GB"/>
        </w:rPr>
        <w:t xml:space="preserve">.  </w:t>
      </w:r>
      <w:r w:rsidR="004D2B36" w:rsidRPr="00F7263B">
        <w:rPr>
          <w:color w:val="000000"/>
          <w:sz w:val="20"/>
          <w:szCs w:val="20"/>
          <w:lang w:val="en-GB"/>
        </w:rPr>
        <w:t xml:space="preserve">(Reports of the ULG’s </w:t>
      </w:r>
      <w:r w:rsidRPr="00F7263B">
        <w:rPr>
          <w:color w:val="000000"/>
          <w:sz w:val="20"/>
          <w:szCs w:val="20"/>
          <w:lang w:val="en-GB"/>
        </w:rPr>
        <w:t xml:space="preserve">and other regional implementing entities </w:t>
      </w:r>
      <w:r w:rsidR="004D2B36" w:rsidRPr="00F7263B">
        <w:rPr>
          <w:color w:val="000000"/>
          <w:sz w:val="20"/>
          <w:szCs w:val="20"/>
          <w:lang w:val="en-GB"/>
        </w:rPr>
        <w:t>will be consolidated by BoFED</w:t>
      </w:r>
      <w:r w:rsidRPr="00F7263B">
        <w:rPr>
          <w:color w:val="000000"/>
          <w:sz w:val="20"/>
          <w:szCs w:val="20"/>
          <w:lang w:val="en-GB"/>
        </w:rPr>
        <w:t>which will be submitted to MoFED. The</w:t>
      </w:r>
      <w:r w:rsidR="004D2B36" w:rsidRPr="00F7263B">
        <w:rPr>
          <w:color w:val="000000"/>
          <w:sz w:val="20"/>
          <w:szCs w:val="20"/>
          <w:lang w:val="en-GB"/>
        </w:rPr>
        <w:t xml:space="preserve">BoFED and </w:t>
      </w:r>
      <w:r w:rsidRPr="00F7263B">
        <w:rPr>
          <w:color w:val="000000"/>
          <w:sz w:val="20"/>
          <w:szCs w:val="20"/>
          <w:lang w:val="en-GB"/>
        </w:rPr>
        <w:t>MUDHC</w:t>
      </w:r>
      <w:r w:rsidR="0053260E" w:rsidRPr="00F7263B">
        <w:rPr>
          <w:color w:val="000000"/>
          <w:sz w:val="20"/>
          <w:szCs w:val="20"/>
          <w:lang w:val="en-GB"/>
        </w:rPr>
        <w:t>o</w:t>
      </w:r>
      <w:r w:rsidR="004D2B36" w:rsidRPr="00F7263B">
        <w:rPr>
          <w:color w:val="000000"/>
          <w:sz w:val="20"/>
          <w:szCs w:val="20"/>
          <w:lang w:val="en-GB"/>
        </w:rPr>
        <w:t>’s reports will be consolidated by MoFED).</w:t>
      </w:r>
    </w:p>
    <w:p w:rsidR="00450F86" w:rsidRPr="00F7263B" w:rsidRDefault="00450F86" w:rsidP="00450F86">
      <w:pPr>
        <w:autoSpaceDE w:val="0"/>
        <w:autoSpaceDN w:val="0"/>
        <w:adjustRightInd w:val="0"/>
        <w:ind w:left="1440"/>
        <w:jc w:val="both"/>
        <w:rPr>
          <w:color w:val="000000"/>
          <w:sz w:val="20"/>
          <w:szCs w:val="20"/>
          <w:lang w:val="en-GB"/>
        </w:rPr>
      </w:pPr>
    </w:p>
    <w:p w:rsidR="006E7278" w:rsidRPr="00F7263B" w:rsidRDefault="004D2B36" w:rsidP="00056FC8">
      <w:pPr>
        <w:pStyle w:val="ListParagraph"/>
        <w:numPr>
          <w:ilvl w:val="0"/>
          <w:numId w:val="77"/>
        </w:numPr>
        <w:autoSpaceDE w:val="0"/>
        <w:autoSpaceDN w:val="0"/>
        <w:adjustRightInd w:val="0"/>
        <w:ind w:left="1440" w:hanging="720"/>
        <w:jc w:val="both"/>
        <w:rPr>
          <w:color w:val="000000"/>
          <w:sz w:val="20"/>
          <w:szCs w:val="20"/>
          <w:lang w:val="en-GB"/>
        </w:rPr>
      </w:pPr>
      <w:r w:rsidRPr="00F7263B">
        <w:rPr>
          <w:b/>
          <w:color w:val="000000"/>
          <w:sz w:val="20"/>
          <w:szCs w:val="20"/>
          <w:lang w:val="en-GB"/>
        </w:rPr>
        <w:t>Internal controls and internal audit</w:t>
      </w:r>
      <w:r w:rsidR="00450F86" w:rsidRPr="00F7263B">
        <w:rPr>
          <w:color w:val="000000"/>
          <w:sz w:val="20"/>
          <w:szCs w:val="20"/>
          <w:lang w:val="en-GB"/>
        </w:rPr>
        <w:t xml:space="preserve">. </w:t>
      </w:r>
      <w:r w:rsidRPr="00F7263B">
        <w:rPr>
          <w:color w:val="000000"/>
          <w:sz w:val="20"/>
          <w:szCs w:val="20"/>
          <w:lang w:val="en-GB"/>
        </w:rPr>
        <w:t xml:space="preserve"> Government rules/regulations and directives as well as manuals in regards to Internal Control procedures will apply to ULGDP II</w:t>
      </w:r>
      <w:r w:rsidR="00450F86" w:rsidRPr="00F7263B">
        <w:rPr>
          <w:color w:val="000000"/>
          <w:sz w:val="20"/>
          <w:szCs w:val="20"/>
          <w:lang w:val="en-GB"/>
        </w:rPr>
        <w:t xml:space="preserve">.  </w:t>
      </w:r>
      <w:r w:rsidRPr="00F7263B">
        <w:rPr>
          <w:color w:val="000000"/>
          <w:sz w:val="20"/>
          <w:szCs w:val="20"/>
          <w:lang w:val="en-GB"/>
        </w:rPr>
        <w:t>While the internal control framework is generally recognized as being robust, a particular area of weakness in internal audit</w:t>
      </w:r>
      <w:r w:rsidR="00450F86" w:rsidRPr="00F7263B">
        <w:rPr>
          <w:color w:val="000000"/>
          <w:sz w:val="20"/>
          <w:szCs w:val="20"/>
          <w:lang w:val="en-GB"/>
        </w:rPr>
        <w:t xml:space="preserve">.  </w:t>
      </w:r>
      <w:r w:rsidRPr="00F7263B">
        <w:rPr>
          <w:color w:val="000000"/>
          <w:sz w:val="20"/>
          <w:szCs w:val="20"/>
          <w:lang w:val="en-GB"/>
        </w:rPr>
        <w:t>This is an area of weakness in the 18 existing cities in the program as well as in the 26 new cities</w:t>
      </w:r>
      <w:r w:rsidR="00450F86" w:rsidRPr="00F7263B">
        <w:rPr>
          <w:color w:val="000000"/>
          <w:sz w:val="20"/>
          <w:szCs w:val="20"/>
          <w:lang w:val="en-GB"/>
        </w:rPr>
        <w:t xml:space="preserve">.  </w:t>
      </w:r>
      <w:r w:rsidRPr="00F7263B">
        <w:rPr>
          <w:color w:val="000000"/>
          <w:sz w:val="20"/>
          <w:szCs w:val="20"/>
          <w:lang w:val="en-GB"/>
        </w:rPr>
        <w:t>For example, in the 26 new cities joining the program, audit coverage is low and in 77</w:t>
      </w:r>
      <w:r w:rsidR="00450F86" w:rsidRPr="00F7263B">
        <w:rPr>
          <w:color w:val="000000"/>
          <w:sz w:val="20"/>
          <w:szCs w:val="20"/>
          <w:lang w:val="en-GB"/>
        </w:rPr>
        <w:t xml:space="preserve"> percent</w:t>
      </w:r>
      <w:r w:rsidRPr="00F7263B">
        <w:rPr>
          <w:color w:val="000000"/>
          <w:sz w:val="20"/>
          <w:szCs w:val="20"/>
          <w:lang w:val="en-GB"/>
        </w:rPr>
        <w:t xml:space="preserve"> of cities, internal auditors do not assess the quality of quarterly financial statem</w:t>
      </w:r>
      <w:r w:rsidR="00450F86" w:rsidRPr="00F7263B">
        <w:rPr>
          <w:color w:val="000000"/>
          <w:sz w:val="20"/>
          <w:szCs w:val="20"/>
          <w:lang w:val="en-GB"/>
        </w:rPr>
        <w:t>ents submitted by the city to Bo</w:t>
      </w:r>
      <w:r w:rsidRPr="00F7263B">
        <w:rPr>
          <w:color w:val="000000"/>
          <w:sz w:val="20"/>
          <w:szCs w:val="20"/>
          <w:lang w:val="en-GB"/>
        </w:rPr>
        <w:t>FEDs</w:t>
      </w:r>
      <w:r w:rsidR="00450F86" w:rsidRPr="00F7263B">
        <w:rPr>
          <w:color w:val="000000"/>
          <w:sz w:val="20"/>
          <w:szCs w:val="20"/>
          <w:lang w:val="en-GB"/>
        </w:rPr>
        <w:t xml:space="preserve">.  </w:t>
      </w:r>
      <w:r w:rsidRPr="00F7263B">
        <w:rPr>
          <w:color w:val="000000"/>
          <w:sz w:val="20"/>
          <w:szCs w:val="20"/>
          <w:lang w:val="en-GB"/>
        </w:rPr>
        <w:t xml:space="preserve">To deal with this risk, it has been agreed that </w:t>
      </w:r>
      <w:r w:rsidR="004B3487" w:rsidRPr="00F7263B">
        <w:rPr>
          <w:color w:val="000000"/>
          <w:sz w:val="20"/>
          <w:szCs w:val="20"/>
          <w:lang w:val="en-GB"/>
        </w:rPr>
        <w:t>MoFED</w:t>
      </w:r>
      <w:r w:rsidRPr="00F7263B">
        <w:rPr>
          <w:color w:val="000000"/>
          <w:sz w:val="20"/>
          <w:szCs w:val="20"/>
          <w:lang w:val="en-GB"/>
        </w:rPr>
        <w:t>’s Inspection Directorate</w:t>
      </w:r>
      <w:r w:rsidR="005B351A" w:rsidRPr="00F7263B">
        <w:rPr>
          <w:color w:val="000000"/>
          <w:sz w:val="20"/>
          <w:szCs w:val="20"/>
          <w:lang w:val="en-GB"/>
        </w:rPr>
        <w:t>, in collaboration with BoFEDs’ Inspection Directorate,</w:t>
      </w:r>
      <w:r w:rsidRPr="00F7263B">
        <w:rPr>
          <w:color w:val="000000"/>
          <w:sz w:val="20"/>
          <w:szCs w:val="20"/>
          <w:lang w:val="en-GB"/>
        </w:rPr>
        <w:t xml:space="preserve"> will </w:t>
      </w:r>
      <w:r w:rsidR="00450F86" w:rsidRPr="00F7263B">
        <w:rPr>
          <w:color w:val="000000"/>
          <w:sz w:val="20"/>
          <w:szCs w:val="20"/>
          <w:lang w:val="en-GB"/>
        </w:rPr>
        <w:t>work closely with the relevant internal audit departments of the c</w:t>
      </w:r>
      <w:r w:rsidRPr="00F7263B">
        <w:rPr>
          <w:color w:val="000000"/>
          <w:sz w:val="20"/>
          <w:szCs w:val="20"/>
          <w:lang w:val="en-GB"/>
        </w:rPr>
        <w:t>ities and provide on-going support</w:t>
      </w:r>
      <w:r w:rsidR="00450F86" w:rsidRPr="00F7263B">
        <w:rPr>
          <w:color w:val="000000"/>
          <w:sz w:val="20"/>
          <w:szCs w:val="20"/>
          <w:lang w:val="en-GB"/>
        </w:rPr>
        <w:t xml:space="preserve">.  </w:t>
      </w:r>
      <w:r w:rsidRPr="00F7263B">
        <w:rPr>
          <w:color w:val="000000"/>
          <w:sz w:val="20"/>
          <w:szCs w:val="20"/>
          <w:lang w:val="en-GB"/>
        </w:rPr>
        <w:t xml:space="preserve">The </w:t>
      </w:r>
      <w:r w:rsidR="00B1718C" w:rsidRPr="00F7263B">
        <w:rPr>
          <w:color w:val="000000"/>
          <w:sz w:val="20"/>
          <w:szCs w:val="20"/>
          <w:lang w:val="en-GB"/>
        </w:rPr>
        <w:t>Inspector Directorate</w:t>
      </w:r>
      <w:r w:rsidR="00AC4402">
        <w:rPr>
          <w:color w:val="000000"/>
          <w:sz w:val="20"/>
          <w:szCs w:val="20"/>
          <w:lang w:val="en-GB"/>
        </w:rPr>
        <w:t xml:space="preserve"> </w:t>
      </w:r>
      <w:r w:rsidRPr="00F7263B">
        <w:rPr>
          <w:color w:val="000000"/>
          <w:sz w:val="20"/>
          <w:szCs w:val="20"/>
          <w:lang w:val="en-GB"/>
        </w:rPr>
        <w:t>will review internal audit reports on an annual basis</w:t>
      </w:r>
      <w:r w:rsidR="00AB461F" w:rsidRPr="00F7263B">
        <w:rPr>
          <w:color w:val="000000"/>
          <w:sz w:val="20"/>
          <w:szCs w:val="20"/>
          <w:lang w:val="en-GB"/>
        </w:rPr>
        <w:t>,</w:t>
      </w:r>
      <w:r w:rsidRPr="00F7263B">
        <w:rPr>
          <w:color w:val="000000"/>
          <w:sz w:val="20"/>
          <w:szCs w:val="20"/>
          <w:lang w:val="en-GB"/>
        </w:rPr>
        <w:t xml:space="preserve"> following risk based post audit arrangements for the program activities</w:t>
      </w:r>
      <w:r w:rsidR="00450F86" w:rsidRPr="00F7263B">
        <w:rPr>
          <w:color w:val="000000"/>
          <w:sz w:val="20"/>
          <w:szCs w:val="20"/>
          <w:lang w:val="en-GB"/>
        </w:rPr>
        <w:t xml:space="preserve">.  </w:t>
      </w:r>
      <w:r w:rsidRPr="00F7263B">
        <w:rPr>
          <w:color w:val="000000"/>
          <w:sz w:val="20"/>
          <w:szCs w:val="20"/>
          <w:lang w:val="en-GB"/>
        </w:rPr>
        <w:t>To achieve this task, the Directorate will strengthen its capacity and will coordinate with MUD</w:t>
      </w:r>
      <w:r w:rsidR="00450F86" w:rsidRPr="00F7263B">
        <w:rPr>
          <w:color w:val="000000"/>
          <w:sz w:val="20"/>
          <w:szCs w:val="20"/>
          <w:lang w:val="en-GB"/>
        </w:rPr>
        <w:t>H</w:t>
      </w:r>
      <w:r w:rsidRPr="00F7263B">
        <w:rPr>
          <w:color w:val="000000"/>
          <w:sz w:val="20"/>
          <w:szCs w:val="20"/>
          <w:lang w:val="en-GB"/>
        </w:rPr>
        <w:t>C</w:t>
      </w:r>
      <w:r w:rsidR="00450F86" w:rsidRPr="00F7263B">
        <w:rPr>
          <w:color w:val="000000"/>
          <w:sz w:val="20"/>
          <w:szCs w:val="20"/>
          <w:lang w:val="en-GB"/>
        </w:rPr>
        <w:t>o</w:t>
      </w:r>
      <w:r w:rsidRPr="00F7263B">
        <w:rPr>
          <w:color w:val="000000"/>
          <w:sz w:val="20"/>
          <w:szCs w:val="20"/>
          <w:lang w:val="en-GB"/>
        </w:rPr>
        <w:t xml:space="preserve"> and MoFED/C</w:t>
      </w:r>
      <w:r w:rsidR="00B1718C" w:rsidRPr="00F7263B">
        <w:rPr>
          <w:color w:val="000000"/>
          <w:sz w:val="20"/>
          <w:szCs w:val="20"/>
          <w:lang w:val="en-GB"/>
        </w:rPr>
        <w:t xml:space="preserve">hannel </w:t>
      </w:r>
      <w:r w:rsidRPr="00F7263B">
        <w:rPr>
          <w:color w:val="000000"/>
          <w:sz w:val="20"/>
          <w:szCs w:val="20"/>
          <w:lang w:val="en-GB"/>
        </w:rPr>
        <w:t>O</w:t>
      </w:r>
      <w:r w:rsidR="00B1718C" w:rsidRPr="00F7263B">
        <w:rPr>
          <w:color w:val="000000"/>
          <w:sz w:val="20"/>
          <w:szCs w:val="20"/>
          <w:lang w:val="en-GB"/>
        </w:rPr>
        <w:t xml:space="preserve">ne </w:t>
      </w:r>
      <w:r w:rsidRPr="00F7263B">
        <w:rPr>
          <w:color w:val="000000"/>
          <w:sz w:val="20"/>
          <w:szCs w:val="20"/>
          <w:lang w:val="en-GB"/>
        </w:rPr>
        <w:t>P</w:t>
      </w:r>
      <w:r w:rsidR="00B1718C" w:rsidRPr="00F7263B">
        <w:rPr>
          <w:color w:val="000000"/>
          <w:sz w:val="20"/>
          <w:szCs w:val="20"/>
          <w:lang w:val="en-GB"/>
        </w:rPr>
        <w:t xml:space="preserve">rogram </w:t>
      </w:r>
      <w:r w:rsidRPr="00F7263B">
        <w:rPr>
          <w:color w:val="000000"/>
          <w:sz w:val="20"/>
          <w:szCs w:val="20"/>
          <w:lang w:val="en-GB"/>
        </w:rPr>
        <w:t>C</w:t>
      </w:r>
      <w:r w:rsidR="00B1718C" w:rsidRPr="00F7263B">
        <w:rPr>
          <w:color w:val="000000"/>
          <w:sz w:val="20"/>
          <w:szCs w:val="20"/>
          <w:lang w:val="en-GB"/>
        </w:rPr>
        <w:t xml:space="preserve">oordination </w:t>
      </w:r>
      <w:r w:rsidRPr="00F7263B">
        <w:rPr>
          <w:color w:val="000000"/>
          <w:sz w:val="20"/>
          <w:szCs w:val="20"/>
          <w:lang w:val="en-GB"/>
        </w:rPr>
        <w:t>U</w:t>
      </w:r>
      <w:r w:rsidR="00B1718C" w:rsidRPr="00F7263B">
        <w:rPr>
          <w:color w:val="000000"/>
          <w:sz w:val="20"/>
          <w:szCs w:val="20"/>
          <w:lang w:val="en-GB"/>
        </w:rPr>
        <w:t>nit</w:t>
      </w:r>
      <w:r w:rsidRPr="00F7263B">
        <w:rPr>
          <w:color w:val="000000"/>
          <w:sz w:val="20"/>
          <w:szCs w:val="20"/>
          <w:lang w:val="en-GB"/>
        </w:rPr>
        <w:t xml:space="preserve"> to review federal and regions and ULGs to review sample regions and ULGs</w:t>
      </w:r>
      <w:r w:rsidR="00450F86" w:rsidRPr="00F7263B">
        <w:rPr>
          <w:color w:val="000000"/>
          <w:sz w:val="20"/>
          <w:szCs w:val="20"/>
          <w:lang w:val="en-GB"/>
        </w:rPr>
        <w:t xml:space="preserve">.  </w:t>
      </w:r>
      <w:r w:rsidRPr="00F7263B">
        <w:rPr>
          <w:color w:val="000000"/>
          <w:sz w:val="20"/>
          <w:szCs w:val="20"/>
          <w:lang w:val="en-GB"/>
        </w:rPr>
        <w:t xml:space="preserve">Internal </w:t>
      </w:r>
      <w:r w:rsidR="00450F86" w:rsidRPr="00F7263B">
        <w:rPr>
          <w:color w:val="000000"/>
          <w:sz w:val="20"/>
          <w:szCs w:val="20"/>
          <w:lang w:val="en-GB"/>
        </w:rPr>
        <w:t>audit r</w:t>
      </w:r>
      <w:r w:rsidRPr="00F7263B">
        <w:rPr>
          <w:color w:val="000000"/>
          <w:sz w:val="20"/>
          <w:szCs w:val="20"/>
          <w:lang w:val="en-GB"/>
        </w:rPr>
        <w:t>eports will be submitted to the MoFED and MUD</w:t>
      </w:r>
      <w:r w:rsidR="00450F86" w:rsidRPr="00F7263B">
        <w:rPr>
          <w:color w:val="000000"/>
          <w:sz w:val="20"/>
          <w:szCs w:val="20"/>
          <w:lang w:val="en-GB"/>
        </w:rPr>
        <w:t>H</w:t>
      </w:r>
      <w:r w:rsidRPr="00F7263B">
        <w:rPr>
          <w:color w:val="000000"/>
          <w:sz w:val="20"/>
          <w:szCs w:val="20"/>
          <w:lang w:val="en-GB"/>
        </w:rPr>
        <w:t>C</w:t>
      </w:r>
      <w:r w:rsidR="00450F86" w:rsidRPr="00F7263B">
        <w:rPr>
          <w:color w:val="000000"/>
          <w:sz w:val="20"/>
          <w:szCs w:val="20"/>
          <w:lang w:val="en-GB"/>
        </w:rPr>
        <w:t>o</w:t>
      </w:r>
      <w:r w:rsidRPr="00F7263B">
        <w:rPr>
          <w:color w:val="000000"/>
          <w:sz w:val="20"/>
          <w:szCs w:val="20"/>
          <w:lang w:val="en-GB"/>
        </w:rPr>
        <w:t xml:space="preserve"> within 30 days of completion of the audit report together with a proposed action plan to deal with identified risks</w:t>
      </w:r>
      <w:r w:rsidR="00450F86" w:rsidRPr="00F7263B">
        <w:rPr>
          <w:color w:val="000000"/>
          <w:sz w:val="20"/>
          <w:szCs w:val="20"/>
          <w:lang w:val="en-GB"/>
        </w:rPr>
        <w:t xml:space="preserve">.  </w:t>
      </w:r>
      <w:r w:rsidRPr="00F7263B">
        <w:rPr>
          <w:color w:val="000000"/>
          <w:sz w:val="20"/>
          <w:szCs w:val="20"/>
          <w:lang w:val="en-GB"/>
        </w:rPr>
        <w:t>The reports will be shared with the World Bank during annual assessments</w:t>
      </w:r>
      <w:r w:rsidR="00450F86" w:rsidRPr="00F7263B">
        <w:rPr>
          <w:color w:val="000000"/>
          <w:sz w:val="20"/>
          <w:szCs w:val="20"/>
          <w:lang w:val="en-GB"/>
        </w:rPr>
        <w:t xml:space="preserve">.  </w:t>
      </w:r>
    </w:p>
    <w:p w:rsidR="006E7278" w:rsidRPr="00F7263B" w:rsidRDefault="00450F86" w:rsidP="00056FC8">
      <w:pPr>
        <w:pStyle w:val="ListParagraph"/>
        <w:numPr>
          <w:ilvl w:val="0"/>
          <w:numId w:val="77"/>
        </w:numPr>
        <w:autoSpaceDE w:val="0"/>
        <w:autoSpaceDN w:val="0"/>
        <w:adjustRightInd w:val="0"/>
        <w:ind w:left="1440" w:hanging="720"/>
        <w:jc w:val="both"/>
        <w:rPr>
          <w:color w:val="000000"/>
          <w:sz w:val="20"/>
          <w:szCs w:val="20"/>
          <w:lang w:val="en-GB"/>
        </w:rPr>
      </w:pPr>
      <w:r w:rsidRPr="00F7263B">
        <w:rPr>
          <w:b/>
          <w:color w:val="000000"/>
          <w:sz w:val="20"/>
          <w:szCs w:val="20"/>
          <w:lang w:val="en-GB"/>
        </w:rPr>
        <w:t>External a</w:t>
      </w:r>
      <w:r w:rsidR="004D2B36" w:rsidRPr="00F7263B">
        <w:rPr>
          <w:b/>
          <w:color w:val="000000"/>
          <w:sz w:val="20"/>
          <w:szCs w:val="20"/>
          <w:lang w:val="en-GB"/>
        </w:rPr>
        <w:t>udit</w:t>
      </w:r>
      <w:r w:rsidRPr="00F7263B">
        <w:rPr>
          <w:color w:val="000000"/>
          <w:sz w:val="20"/>
          <w:szCs w:val="20"/>
          <w:lang w:val="en-GB"/>
        </w:rPr>
        <w:t>.  At the start of the ULGDP,</w:t>
      </w:r>
      <w:r w:rsidR="004D2B36" w:rsidRPr="00F7263B">
        <w:rPr>
          <w:color w:val="000000"/>
          <w:sz w:val="20"/>
          <w:szCs w:val="20"/>
          <w:lang w:val="en-GB"/>
        </w:rPr>
        <w:t xml:space="preserve"> there was a large backlog in audit coverage in the 18 cities in the program and their financial management practices were weak</w:t>
      </w:r>
      <w:r w:rsidRPr="00F7263B">
        <w:rPr>
          <w:color w:val="000000"/>
          <w:sz w:val="20"/>
          <w:szCs w:val="20"/>
          <w:lang w:val="en-GB"/>
        </w:rPr>
        <w:t xml:space="preserve">.  </w:t>
      </w:r>
      <w:r w:rsidR="004D2B36" w:rsidRPr="00F7263B">
        <w:rPr>
          <w:color w:val="000000"/>
          <w:sz w:val="20"/>
          <w:szCs w:val="20"/>
          <w:lang w:val="en-GB"/>
        </w:rPr>
        <w:t>ULGDP through its scoring system brought a particular focus to this area and over the course of the last five years, all audit backlogs have been eliminated in the cities in the program and there has been an improvement in management of public funds</w:t>
      </w:r>
      <w:r w:rsidRPr="00F7263B">
        <w:rPr>
          <w:color w:val="000000"/>
          <w:sz w:val="20"/>
          <w:szCs w:val="20"/>
          <w:lang w:val="en-GB"/>
        </w:rPr>
        <w:t xml:space="preserve">.  </w:t>
      </w:r>
      <w:r w:rsidR="004D2B36" w:rsidRPr="00F7263B">
        <w:rPr>
          <w:color w:val="000000"/>
          <w:sz w:val="20"/>
          <w:szCs w:val="20"/>
          <w:lang w:val="en-GB"/>
        </w:rPr>
        <w:t>In EFY 2004 all 18 cities received a “qualified” audit opinion, a major improvement for the six cities that had received an ‘adverse” opinion the previous year</w:t>
      </w:r>
      <w:r w:rsidRPr="00F7263B">
        <w:rPr>
          <w:color w:val="000000"/>
          <w:sz w:val="20"/>
          <w:szCs w:val="20"/>
          <w:lang w:val="en-GB"/>
        </w:rPr>
        <w:t xml:space="preserve">.  </w:t>
      </w:r>
      <w:r w:rsidR="004D2B36" w:rsidRPr="00F7263B">
        <w:rPr>
          <w:color w:val="000000"/>
          <w:sz w:val="20"/>
          <w:szCs w:val="20"/>
          <w:lang w:val="en-GB"/>
        </w:rPr>
        <w:t>However not a single city as received a “clean” opinion as yet and that is the trajectory for future reforms</w:t>
      </w:r>
      <w:r w:rsidRPr="00F7263B">
        <w:rPr>
          <w:color w:val="000000"/>
          <w:sz w:val="20"/>
          <w:szCs w:val="20"/>
          <w:lang w:val="en-GB"/>
        </w:rPr>
        <w:t xml:space="preserve">.  </w:t>
      </w:r>
      <w:r w:rsidR="004D2B36" w:rsidRPr="00F7263B">
        <w:rPr>
          <w:color w:val="000000"/>
          <w:sz w:val="20"/>
          <w:szCs w:val="20"/>
          <w:lang w:val="en-GB"/>
        </w:rPr>
        <w:t xml:space="preserve">Value </w:t>
      </w:r>
      <w:r w:rsidR="00F81E66" w:rsidRPr="00F7263B">
        <w:rPr>
          <w:color w:val="000000"/>
          <w:sz w:val="20"/>
          <w:szCs w:val="20"/>
          <w:lang w:val="en-GB"/>
        </w:rPr>
        <w:t>f</w:t>
      </w:r>
      <w:r w:rsidR="004D2B36" w:rsidRPr="00F7263B">
        <w:rPr>
          <w:color w:val="000000"/>
          <w:sz w:val="20"/>
          <w:szCs w:val="20"/>
          <w:lang w:val="en-GB"/>
        </w:rPr>
        <w:t xml:space="preserve">or </w:t>
      </w:r>
      <w:r w:rsidR="00F81E66" w:rsidRPr="00F7263B">
        <w:rPr>
          <w:color w:val="000000"/>
          <w:sz w:val="20"/>
          <w:szCs w:val="20"/>
          <w:lang w:val="en-GB"/>
        </w:rPr>
        <w:t>m</w:t>
      </w:r>
      <w:r w:rsidR="004D2B36" w:rsidRPr="00F7263B">
        <w:rPr>
          <w:color w:val="000000"/>
          <w:sz w:val="20"/>
          <w:szCs w:val="20"/>
          <w:lang w:val="en-GB"/>
        </w:rPr>
        <w:t xml:space="preserve">oney </w:t>
      </w:r>
      <w:r w:rsidR="00F81E66" w:rsidRPr="00F7263B">
        <w:rPr>
          <w:color w:val="000000"/>
          <w:sz w:val="20"/>
          <w:szCs w:val="20"/>
          <w:lang w:val="en-GB"/>
        </w:rPr>
        <w:t>during ULGDP</w:t>
      </w:r>
      <w:r w:rsidR="004D2B36" w:rsidRPr="00F7263B">
        <w:rPr>
          <w:color w:val="000000"/>
          <w:sz w:val="20"/>
          <w:szCs w:val="20"/>
          <w:lang w:val="en-GB"/>
        </w:rPr>
        <w:t xml:space="preserve"> has been mixed</w:t>
      </w:r>
      <w:r w:rsidRPr="00F7263B">
        <w:rPr>
          <w:color w:val="000000"/>
          <w:sz w:val="20"/>
          <w:szCs w:val="20"/>
          <w:lang w:val="en-GB"/>
        </w:rPr>
        <w:t xml:space="preserve">.  </w:t>
      </w:r>
      <w:r w:rsidR="004D2B36" w:rsidRPr="00F7263B">
        <w:rPr>
          <w:color w:val="000000"/>
          <w:sz w:val="20"/>
          <w:szCs w:val="20"/>
          <w:lang w:val="en-GB"/>
        </w:rPr>
        <w:t xml:space="preserve">The only </w:t>
      </w:r>
      <w:r w:rsidR="008A26F2" w:rsidRPr="00F7263B">
        <w:rPr>
          <w:color w:val="000000"/>
          <w:sz w:val="20"/>
          <w:szCs w:val="20"/>
          <w:lang w:val="en-GB"/>
        </w:rPr>
        <w:t>value for money</w:t>
      </w:r>
      <w:r w:rsidR="004D2B36" w:rsidRPr="00F7263B">
        <w:rPr>
          <w:color w:val="000000"/>
          <w:sz w:val="20"/>
          <w:szCs w:val="20"/>
          <w:lang w:val="en-GB"/>
        </w:rPr>
        <w:t xml:space="preserve"> audit that has been conducted relates to cobblestone investments that have been made that account for over </w:t>
      </w:r>
      <w:r w:rsidR="00F81E66" w:rsidRPr="00F7263B">
        <w:rPr>
          <w:color w:val="000000"/>
          <w:sz w:val="20"/>
          <w:szCs w:val="20"/>
          <w:lang w:val="en-GB"/>
        </w:rPr>
        <w:t>US</w:t>
      </w:r>
      <w:r w:rsidR="004D2B36" w:rsidRPr="00F7263B">
        <w:rPr>
          <w:color w:val="000000"/>
          <w:sz w:val="20"/>
          <w:szCs w:val="20"/>
          <w:lang w:val="en-GB"/>
        </w:rPr>
        <w:t>$56 m</w:t>
      </w:r>
      <w:r w:rsidR="00F81E66" w:rsidRPr="00F7263B">
        <w:rPr>
          <w:color w:val="000000"/>
          <w:sz w:val="20"/>
          <w:szCs w:val="20"/>
          <w:lang w:val="en-GB"/>
        </w:rPr>
        <w:t>illion</w:t>
      </w:r>
      <w:r w:rsidR="004D2B36" w:rsidRPr="00F7263B">
        <w:rPr>
          <w:color w:val="000000"/>
          <w:sz w:val="20"/>
          <w:szCs w:val="20"/>
          <w:lang w:val="en-GB"/>
        </w:rPr>
        <w:t xml:space="preserve"> of ULGDP funds</w:t>
      </w:r>
      <w:r w:rsidRPr="00F7263B">
        <w:rPr>
          <w:color w:val="000000"/>
          <w:sz w:val="20"/>
          <w:szCs w:val="20"/>
          <w:lang w:val="en-GB"/>
        </w:rPr>
        <w:t xml:space="preserve">.  </w:t>
      </w:r>
      <w:r w:rsidR="004D2B36" w:rsidRPr="00F7263B">
        <w:rPr>
          <w:color w:val="000000"/>
          <w:sz w:val="20"/>
          <w:szCs w:val="20"/>
          <w:lang w:val="en-GB"/>
        </w:rPr>
        <w:t xml:space="preserve">This </w:t>
      </w:r>
      <w:r w:rsidR="008A26F2" w:rsidRPr="00F7263B">
        <w:rPr>
          <w:color w:val="000000"/>
          <w:sz w:val="20"/>
          <w:szCs w:val="20"/>
          <w:lang w:val="en-GB"/>
        </w:rPr>
        <w:t>value for money</w:t>
      </w:r>
      <w:r w:rsidR="004D2B36" w:rsidRPr="00F7263B">
        <w:rPr>
          <w:color w:val="000000"/>
          <w:sz w:val="20"/>
          <w:szCs w:val="20"/>
          <w:lang w:val="en-GB"/>
        </w:rPr>
        <w:t xml:space="preserve"> audit showed that “good” quality work on cobblestone investments ranged from 60</w:t>
      </w:r>
      <w:r w:rsidR="00F81E66" w:rsidRPr="00F7263B">
        <w:rPr>
          <w:color w:val="000000"/>
          <w:sz w:val="20"/>
          <w:szCs w:val="20"/>
          <w:lang w:val="en-GB"/>
        </w:rPr>
        <w:t>–90 percent</w:t>
      </w:r>
      <w:r w:rsidR="004D2B36" w:rsidRPr="00F7263B">
        <w:rPr>
          <w:color w:val="000000"/>
          <w:sz w:val="20"/>
          <w:szCs w:val="20"/>
          <w:lang w:val="en-GB"/>
        </w:rPr>
        <w:t xml:space="preserve"> in the regions and </w:t>
      </w:r>
      <w:r w:rsidR="004D2B36" w:rsidRPr="00F7263B">
        <w:rPr>
          <w:color w:val="000000"/>
          <w:sz w:val="20"/>
          <w:szCs w:val="20"/>
          <w:lang w:val="en-GB"/>
        </w:rPr>
        <w:lastRenderedPageBreak/>
        <w:t>there was large variability on a unit cost basis between regions</w:t>
      </w:r>
      <w:r w:rsidR="00F81E66" w:rsidRPr="00F7263B">
        <w:rPr>
          <w:color w:val="000000"/>
          <w:sz w:val="20"/>
          <w:szCs w:val="20"/>
          <w:lang w:val="en-GB"/>
        </w:rPr>
        <w:t xml:space="preserve">; the </w:t>
      </w:r>
      <w:r w:rsidR="004D2B36" w:rsidRPr="00F7263B">
        <w:rPr>
          <w:color w:val="000000"/>
          <w:sz w:val="20"/>
          <w:szCs w:val="20"/>
          <w:lang w:val="en-GB"/>
        </w:rPr>
        <w:t>investments made in Bahir Dar</w:t>
      </w:r>
      <w:r w:rsidR="00F81E66" w:rsidRPr="00F7263B">
        <w:rPr>
          <w:color w:val="000000"/>
          <w:sz w:val="20"/>
          <w:szCs w:val="20"/>
          <w:lang w:val="en-GB"/>
        </w:rPr>
        <w:t xml:space="preserve"> had especially high unit costs</w:t>
      </w:r>
      <w:r w:rsidRPr="00F7263B">
        <w:rPr>
          <w:color w:val="000000"/>
          <w:sz w:val="20"/>
          <w:szCs w:val="20"/>
          <w:lang w:val="en-GB"/>
        </w:rPr>
        <w:t xml:space="preserve">.  </w:t>
      </w:r>
    </w:p>
    <w:p w:rsidR="00F81E66" w:rsidRPr="00F7263B" w:rsidRDefault="00F81E66" w:rsidP="00F81E66">
      <w:pPr>
        <w:autoSpaceDE w:val="0"/>
        <w:autoSpaceDN w:val="0"/>
        <w:adjustRightInd w:val="0"/>
        <w:ind w:left="360"/>
        <w:jc w:val="both"/>
        <w:rPr>
          <w:color w:val="000000"/>
          <w:sz w:val="20"/>
          <w:szCs w:val="20"/>
          <w:lang w:val="en-GB"/>
        </w:rPr>
      </w:pPr>
    </w:p>
    <w:p w:rsidR="004D2B36" w:rsidRPr="00F7263B" w:rsidRDefault="004D2B36" w:rsidP="00F81E66">
      <w:pPr>
        <w:autoSpaceDE w:val="0"/>
        <w:autoSpaceDN w:val="0"/>
        <w:adjustRightInd w:val="0"/>
        <w:ind w:left="1440"/>
        <w:jc w:val="both"/>
        <w:rPr>
          <w:color w:val="000000"/>
          <w:sz w:val="20"/>
          <w:szCs w:val="20"/>
          <w:lang w:val="en-GB"/>
        </w:rPr>
      </w:pPr>
      <w:r w:rsidRPr="00F7263B">
        <w:rPr>
          <w:color w:val="000000"/>
          <w:sz w:val="20"/>
          <w:szCs w:val="20"/>
          <w:lang w:val="en-GB"/>
        </w:rPr>
        <w:t>For the 26 new cities joining the program, their situation is quite similar to the 18 cities when they joined the program in 2008</w:t>
      </w:r>
      <w:r w:rsidR="00450F86" w:rsidRPr="00F7263B">
        <w:rPr>
          <w:color w:val="000000"/>
          <w:sz w:val="20"/>
          <w:szCs w:val="20"/>
          <w:lang w:val="en-GB"/>
        </w:rPr>
        <w:t xml:space="preserve">.  </w:t>
      </w:r>
      <w:r w:rsidRPr="00F7263B">
        <w:rPr>
          <w:color w:val="000000"/>
          <w:sz w:val="20"/>
          <w:szCs w:val="20"/>
          <w:lang w:val="en-GB"/>
        </w:rPr>
        <w:t>For the 26 new cities, they have a major audit backlog from the last five years</w:t>
      </w:r>
      <w:r w:rsidR="00F81E66" w:rsidRPr="00F7263B">
        <w:rPr>
          <w:color w:val="000000"/>
          <w:sz w:val="20"/>
          <w:szCs w:val="20"/>
          <w:lang w:val="en-GB"/>
        </w:rPr>
        <w:t>,</w:t>
      </w:r>
      <w:r w:rsidRPr="00F7263B">
        <w:rPr>
          <w:color w:val="000000"/>
          <w:sz w:val="20"/>
          <w:szCs w:val="20"/>
          <w:lang w:val="en-GB"/>
        </w:rPr>
        <w:t xml:space="preserve"> which varies from 50</w:t>
      </w:r>
      <w:r w:rsidR="00F81E66" w:rsidRPr="00F7263B">
        <w:rPr>
          <w:color w:val="000000"/>
          <w:sz w:val="20"/>
          <w:szCs w:val="20"/>
          <w:lang w:val="en-GB"/>
        </w:rPr>
        <w:t xml:space="preserve"> percent</w:t>
      </w:r>
      <w:r w:rsidR="008A7349">
        <w:rPr>
          <w:color w:val="000000"/>
          <w:sz w:val="20"/>
          <w:szCs w:val="20"/>
          <w:lang w:val="en-GB"/>
        </w:rPr>
        <w:t xml:space="preserve"> </w:t>
      </w:r>
      <w:r w:rsidR="00F81E66" w:rsidRPr="00F7263B">
        <w:rPr>
          <w:color w:val="000000"/>
          <w:sz w:val="20"/>
          <w:szCs w:val="20"/>
          <w:lang w:val="en-GB"/>
        </w:rPr>
        <w:t xml:space="preserve">to </w:t>
      </w:r>
      <w:r w:rsidRPr="00F7263B">
        <w:rPr>
          <w:color w:val="000000"/>
          <w:sz w:val="20"/>
          <w:szCs w:val="20"/>
          <w:lang w:val="en-GB"/>
        </w:rPr>
        <w:t>15</w:t>
      </w:r>
      <w:r w:rsidR="00F81E66" w:rsidRPr="00F7263B">
        <w:rPr>
          <w:color w:val="000000"/>
          <w:sz w:val="20"/>
          <w:szCs w:val="20"/>
          <w:lang w:val="en-GB"/>
        </w:rPr>
        <w:t xml:space="preserve"> percent</w:t>
      </w:r>
      <w:r w:rsidRPr="00F7263B">
        <w:rPr>
          <w:color w:val="000000"/>
          <w:sz w:val="20"/>
          <w:szCs w:val="20"/>
          <w:lang w:val="en-GB"/>
        </w:rPr>
        <w:t xml:space="preserve"> of cities per year</w:t>
      </w:r>
      <w:r w:rsidR="00450F86" w:rsidRPr="00F7263B">
        <w:rPr>
          <w:color w:val="000000"/>
          <w:sz w:val="20"/>
          <w:szCs w:val="20"/>
          <w:lang w:val="en-GB"/>
        </w:rPr>
        <w:t xml:space="preserve">.  </w:t>
      </w:r>
      <w:r w:rsidRPr="00F7263B">
        <w:rPr>
          <w:color w:val="000000"/>
          <w:sz w:val="20"/>
          <w:szCs w:val="20"/>
          <w:lang w:val="en-GB"/>
        </w:rPr>
        <w:t>Their financial management practi</w:t>
      </w:r>
      <w:r w:rsidR="00AB461F" w:rsidRPr="00F7263B">
        <w:rPr>
          <w:color w:val="000000"/>
          <w:sz w:val="20"/>
          <w:szCs w:val="20"/>
          <w:lang w:val="en-GB"/>
        </w:rPr>
        <w:t>c</w:t>
      </w:r>
      <w:r w:rsidRPr="00F7263B">
        <w:rPr>
          <w:color w:val="000000"/>
          <w:sz w:val="20"/>
          <w:szCs w:val="20"/>
          <w:lang w:val="en-GB"/>
        </w:rPr>
        <w:t>es are also weak and between 8</w:t>
      </w:r>
      <w:r w:rsidR="00F81E66" w:rsidRPr="00F7263B">
        <w:rPr>
          <w:color w:val="000000"/>
          <w:sz w:val="20"/>
          <w:szCs w:val="20"/>
          <w:lang w:val="en-GB"/>
        </w:rPr>
        <w:t>–</w:t>
      </w:r>
      <w:r w:rsidRPr="00F7263B">
        <w:rPr>
          <w:color w:val="000000"/>
          <w:sz w:val="20"/>
          <w:szCs w:val="20"/>
          <w:lang w:val="en-GB"/>
        </w:rPr>
        <w:t>15</w:t>
      </w:r>
      <w:r w:rsidR="00F81E66" w:rsidRPr="00F7263B">
        <w:rPr>
          <w:color w:val="000000"/>
          <w:sz w:val="20"/>
          <w:szCs w:val="20"/>
          <w:lang w:val="en-GB"/>
        </w:rPr>
        <w:t xml:space="preserve"> percent</w:t>
      </w:r>
      <w:r w:rsidRPr="00F7263B">
        <w:rPr>
          <w:color w:val="000000"/>
          <w:sz w:val="20"/>
          <w:szCs w:val="20"/>
          <w:lang w:val="en-GB"/>
        </w:rPr>
        <w:t xml:space="preserve"> of these cities received an “adverse” audit opinion per year for the last four years</w:t>
      </w:r>
      <w:r w:rsidR="00450F86" w:rsidRPr="00F7263B">
        <w:rPr>
          <w:color w:val="000000"/>
          <w:sz w:val="20"/>
          <w:szCs w:val="20"/>
          <w:lang w:val="en-GB"/>
        </w:rPr>
        <w:t xml:space="preserve">.  </w:t>
      </w:r>
      <w:r w:rsidRPr="00F7263B">
        <w:rPr>
          <w:color w:val="000000"/>
          <w:sz w:val="20"/>
          <w:szCs w:val="20"/>
          <w:lang w:val="en-GB"/>
        </w:rPr>
        <w:t>The main irregularities relate to issues such as weak asset management, poor cash reconciliations, long outstanding advances and payables, weaknesses in procurement and mis-coding of expenditures</w:t>
      </w:r>
      <w:r w:rsidR="00450F86" w:rsidRPr="00F7263B">
        <w:rPr>
          <w:color w:val="000000"/>
          <w:sz w:val="20"/>
          <w:szCs w:val="20"/>
          <w:lang w:val="en-GB"/>
        </w:rPr>
        <w:t xml:space="preserve">.  </w:t>
      </w:r>
    </w:p>
    <w:p w:rsidR="00F81E66" w:rsidRPr="00F7263B" w:rsidRDefault="00F81E66" w:rsidP="00F81E66">
      <w:pPr>
        <w:autoSpaceDE w:val="0"/>
        <w:autoSpaceDN w:val="0"/>
        <w:adjustRightInd w:val="0"/>
        <w:ind w:left="1440"/>
        <w:jc w:val="both"/>
        <w:rPr>
          <w:color w:val="000000"/>
          <w:sz w:val="20"/>
          <w:szCs w:val="20"/>
          <w:lang w:val="en-GB"/>
        </w:rPr>
      </w:pPr>
    </w:p>
    <w:p w:rsidR="004D2B36" w:rsidRPr="00F7263B" w:rsidRDefault="004D2B36" w:rsidP="00F81E66">
      <w:pPr>
        <w:autoSpaceDE w:val="0"/>
        <w:autoSpaceDN w:val="0"/>
        <w:adjustRightInd w:val="0"/>
        <w:ind w:left="1440"/>
        <w:jc w:val="both"/>
        <w:rPr>
          <w:color w:val="000000"/>
          <w:sz w:val="20"/>
          <w:szCs w:val="20"/>
          <w:lang w:val="en-GB"/>
        </w:rPr>
      </w:pPr>
      <w:r w:rsidRPr="00F7263B">
        <w:rPr>
          <w:color w:val="000000"/>
          <w:sz w:val="20"/>
          <w:szCs w:val="20"/>
          <w:lang w:val="en-GB"/>
        </w:rPr>
        <w:t>A major challenge has been the poor follow up of audit findings</w:t>
      </w:r>
      <w:r w:rsidR="00450F86" w:rsidRPr="00F7263B">
        <w:rPr>
          <w:color w:val="000000"/>
          <w:sz w:val="20"/>
          <w:szCs w:val="20"/>
          <w:lang w:val="en-GB"/>
        </w:rPr>
        <w:t xml:space="preserve">.  </w:t>
      </w:r>
      <w:r w:rsidRPr="00F7263B">
        <w:rPr>
          <w:color w:val="000000"/>
          <w:sz w:val="20"/>
          <w:szCs w:val="20"/>
          <w:lang w:val="en-GB"/>
        </w:rPr>
        <w:t>For the 18 cities in ULGDP, the APA for EFY 2004 found that five cities implemented between 0-40</w:t>
      </w:r>
      <w:r w:rsidR="00F81E66" w:rsidRPr="00F7263B">
        <w:rPr>
          <w:color w:val="000000"/>
          <w:sz w:val="20"/>
          <w:szCs w:val="20"/>
          <w:lang w:val="en-GB"/>
        </w:rPr>
        <w:t xml:space="preserve"> percent</w:t>
      </w:r>
      <w:r w:rsidRPr="00F7263B">
        <w:rPr>
          <w:color w:val="000000"/>
          <w:sz w:val="20"/>
          <w:szCs w:val="20"/>
          <w:lang w:val="en-GB"/>
        </w:rPr>
        <w:t xml:space="preserve"> of the findings for the previous year</w:t>
      </w:r>
      <w:r w:rsidR="00450F86" w:rsidRPr="00F7263B">
        <w:rPr>
          <w:color w:val="000000"/>
          <w:sz w:val="20"/>
          <w:szCs w:val="20"/>
          <w:lang w:val="en-GB"/>
        </w:rPr>
        <w:t xml:space="preserve">.  </w:t>
      </w:r>
      <w:r w:rsidRPr="00F7263B">
        <w:rPr>
          <w:color w:val="000000"/>
          <w:sz w:val="20"/>
          <w:szCs w:val="20"/>
          <w:lang w:val="en-GB"/>
        </w:rPr>
        <w:t xml:space="preserve">Due to this audit findings are </w:t>
      </w:r>
      <w:r w:rsidR="00F81E66" w:rsidRPr="00F7263B">
        <w:rPr>
          <w:color w:val="000000"/>
          <w:sz w:val="20"/>
          <w:szCs w:val="20"/>
          <w:lang w:val="en-GB"/>
        </w:rPr>
        <w:t xml:space="preserve">repeated year after year, with </w:t>
      </w:r>
      <w:r w:rsidRPr="00F7263B">
        <w:rPr>
          <w:color w:val="000000"/>
          <w:sz w:val="20"/>
          <w:szCs w:val="20"/>
          <w:lang w:val="en-GB"/>
        </w:rPr>
        <w:t>limited follow up and impact</w:t>
      </w:r>
      <w:r w:rsidR="00450F86" w:rsidRPr="00F7263B">
        <w:rPr>
          <w:color w:val="000000"/>
          <w:sz w:val="20"/>
          <w:szCs w:val="20"/>
          <w:lang w:val="en-GB"/>
        </w:rPr>
        <w:t xml:space="preserve">.  </w:t>
      </w:r>
    </w:p>
    <w:p w:rsidR="00F81E66" w:rsidRPr="00F7263B" w:rsidRDefault="00F81E66" w:rsidP="00F81E66">
      <w:pPr>
        <w:autoSpaceDE w:val="0"/>
        <w:autoSpaceDN w:val="0"/>
        <w:adjustRightInd w:val="0"/>
        <w:ind w:left="360"/>
        <w:jc w:val="both"/>
        <w:rPr>
          <w:color w:val="000000"/>
          <w:sz w:val="20"/>
          <w:szCs w:val="20"/>
          <w:lang w:val="en-GB"/>
        </w:rPr>
      </w:pPr>
    </w:p>
    <w:p w:rsidR="004D2B36" w:rsidRPr="00F7263B" w:rsidRDefault="004D2B36" w:rsidP="00F81E66">
      <w:pPr>
        <w:autoSpaceDE w:val="0"/>
        <w:autoSpaceDN w:val="0"/>
        <w:adjustRightInd w:val="0"/>
        <w:ind w:left="1440"/>
        <w:jc w:val="both"/>
        <w:rPr>
          <w:color w:val="000000"/>
          <w:sz w:val="20"/>
          <w:szCs w:val="20"/>
          <w:lang w:val="en-GB"/>
        </w:rPr>
      </w:pPr>
      <w:r w:rsidRPr="00F7263B">
        <w:rPr>
          <w:color w:val="000000"/>
          <w:sz w:val="20"/>
          <w:szCs w:val="20"/>
          <w:lang w:val="en-GB"/>
        </w:rPr>
        <w:t>A related challenge is the low audit coverage in the regions where most of the cities for ULGDP II are located</w:t>
      </w:r>
      <w:r w:rsidR="00450F86" w:rsidRPr="00F7263B">
        <w:rPr>
          <w:color w:val="000000"/>
          <w:sz w:val="20"/>
          <w:szCs w:val="20"/>
          <w:lang w:val="en-GB"/>
        </w:rPr>
        <w:t xml:space="preserve">.  </w:t>
      </w:r>
      <w:r w:rsidRPr="00F7263B">
        <w:rPr>
          <w:color w:val="000000"/>
          <w:sz w:val="20"/>
          <w:szCs w:val="20"/>
          <w:lang w:val="en-GB"/>
        </w:rPr>
        <w:t>In SNNPR, Amhara and Oromia, audit coverage is less than 30</w:t>
      </w:r>
      <w:r w:rsidR="00F81E66" w:rsidRPr="00F7263B">
        <w:rPr>
          <w:color w:val="000000"/>
          <w:sz w:val="20"/>
          <w:szCs w:val="20"/>
          <w:lang w:val="en-GB"/>
        </w:rPr>
        <w:t xml:space="preserve"> percent</w:t>
      </w:r>
      <w:r w:rsidRPr="00F7263B">
        <w:rPr>
          <w:color w:val="000000"/>
          <w:sz w:val="20"/>
          <w:szCs w:val="20"/>
          <w:lang w:val="en-GB"/>
        </w:rPr>
        <w:t xml:space="preserve"> of the institutions due to be audited every year</w:t>
      </w:r>
      <w:r w:rsidR="00450F86" w:rsidRPr="00F7263B">
        <w:rPr>
          <w:color w:val="000000"/>
          <w:sz w:val="20"/>
          <w:szCs w:val="20"/>
          <w:lang w:val="en-GB"/>
        </w:rPr>
        <w:t xml:space="preserve">.  </w:t>
      </w:r>
      <w:r w:rsidRPr="00F7263B">
        <w:rPr>
          <w:color w:val="000000"/>
          <w:sz w:val="20"/>
          <w:szCs w:val="20"/>
          <w:lang w:val="en-GB"/>
        </w:rPr>
        <w:t>Due to this it has been agreed with Government that the Office of the Federal Auditor General (OFAG) or an assigned auditor, in collaboration with ORAG will conduct the annual financial audit of the financial statement of the Program</w:t>
      </w:r>
      <w:r w:rsidR="00450F86" w:rsidRPr="00F7263B">
        <w:rPr>
          <w:color w:val="000000"/>
          <w:sz w:val="20"/>
          <w:szCs w:val="20"/>
          <w:lang w:val="en-GB"/>
        </w:rPr>
        <w:t xml:space="preserve">.  </w:t>
      </w:r>
      <w:r w:rsidRPr="00F7263B">
        <w:rPr>
          <w:color w:val="000000"/>
          <w:sz w:val="20"/>
          <w:szCs w:val="20"/>
          <w:lang w:val="en-GB"/>
        </w:rPr>
        <w:t>The audit will be conducted in accordance with agreed upon terms of reference following international auditing standards</w:t>
      </w:r>
      <w:r w:rsidR="00450F86" w:rsidRPr="00F7263B">
        <w:rPr>
          <w:color w:val="000000"/>
          <w:sz w:val="20"/>
          <w:szCs w:val="20"/>
          <w:lang w:val="en-GB"/>
        </w:rPr>
        <w:t xml:space="preserve">.  </w:t>
      </w:r>
      <w:r w:rsidRPr="00F7263B">
        <w:rPr>
          <w:color w:val="000000"/>
          <w:sz w:val="20"/>
          <w:szCs w:val="20"/>
          <w:lang w:val="en-GB"/>
        </w:rPr>
        <w:t>The resultant audit report and management letter will be subm</w:t>
      </w:r>
      <w:r w:rsidR="00F81E66" w:rsidRPr="00F7263B">
        <w:rPr>
          <w:color w:val="000000"/>
          <w:sz w:val="20"/>
          <w:szCs w:val="20"/>
          <w:lang w:val="en-GB"/>
        </w:rPr>
        <w:t>itted to the World Bank within six</w:t>
      </w:r>
      <w:r w:rsidRPr="00F7263B">
        <w:rPr>
          <w:color w:val="000000"/>
          <w:sz w:val="20"/>
          <w:szCs w:val="20"/>
          <w:lang w:val="en-GB"/>
        </w:rPr>
        <w:t xml:space="preserve"> months after the end of the </w:t>
      </w:r>
      <w:r w:rsidR="00F81E66" w:rsidRPr="00F7263B">
        <w:rPr>
          <w:color w:val="000000"/>
          <w:sz w:val="20"/>
          <w:szCs w:val="20"/>
          <w:lang w:val="en-GB"/>
        </w:rPr>
        <w:t>government’s</w:t>
      </w:r>
      <w:r w:rsidRPr="00F7263B">
        <w:rPr>
          <w:color w:val="000000"/>
          <w:sz w:val="20"/>
          <w:szCs w:val="20"/>
          <w:lang w:val="en-GB"/>
        </w:rPr>
        <w:t xml:space="preserve"> fiscal year</w:t>
      </w:r>
      <w:r w:rsidR="00450F86" w:rsidRPr="00F7263B">
        <w:rPr>
          <w:color w:val="000000"/>
          <w:sz w:val="20"/>
          <w:szCs w:val="20"/>
          <w:lang w:val="en-GB"/>
        </w:rPr>
        <w:t xml:space="preserve">.  </w:t>
      </w:r>
      <w:r w:rsidRPr="00F7263B">
        <w:rPr>
          <w:color w:val="000000"/>
          <w:sz w:val="20"/>
          <w:szCs w:val="20"/>
          <w:lang w:val="en-GB"/>
        </w:rPr>
        <w:t xml:space="preserve">In addition to the financial audit, OFAG will </w:t>
      </w:r>
      <w:r w:rsidR="005B351A" w:rsidRPr="00F7263B">
        <w:rPr>
          <w:color w:val="000000"/>
          <w:sz w:val="20"/>
          <w:szCs w:val="20"/>
          <w:lang w:val="en-GB"/>
        </w:rPr>
        <w:t>conductthe P</w:t>
      </w:r>
      <w:r w:rsidRPr="00F7263B">
        <w:rPr>
          <w:color w:val="000000"/>
          <w:sz w:val="20"/>
          <w:szCs w:val="20"/>
          <w:lang w:val="en-GB"/>
        </w:rPr>
        <w:t>erformance audits/</w:t>
      </w:r>
      <w:r w:rsidR="00F81E66" w:rsidRPr="00F7263B">
        <w:rPr>
          <w:color w:val="000000"/>
          <w:sz w:val="20"/>
          <w:szCs w:val="20"/>
          <w:lang w:val="en-GB"/>
        </w:rPr>
        <w:t>v</w:t>
      </w:r>
      <w:r w:rsidRPr="00F7263B">
        <w:rPr>
          <w:color w:val="000000"/>
          <w:sz w:val="20"/>
          <w:szCs w:val="20"/>
          <w:lang w:val="en-GB"/>
        </w:rPr>
        <w:t xml:space="preserve">alue for </w:t>
      </w:r>
      <w:r w:rsidR="00F81E66" w:rsidRPr="00F7263B">
        <w:rPr>
          <w:color w:val="000000"/>
          <w:sz w:val="20"/>
          <w:szCs w:val="20"/>
          <w:lang w:val="en-GB"/>
        </w:rPr>
        <w:t>m</w:t>
      </w:r>
      <w:r w:rsidRPr="00F7263B">
        <w:rPr>
          <w:color w:val="000000"/>
          <w:sz w:val="20"/>
          <w:szCs w:val="20"/>
          <w:lang w:val="en-GB"/>
        </w:rPr>
        <w:t xml:space="preserve">oney </w:t>
      </w:r>
      <w:r w:rsidR="00F81E66" w:rsidRPr="00F7263B">
        <w:rPr>
          <w:color w:val="000000"/>
          <w:sz w:val="20"/>
          <w:szCs w:val="20"/>
          <w:lang w:val="en-GB"/>
        </w:rPr>
        <w:t xml:space="preserve">audits </w:t>
      </w:r>
      <w:r w:rsidRPr="00F7263B">
        <w:rPr>
          <w:color w:val="000000"/>
          <w:sz w:val="20"/>
          <w:szCs w:val="20"/>
          <w:lang w:val="en-GB"/>
        </w:rPr>
        <w:t>for the Pro</w:t>
      </w:r>
      <w:r w:rsidR="00F81E66" w:rsidRPr="00F7263B">
        <w:rPr>
          <w:color w:val="000000"/>
          <w:sz w:val="20"/>
          <w:szCs w:val="20"/>
          <w:lang w:val="en-GB"/>
        </w:rPr>
        <w:t>gram</w:t>
      </w:r>
      <w:r w:rsidR="00450F86" w:rsidRPr="00F7263B">
        <w:rPr>
          <w:color w:val="000000"/>
          <w:sz w:val="20"/>
          <w:szCs w:val="20"/>
          <w:lang w:val="en-GB"/>
        </w:rPr>
        <w:t xml:space="preserve">.  </w:t>
      </w:r>
      <w:r w:rsidRPr="00F7263B">
        <w:rPr>
          <w:color w:val="000000"/>
          <w:sz w:val="20"/>
          <w:szCs w:val="20"/>
          <w:lang w:val="en-GB"/>
        </w:rPr>
        <w:t xml:space="preserve">The </w:t>
      </w:r>
      <w:r w:rsidR="00F81E66" w:rsidRPr="00F7263B">
        <w:rPr>
          <w:color w:val="000000"/>
          <w:sz w:val="20"/>
          <w:szCs w:val="20"/>
          <w:lang w:val="en-GB"/>
        </w:rPr>
        <w:t>first p</w:t>
      </w:r>
      <w:r w:rsidRPr="00F7263B">
        <w:rPr>
          <w:color w:val="000000"/>
          <w:sz w:val="20"/>
          <w:szCs w:val="20"/>
          <w:lang w:val="en-GB"/>
        </w:rPr>
        <w:t>erformance audit of the Program will commence from the second year onwards.</w:t>
      </w:r>
    </w:p>
    <w:p w:rsidR="00F81E66" w:rsidRPr="00F7263B" w:rsidRDefault="00F81E66" w:rsidP="00F81E66">
      <w:pPr>
        <w:autoSpaceDE w:val="0"/>
        <w:autoSpaceDN w:val="0"/>
        <w:adjustRightInd w:val="0"/>
        <w:ind w:left="1440"/>
        <w:jc w:val="both"/>
        <w:rPr>
          <w:color w:val="000000"/>
          <w:sz w:val="20"/>
          <w:szCs w:val="20"/>
          <w:lang w:val="en-GB"/>
        </w:rPr>
      </w:pPr>
    </w:p>
    <w:p w:rsidR="006E7278" w:rsidRPr="00F7263B" w:rsidRDefault="004D2B36" w:rsidP="00056FC8">
      <w:pPr>
        <w:pStyle w:val="ListParagraph"/>
        <w:numPr>
          <w:ilvl w:val="0"/>
          <w:numId w:val="77"/>
        </w:numPr>
        <w:autoSpaceDE w:val="0"/>
        <w:autoSpaceDN w:val="0"/>
        <w:adjustRightInd w:val="0"/>
        <w:ind w:left="1440" w:hanging="720"/>
        <w:jc w:val="both"/>
        <w:rPr>
          <w:color w:val="000000"/>
          <w:sz w:val="20"/>
          <w:szCs w:val="20"/>
          <w:lang w:val="en-GB"/>
        </w:rPr>
      </w:pPr>
      <w:r w:rsidRPr="00F7263B">
        <w:rPr>
          <w:b/>
          <w:color w:val="000000"/>
          <w:sz w:val="20"/>
          <w:szCs w:val="20"/>
          <w:lang w:val="en-GB"/>
        </w:rPr>
        <w:t>Transparency and accountability</w:t>
      </w:r>
      <w:r w:rsidR="00F81E66" w:rsidRPr="00F7263B">
        <w:rPr>
          <w:color w:val="000000"/>
          <w:sz w:val="20"/>
          <w:szCs w:val="20"/>
          <w:lang w:val="en-GB"/>
        </w:rPr>
        <w:t>.</w:t>
      </w:r>
      <w:r w:rsidRPr="00F7263B">
        <w:rPr>
          <w:color w:val="000000"/>
          <w:sz w:val="20"/>
          <w:szCs w:val="20"/>
          <w:lang w:val="en-GB"/>
        </w:rPr>
        <w:t xml:space="preserve">  There is need for focusing on this area </w:t>
      </w:r>
      <w:r w:rsidR="00F81E66" w:rsidRPr="00F7263B">
        <w:rPr>
          <w:color w:val="000000"/>
          <w:sz w:val="20"/>
          <w:szCs w:val="20"/>
          <w:lang w:val="en-GB"/>
        </w:rPr>
        <w:t>under the</w:t>
      </w:r>
      <w:r w:rsidRPr="00F7263B">
        <w:rPr>
          <w:color w:val="000000"/>
          <w:sz w:val="20"/>
          <w:szCs w:val="20"/>
          <w:lang w:val="en-GB"/>
        </w:rPr>
        <w:t xml:space="preserve"> ULGDP II</w:t>
      </w:r>
      <w:r w:rsidR="00450F86" w:rsidRPr="00F7263B">
        <w:rPr>
          <w:color w:val="000000"/>
          <w:sz w:val="20"/>
          <w:szCs w:val="20"/>
          <w:lang w:val="en-GB"/>
        </w:rPr>
        <w:t xml:space="preserve">.  </w:t>
      </w:r>
      <w:r w:rsidRPr="00F7263B">
        <w:rPr>
          <w:color w:val="000000"/>
          <w:sz w:val="20"/>
          <w:szCs w:val="20"/>
          <w:lang w:val="en-GB"/>
        </w:rPr>
        <w:t>The finding of the October 2013 assessment was that in 88</w:t>
      </w:r>
      <w:r w:rsidR="00F81E66" w:rsidRPr="00F7263B">
        <w:rPr>
          <w:color w:val="000000"/>
          <w:sz w:val="20"/>
          <w:szCs w:val="20"/>
          <w:lang w:val="en-GB"/>
        </w:rPr>
        <w:t xml:space="preserve"> percentof </w:t>
      </w:r>
      <w:r w:rsidRPr="00F7263B">
        <w:rPr>
          <w:color w:val="000000"/>
          <w:sz w:val="20"/>
          <w:szCs w:val="20"/>
          <w:lang w:val="en-GB"/>
        </w:rPr>
        <w:t>cases</w:t>
      </w:r>
      <w:r w:rsidR="00F81E66" w:rsidRPr="00F7263B">
        <w:rPr>
          <w:color w:val="000000"/>
          <w:sz w:val="20"/>
          <w:szCs w:val="20"/>
          <w:lang w:val="en-GB"/>
        </w:rPr>
        <w:t>,c</w:t>
      </w:r>
      <w:r w:rsidRPr="00F7263B">
        <w:rPr>
          <w:color w:val="000000"/>
          <w:sz w:val="20"/>
          <w:szCs w:val="20"/>
          <w:lang w:val="en-GB"/>
        </w:rPr>
        <w:t>ities did not make public audit findings either to the staff or the public</w:t>
      </w:r>
      <w:r w:rsidR="00450F86" w:rsidRPr="00F7263B">
        <w:rPr>
          <w:color w:val="000000"/>
          <w:sz w:val="20"/>
          <w:szCs w:val="20"/>
          <w:lang w:val="en-GB"/>
        </w:rPr>
        <w:t xml:space="preserve">.  </w:t>
      </w:r>
      <w:r w:rsidRPr="00F7263B">
        <w:rPr>
          <w:color w:val="000000"/>
          <w:sz w:val="20"/>
          <w:szCs w:val="20"/>
          <w:lang w:val="en-GB"/>
        </w:rPr>
        <w:t>This iss</w:t>
      </w:r>
      <w:r w:rsidR="00F81E66" w:rsidRPr="00F7263B">
        <w:rPr>
          <w:color w:val="000000"/>
          <w:sz w:val="20"/>
          <w:szCs w:val="20"/>
          <w:lang w:val="en-GB"/>
        </w:rPr>
        <w:t>ue needs to be addressed since parliamentary o</w:t>
      </w:r>
      <w:r w:rsidRPr="00F7263B">
        <w:rPr>
          <w:color w:val="000000"/>
          <w:sz w:val="20"/>
          <w:szCs w:val="20"/>
          <w:lang w:val="en-GB"/>
        </w:rPr>
        <w:t>versight over the budget process and for ensuring accountability has been identified as probably the weakest area of the PFM cycle in Ethiopia</w:t>
      </w:r>
      <w:r w:rsidR="008073B5" w:rsidRPr="00F7263B">
        <w:rPr>
          <w:color w:val="000000"/>
          <w:sz w:val="20"/>
          <w:szCs w:val="20"/>
          <w:lang w:val="en-GB"/>
        </w:rPr>
        <w:t xml:space="preserve">.  </w:t>
      </w:r>
    </w:p>
    <w:p w:rsidR="00F81E66" w:rsidRPr="00F7263B" w:rsidRDefault="00F81E66" w:rsidP="00F81E66">
      <w:pPr>
        <w:pStyle w:val="ListParagraph"/>
        <w:autoSpaceDE w:val="0"/>
        <w:autoSpaceDN w:val="0"/>
        <w:adjustRightInd w:val="0"/>
        <w:ind w:left="1440"/>
        <w:jc w:val="both"/>
        <w:rPr>
          <w:color w:val="000000"/>
          <w:sz w:val="20"/>
          <w:szCs w:val="20"/>
          <w:lang w:val="en-GB"/>
        </w:rPr>
      </w:pPr>
    </w:p>
    <w:p w:rsidR="006E7278" w:rsidRPr="00F7263B" w:rsidRDefault="00F81E66" w:rsidP="00056FC8">
      <w:pPr>
        <w:pStyle w:val="ListParagraph"/>
        <w:numPr>
          <w:ilvl w:val="0"/>
          <w:numId w:val="77"/>
        </w:numPr>
        <w:autoSpaceDE w:val="0"/>
        <w:autoSpaceDN w:val="0"/>
        <w:adjustRightInd w:val="0"/>
        <w:ind w:left="1440" w:hanging="720"/>
        <w:jc w:val="both"/>
        <w:rPr>
          <w:sz w:val="20"/>
          <w:szCs w:val="20"/>
        </w:rPr>
      </w:pPr>
      <w:r w:rsidRPr="00F7263B">
        <w:rPr>
          <w:b/>
          <w:color w:val="000000"/>
          <w:sz w:val="20"/>
          <w:szCs w:val="20"/>
          <w:lang w:val="en-GB"/>
        </w:rPr>
        <w:t>Staffing and i</w:t>
      </w:r>
      <w:r w:rsidR="004D2B36" w:rsidRPr="00F7263B">
        <w:rPr>
          <w:b/>
          <w:color w:val="000000"/>
          <w:sz w:val="20"/>
          <w:szCs w:val="20"/>
          <w:lang w:val="en-GB"/>
        </w:rPr>
        <w:t>nfrastructure</w:t>
      </w:r>
      <w:r w:rsidRPr="00F7263B">
        <w:rPr>
          <w:b/>
          <w:color w:val="000000"/>
          <w:sz w:val="20"/>
          <w:szCs w:val="20"/>
          <w:lang w:val="en-GB"/>
        </w:rPr>
        <w:t>.</w:t>
      </w:r>
      <w:r w:rsidR="004D2B36" w:rsidRPr="00F7263B">
        <w:rPr>
          <w:color w:val="000000"/>
          <w:sz w:val="20"/>
          <w:szCs w:val="20"/>
          <w:lang w:val="en-GB"/>
        </w:rPr>
        <w:t>The core functions for financial management are going to be conducted by the Office of Finance and Development in the participating cities</w:t>
      </w:r>
      <w:r w:rsidR="00450F86" w:rsidRPr="00F7263B">
        <w:rPr>
          <w:color w:val="000000"/>
          <w:sz w:val="20"/>
          <w:szCs w:val="20"/>
          <w:lang w:val="en-GB"/>
        </w:rPr>
        <w:t xml:space="preserve">.  </w:t>
      </w:r>
      <w:r w:rsidR="004D2B36" w:rsidRPr="00F7263B">
        <w:rPr>
          <w:color w:val="000000"/>
          <w:sz w:val="20"/>
          <w:szCs w:val="20"/>
          <w:lang w:val="en-GB"/>
        </w:rPr>
        <w:t xml:space="preserve">The October 2013 assessment has shown that </w:t>
      </w:r>
      <w:r w:rsidR="004D2B36" w:rsidRPr="00F7263B">
        <w:rPr>
          <w:sz w:val="20"/>
          <w:szCs w:val="20"/>
        </w:rPr>
        <w:t>22</w:t>
      </w:r>
      <w:r w:rsidRPr="00F7263B">
        <w:rPr>
          <w:sz w:val="20"/>
          <w:szCs w:val="20"/>
        </w:rPr>
        <w:t xml:space="preserve"> percent</w:t>
      </w:r>
      <w:r w:rsidR="004D2B36" w:rsidRPr="00F7263B">
        <w:rPr>
          <w:sz w:val="20"/>
          <w:szCs w:val="20"/>
        </w:rPr>
        <w:t xml:space="preserve"> of positions are empty in Offices of Finance and Economic Development (OFED)</w:t>
      </w:r>
      <w:r w:rsidR="00450F86" w:rsidRPr="00F7263B">
        <w:rPr>
          <w:sz w:val="20"/>
          <w:szCs w:val="20"/>
        </w:rPr>
        <w:t xml:space="preserve">.  </w:t>
      </w:r>
      <w:r w:rsidR="004D2B36" w:rsidRPr="00F7263B">
        <w:rPr>
          <w:sz w:val="20"/>
          <w:szCs w:val="20"/>
        </w:rPr>
        <w:t>The greatest shortfall is on the planning side where 33</w:t>
      </w:r>
      <w:r w:rsidRPr="00F7263B">
        <w:rPr>
          <w:sz w:val="20"/>
          <w:szCs w:val="20"/>
        </w:rPr>
        <w:t xml:space="preserve"> percent</w:t>
      </w:r>
      <w:r w:rsidR="004D2B36" w:rsidRPr="00F7263B">
        <w:rPr>
          <w:sz w:val="20"/>
          <w:szCs w:val="20"/>
        </w:rPr>
        <w:t xml:space="preserve"> of staff positions are vacant</w:t>
      </w:r>
      <w:r w:rsidR="00450F86" w:rsidRPr="00F7263B">
        <w:rPr>
          <w:sz w:val="20"/>
          <w:szCs w:val="20"/>
        </w:rPr>
        <w:t xml:space="preserve">.  </w:t>
      </w:r>
      <w:r w:rsidR="004D2B36" w:rsidRPr="00F7263B">
        <w:rPr>
          <w:sz w:val="20"/>
          <w:szCs w:val="20"/>
        </w:rPr>
        <w:t>In addition, there is high staff turnover</w:t>
      </w:r>
      <w:r w:rsidR="00450F86" w:rsidRPr="00F7263B">
        <w:rPr>
          <w:sz w:val="20"/>
          <w:szCs w:val="20"/>
        </w:rPr>
        <w:t xml:space="preserve">.  </w:t>
      </w:r>
      <w:r w:rsidR="001D67D6" w:rsidRPr="00F7263B">
        <w:rPr>
          <w:sz w:val="20"/>
          <w:szCs w:val="20"/>
        </w:rPr>
        <w:t xml:space="preserve">Some </w:t>
      </w:r>
      <w:r w:rsidR="004D2B36" w:rsidRPr="00F7263B">
        <w:rPr>
          <w:sz w:val="20"/>
          <w:szCs w:val="20"/>
        </w:rPr>
        <w:t>36</w:t>
      </w:r>
      <w:r w:rsidRPr="00F7263B">
        <w:rPr>
          <w:sz w:val="20"/>
          <w:szCs w:val="20"/>
        </w:rPr>
        <w:t xml:space="preserve"> percent</w:t>
      </w:r>
      <w:r w:rsidR="004D2B36" w:rsidRPr="00F7263B">
        <w:rPr>
          <w:sz w:val="20"/>
          <w:szCs w:val="20"/>
        </w:rPr>
        <w:t xml:space="preserve"> of the existing staff </w:t>
      </w:r>
      <w:r w:rsidR="00AC4402" w:rsidRPr="00F7263B">
        <w:rPr>
          <w:sz w:val="20"/>
          <w:szCs w:val="20"/>
        </w:rPr>
        <w:t>has</w:t>
      </w:r>
      <w:r w:rsidR="004D2B36" w:rsidRPr="00F7263B">
        <w:rPr>
          <w:sz w:val="20"/>
          <w:szCs w:val="20"/>
        </w:rPr>
        <w:t xml:space="preserve"> been in office for less than two years</w:t>
      </w:r>
      <w:r w:rsidR="00450F86" w:rsidRPr="00F7263B">
        <w:rPr>
          <w:sz w:val="20"/>
          <w:szCs w:val="20"/>
        </w:rPr>
        <w:t xml:space="preserve">.  </w:t>
      </w:r>
      <w:r w:rsidR="004D2B36" w:rsidRPr="00F7263B">
        <w:rPr>
          <w:sz w:val="20"/>
          <w:szCs w:val="20"/>
        </w:rPr>
        <w:t>There is therefore need to ensure that existing positions are filled up and that adequate training is provided to the existing staff to enable them to discharge their functions</w:t>
      </w:r>
      <w:r w:rsidR="00450F86" w:rsidRPr="00F7263B">
        <w:rPr>
          <w:sz w:val="20"/>
          <w:szCs w:val="20"/>
        </w:rPr>
        <w:t xml:space="preserve">.  </w:t>
      </w:r>
      <w:r w:rsidR="004D2B36" w:rsidRPr="00F7263B">
        <w:rPr>
          <w:sz w:val="20"/>
          <w:szCs w:val="20"/>
        </w:rPr>
        <w:t>The facility survey showed that in almost 75</w:t>
      </w:r>
      <w:r w:rsidRPr="00F7263B">
        <w:rPr>
          <w:sz w:val="20"/>
          <w:szCs w:val="20"/>
        </w:rPr>
        <w:t xml:space="preserve"> percent</w:t>
      </w:r>
      <w:r w:rsidR="004D2B36" w:rsidRPr="00F7263B">
        <w:rPr>
          <w:sz w:val="20"/>
          <w:szCs w:val="20"/>
        </w:rPr>
        <w:t xml:space="preserve"> of cities there were major basic facilities and infrastructure deficits that constrained staff from discharging their functions</w:t>
      </w:r>
      <w:r w:rsidR="00450F86" w:rsidRPr="00F7263B">
        <w:rPr>
          <w:sz w:val="20"/>
          <w:szCs w:val="20"/>
        </w:rPr>
        <w:t xml:space="preserve">.  </w:t>
      </w:r>
      <w:r w:rsidR="004D2B36" w:rsidRPr="00F7263B">
        <w:rPr>
          <w:sz w:val="20"/>
          <w:szCs w:val="20"/>
        </w:rPr>
        <w:t>This is an issue that will need to be addressed during ULGDP II.</w:t>
      </w:r>
    </w:p>
    <w:p w:rsidR="004D2B36" w:rsidRPr="00F7263B" w:rsidRDefault="004D2B36" w:rsidP="00254260">
      <w:pPr>
        <w:autoSpaceDE w:val="0"/>
        <w:autoSpaceDN w:val="0"/>
        <w:adjustRightInd w:val="0"/>
        <w:contextualSpacing/>
        <w:jc w:val="both"/>
        <w:rPr>
          <w:b/>
          <w:color w:val="000000"/>
          <w:sz w:val="20"/>
          <w:szCs w:val="20"/>
          <w:lang w:val="en-GB"/>
        </w:rPr>
      </w:pPr>
    </w:p>
    <w:p w:rsidR="004D2B36" w:rsidRPr="00F7263B" w:rsidRDefault="00F81E66" w:rsidP="00F81E66">
      <w:pPr>
        <w:ind w:left="792" w:hanging="792"/>
        <w:contextualSpacing/>
        <w:jc w:val="both"/>
        <w:rPr>
          <w:b/>
          <w:sz w:val="20"/>
          <w:szCs w:val="20"/>
        </w:rPr>
      </w:pPr>
      <w:r w:rsidRPr="00F7263B">
        <w:rPr>
          <w:b/>
          <w:sz w:val="20"/>
          <w:szCs w:val="20"/>
        </w:rPr>
        <w:t>Procurement systems a</w:t>
      </w:r>
      <w:r w:rsidR="004D2B36" w:rsidRPr="00F7263B">
        <w:rPr>
          <w:b/>
          <w:sz w:val="20"/>
          <w:szCs w:val="20"/>
        </w:rPr>
        <w:t>ssessment</w:t>
      </w:r>
    </w:p>
    <w:p w:rsidR="004D2B36" w:rsidRPr="00F7263B" w:rsidRDefault="004D2B36" w:rsidP="00254260">
      <w:pPr>
        <w:autoSpaceDE w:val="0"/>
        <w:autoSpaceDN w:val="0"/>
        <w:adjustRightInd w:val="0"/>
        <w:contextualSpacing/>
        <w:jc w:val="both"/>
        <w:rPr>
          <w:b/>
          <w:color w:val="000000"/>
          <w:sz w:val="20"/>
          <w:szCs w:val="20"/>
          <w:lang w:val="en-GB"/>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 xml:space="preserve">The Bank carried out a </w:t>
      </w:r>
      <w:r w:rsidR="00F81E66" w:rsidRPr="00F7263B">
        <w:rPr>
          <w:sz w:val="20"/>
          <w:szCs w:val="20"/>
        </w:rPr>
        <w:t>f</w:t>
      </w:r>
      <w:r w:rsidRPr="00F7263B">
        <w:rPr>
          <w:sz w:val="20"/>
          <w:szCs w:val="20"/>
        </w:rPr>
        <w:t>iduciary (procurement) system assessment for the proposed ULGDP II PforR operation between May and September 2013</w:t>
      </w:r>
      <w:r w:rsidR="00450F86" w:rsidRPr="00F7263B">
        <w:rPr>
          <w:sz w:val="20"/>
          <w:szCs w:val="20"/>
        </w:rPr>
        <w:t xml:space="preserve">.  </w:t>
      </w:r>
      <w:r w:rsidRPr="00F7263B">
        <w:rPr>
          <w:sz w:val="20"/>
          <w:szCs w:val="20"/>
        </w:rPr>
        <w:t>The review included applicable procurement systems, rules and procedures, including oversight mechanisms at the program implementing entities</w:t>
      </w:r>
      <w:r w:rsidR="00450F86" w:rsidRPr="00F7263B">
        <w:rPr>
          <w:sz w:val="20"/>
          <w:szCs w:val="20"/>
        </w:rPr>
        <w:t xml:space="preserve">.  </w:t>
      </w:r>
      <w:r w:rsidRPr="00F7263B">
        <w:rPr>
          <w:sz w:val="20"/>
          <w:szCs w:val="20"/>
        </w:rPr>
        <w:t>The program implementing entities are the federal Ministry of Urban Development, Housing and Construction (</w:t>
      </w:r>
      <w:r w:rsidR="00821460" w:rsidRPr="00F7263B">
        <w:rPr>
          <w:sz w:val="20"/>
          <w:szCs w:val="20"/>
        </w:rPr>
        <w:t>MUDHCo</w:t>
      </w:r>
      <w:r w:rsidRPr="00F7263B">
        <w:rPr>
          <w:sz w:val="20"/>
          <w:szCs w:val="20"/>
        </w:rPr>
        <w:t>), BoFEDs, and participating cities (ULGs)</w:t>
      </w:r>
      <w:r w:rsidR="00450F86" w:rsidRPr="00F7263B">
        <w:rPr>
          <w:sz w:val="20"/>
          <w:szCs w:val="20"/>
        </w:rPr>
        <w:t xml:space="preserve">.  </w:t>
      </w:r>
      <w:r w:rsidRPr="00F7263B">
        <w:rPr>
          <w:sz w:val="20"/>
          <w:szCs w:val="20"/>
        </w:rPr>
        <w:t>All the regions and 18 of the 44 participating cities have been visited and assessed</w:t>
      </w:r>
      <w:r w:rsidR="00450F86" w:rsidRPr="00F7263B">
        <w:rPr>
          <w:sz w:val="20"/>
          <w:szCs w:val="20"/>
        </w:rPr>
        <w:t xml:space="preserve">.  </w:t>
      </w:r>
      <w:r w:rsidRPr="00F7263B">
        <w:rPr>
          <w:sz w:val="20"/>
          <w:szCs w:val="20"/>
        </w:rPr>
        <w:t xml:space="preserve">The detail assessment reveals that, in all regional states and </w:t>
      </w:r>
      <w:r w:rsidR="00F81E66" w:rsidRPr="00F7263B">
        <w:rPr>
          <w:sz w:val="20"/>
          <w:szCs w:val="20"/>
        </w:rPr>
        <w:t>U</w:t>
      </w:r>
      <w:r w:rsidRPr="00F7263B">
        <w:rPr>
          <w:sz w:val="20"/>
          <w:szCs w:val="20"/>
        </w:rPr>
        <w:t>LGs, there is adequate public procurement and contracts management legislative framework and systems in place</w:t>
      </w:r>
      <w:r w:rsidR="00450F86" w:rsidRPr="00F7263B">
        <w:rPr>
          <w:sz w:val="20"/>
          <w:szCs w:val="20"/>
        </w:rPr>
        <w:t xml:space="preserve">.  </w:t>
      </w:r>
      <w:r w:rsidRPr="00F7263B">
        <w:rPr>
          <w:sz w:val="20"/>
          <w:szCs w:val="20"/>
        </w:rPr>
        <w:t xml:space="preserve">The major issues with all the implementing agencies are, except at the </w:t>
      </w:r>
      <w:r w:rsidR="00276BC8" w:rsidRPr="00F7263B">
        <w:rPr>
          <w:sz w:val="20"/>
          <w:szCs w:val="20"/>
        </w:rPr>
        <w:t>MUDHCo</w:t>
      </w:r>
      <w:r w:rsidRPr="00F7263B">
        <w:rPr>
          <w:sz w:val="20"/>
          <w:szCs w:val="20"/>
        </w:rPr>
        <w:t>, the weakness of implementation of the applicable public procurement rules and procedures including oversight mechanism</w:t>
      </w:r>
      <w:r w:rsidR="00450F86" w:rsidRPr="00F7263B">
        <w:rPr>
          <w:sz w:val="20"/>
          <w:szCs w:val="20"/>
        </w:rPr>
        <w:t xml:space="preserve">.  </w:t>
      </w:r>
      <w:r w:rsidRPr="00F7263B">
        <w:rPr>
          <w:sz w:val="20"/>
          <w:szCs w:val="20"/>
        </w:rPr>
        <w:t xml:space="preserve">The regions as well as the ULGs have limited capacity to follow the rules and </w:t>
      </w:r>
      <w:r w:rsidRPr="00F7263B">
        <w:rPr>
          <w:sz w:val="20"/>
          <w:szCs w:val="20"/>
        </w:rPr>
        <w:lastRenderedPageBreak/>
        <w:t>procedures and therefore there is risk of the agencies’ performance in implementing the applicable procedures under the program</w:t>
      </w:r>
      <w:r w:rsidR="00450F86" w:rsidRPr="00F7263B">
        <w:rPr>
          <w:sz w:val="20"/>
          <w:szCs w:val="20"/>
        </w:rPr>
        <w:t xml:space="preserve">.  </w:t>
      </w:r>
      <w:r w:rsidRPr="00F7263B">
        <w:rPr>
          <w:sz w:val="20"/>
          <w:szCs w:val="20"/>
        </w:rPr>
        <w:t>The overall performance of procuring entities (city administrations) in complying with established system and therefore ensure transparency, efficiency and economy is found to be underprovided</w:t>
      </w:r>
      <w:r w:rsidR="00450F86" w:rsidRPr="00F7263B">
        <w:rPr>
          <w:sz w:val="20"/>
          <w:szCs w:val="20"/>
        </w:rPr>
        <w:t xml:space="preserve">.  </w:t>
      </w:r>
      <w:r w:rsidRPr="00F7263B">
        <w:rPr>
          <w:sz w:val="20"/>
          <w:szCs w:val="20"/>
        </w:rPr>
        <w:t>The conclusion of this assessment is therefore the risk of program procurement system to help achieve the program results is high.</w:t>
      </w:r>
    </w:p>
    <w:p w:rsidR="004D2B36" w:rsidRPr="00F7263B" w:rsidRDefault="004D2B36" w:rsidP="004D2B36">
      <w:pPr>
        <w:autoSpaceDE w:val="0"/>
        <w:autoSpaceDN w:val="0"/>
        <w:adjustRightInd w:val="0"/>
        <w:contextualSpacing/>
        <w:jc w:val="both"/>
        <w:rPr>
          <w:sz w:val="20"/>
          <w:szCs w:val="20"/>
        </w:rPr>
      </w:pPr>
    </w:p>
    <w:p w:rsidR="006E7278" w:rsidRPr="00F7263B" w:rsidRDefault="005C2C7C" w:rsidP="00056FC8">
      <w:pPr>
        <w:numPr>
          <w:ilvl w:val="0"/>
          <w:numId w:val="67"/>
        </w:numPr>
        <w:autoSpaceDE w:val="0"/>
        <w:autoSpaceDN w:val="0"/>
        <w:adjustRightInd w:val="0"/>
        <w:ind w:left="0" w:firstLine="0"/>
        <w:contextualSpacing/>
        <w:jc w:val="both"/>
        <w:rPr>
          <w:sz w:val="20"/>
          <w:szCs w:val="20"/>
        </w:rPr>
      </w:pPr>
      <w:r w:rsidRPr="00F7263B">
        <w:rPr>
          <w:sz w:val="20"/>
          <w:szCs w:val="20"/>
        </w:rPr>
        <w:t>Three</w:t>
      </w:r>
      <w:r w:rsidR="004D2B36" w:rsidRPr="00F7263B">
        <w:rPr>
          <w:sz w:val="20"/>
          <w:szCs w:val="20"/>
        </w:rPr>
        <w:t xml:space="preserve"> sets of risk mitigation measures have been defined and proposed to be carried out</w:t>
      </w:r>
      <w:r w:rsidR="00450F86" w:rsidRPr="00F7263B">
        <w:rPr>
          <w:sz w:val="20"/>
          <w:szCs w:val="20"/>
        </w:rPr>
        <w:t xml:space="preserve">.  </w:t>
      </w:r>
      <w:r w:rsidR="004D2B36" w:rsidRPr="00F7263B">
        <w:rPr>
          <w:sz w:val="20"/>
          <w:szCs w:val="20"/>
        </w:rPr>
        <w:t>These measures are inherent in the design of the program and will be part of Disbursement Linked Indicators (DLI)</w:t>
      </w:r>
      <w:r w:rsidR="00450F86" w:rsidRPr="00F7263B">
        <w:rPr>
          <w:sz w:val="20"/>
          <w:szCs w:val="20"/>
        </w:rPr>
        <w:t xml:space="preserve">.  </w:t>
      </w:r>
      <w:r w:rsidR="004D2B36" w:rsidRPr="00F7263B">
        <w:rPr>
          <w:sz w:val="20"/>
          <w:szCs w:val="20"/>
        </w:rPr>
        <w:t xml:space="preserve">These risk mitigation measures include: </w:t>
      </w:r>
    </w:p>
    <w:p w:rsidR="004D2B36" w:rsidRPr="00F7263B" w:rsidRDefault="004D2B36" w:rsidP="00254260">
      <w:pPr>
        <w:autoSpaceDE w:val="0"/>
        <w:autoSpaceDN w:val="0"/>
        <w:adjustRightInd w:val="0"/>
        <w:contextualSpacing/>
        <w:jc w:val="both"/>
        <w:rPr>
          <w:sz w:val="20"/>
          <w:szCs w:val="20"/>
        </w:rPr>
      </w:pPr>
    </w:p>
    <w:p w:rsidR="006E7278" w:rsidRPr="00F7263B" w:rsidRDefault="00F81E66" w:rsidP="00056FC8">
      <w:pPr>
        <w:pStyle w:val="ListParagraph"/>
        <w:numPr>
          <w:ilvl w:val="0"/>
          <w:numId w:val="77"/>
        </w:numPr>
        <w:autoSpaceDE w:val="0"/>
        <w:autoSpaceDN w:val="0"/>
        <w:adjustRightInd w:val="0"/>
        <w:ind w:left="1440" w:hanging="720"/>
        <w:jc w:val="both"/>
        <w:rPr>
          <w:color w:val="000000"/>
          <w:sz w:val="20"/>
          <w:szCs w:val="20"/>
          <w:lang w:val="en-GB"/>
        </w:rPr>
      </w:pPr>
      <w:r w:rsidRPr="00F7263B">
        <w:rPr>
          <w:b/>
          <w:color w:val="000000"/>
          <w:sz w:val="20"/>
          <w:szCs w:val="20"/>
          <w:lang w:val="en-GB"/>
        </w:rPr>
        <w:t xml:space="preserve">Minimum </w:t>
      </w:r>
      <w:r w:rsidR="00540559" w:rsidRPr="00F7263B">
        <w:rPr>
          <w:b/>
          <w:color w:val="000000"/>
          <w:sz w:val="20"/>
          <w:szCs w:val="20"/>
          <w:lang w:val="en-GB"/>
        </w:rPr>
        <w:t>conditions</w:t>
      </w:r>
      <w:r w:rsidR="00540559" w:rsidRPr="00F7263B">
        <w:rPr>
          <w:color w:val="000000"/>
          <w:sz w:val="20"/>
          <w:szCs w:val="20"/>
          <w:lang w:val="en-GB"/>
        </w:rPr>
        <w:t>. These</w:t>
      </w:r>
      <w:r w:rsidR="004D2B36" w:rsidRPr="00F7263B">
        <w:rPr>
          <w:color w:val="000000"/>
          <w:sz w:val="20"/>
          <w:szCs w:val="20"/>
          <w:lang w:val="en-GB"/>
        </w:rPr>
        <w:t xml:space="preserve"> will be entry conditions for release of funds to a city</w:t>
      </w:r>
      <w:r w:rsidR="00450F86" w:rsidRPr="00F7263B">
        <w:rPr>
          <w:color w:val="000000"/>
          <w:sz w:val="20"/>
          <w:szCs w:val="20"/>
          <w:lang w:val="en-GB"/>
        </w:rPr>
        <w:t xml:space="preserve">.  </w:t>
      </w:r>
      <w:r w:rsidR="004D2B36" w:rsidRPr="00F7263B">
        <w:rPr>
          <w:color w:val="000000"/>
          <w:sz w:val="20"/>
          <w:szCs w:val="20"/>
          <w:lang w:val="en-GB"/>
        </w:rPr>
        <w:t xml:space="preserve">Procurement aspects of </w:t>
      </w:r>
      <w:r w:rsidRPr="00F7263B">
        <w:rPr>
          <w:color w:val="000000"/>
          <w:sz w:val="20"/>
          <w:szCs w:val="20"/>
          <w:lang w:val="en-GB"/>
        </w:rPr>
        <w:t>minimum conditions</w:t>
      </w:r>
      <w:r w:rsidR="004D2B36" w:rsidRPr="00F7263B">
        <w:rPr>
          <w:color w:val="000000"/>
          <w:sz w:val="20"/>
          <w:szCs w:val="20"/>
          <w:lang w:val="en-GB"/>
        </w:rPr>
        <w:t xml:space="preserve"> will include institutional set up for the management of procurement to include core staff, functional tender and complaints review committees, advance orientation of staff in procurement and a procurement plan linked to the budget</w:t>
      </w:r>
      <w:r w:rsidR="00450F86" w:rsidRPr="00F7263B">
        <w:rPr>
          <w:color w:val="000000"/>
          <w:sz w:val="20"/>
          <w:szCs w:val="20"/>
          <w:lang w:val="en-GB"/>
        </w:rPr>
        <w:t xml:space="preserve">.  </w:t>
      </w:r>
      <w:r w:rsidR="004D2B36" w:rsidRPr="00F7263B">
        <w:rPr>
          <w:color w:val="000000"/>
          <w:sz w:val="20"/>
          <w:szCs w:val="20"/>
          <w:lang w:val="en-GB"/>
        </w:rPr>
        <w:t>These will be assessed every year by a consultant prio</w:t>
      </w:r>
      <w:r w:rsidRPr="00F7263B">
        <w:rPr>
          <w:color w:val="000000"/>
          <w:sz w:val="20"/>
          <w:szCs w:val="20"/>
          <w:lang w:val="en-GB"/>
        </w:rPr>
        <w:t>r to release of funds.</w:t>
      </w:r>
    </w:p>
    <w:p w:rsidR="004D2B36" w:rsidRPr="00F7263B" w:rsidRDefault="004D2B36" w:rsidP="00254260">
      <w:pPr>
        <w:autoSpaceDE w:val="0"/>
        <w:autoSpaceDN w:val="0"/>
        <w:adjustRightInd w:val="0"/>
        <w:contextualSpacing/>
        <w:jc w:val="both"/>
        <w:rPr>
          <w:color w:val="000000"/>
          <w:sz w:val="20"/>
          <w:szCs w:val="20"/>
          <w:lang w:val="en-GB"/>
        </w:rPr>
      </w:pPr>
    </w:p>
    <w:p w:rsidR="006E7278" w:rsidRPr="00F7263B" w:rsidRDefault="00F81E66" w:rsidP="0056489C">
      <w:pPr>
        <w:pStyle w:val="ListParagraph"/>
        <w:numPr>
          <w:ilvl w:val="0"/>
          <w:numId w:val="77"/>
        </w:numPr>
        <w:autoSpaceDE w:val="0"/>
        <w:autoSpaceDN w:val="0"/>
        <w:adjustRightInd w:val="0"/>
        <w:ind w:left="1440" w:hanging="720"/>
        <w:jc w:val="both"/>
        <w:rPr>
          <w:sz w:val="20"/>
          <w:szCs w:val="20"/>
        </w:rPr>
      </w:pPr>
      <w:r w:rsidRPr="00F7263B">
        <w:rPr>
          <w:b/>
          <w:color w:val="000000"/>
          <w:sz w:val="20"/>
          <w:szCs w:val="20"/>
          <w:lang w:val="en-GB"/>
        </w:rPr>
        <w:t>Performance m</w:t>
      </w:r>
      <w:r w:rsidR="004D2B36" w:rsidRPr="00F7263B">
        <w:rPr>
          <w:b/>
          <w:color w:val="000000"/>
          <w:sz w:val="20"/>
          <w:szCs w:val="20"/>
          <w:lang w:val="en-GB"/>
        </w:rPr>
        <w:t>easures</w:t>
      </w:r>
      <w:r w:rsidRPr="00F7263B">
        <w:rPr>
          <w:b/>
          <w:color w:val="000000"/>
          <w:sz w:val="20"/>
          <w:szCs w:val="20"/>
          <w:lang w:val="en-GB"/>
        </w:rPr>
        <w:t>.</w:t>
      </w:r>
      <w:r w:rsidR="004D2B36" w:rsidRPr="00F7263B">
        <w:rPr>
          <w:color w:val="000000"/>
          <w:sz w:val="20"/>
          <w:szCs w:val="20"/>
          <w:lang w:val="en-GB"/>
        </w:rPr>
        <w:t xml:space="preserve">  Annual performance assessment will be carried out annual by a consultant to inform following year allocation to cities</w:t>
      </w:r>
      <w:r w:rsidR="00450F86" w:rsidRPr="00F7263B">
        <w:rPr>
          <w:color w:val="000000"/>
          <w:sz w:val="20"/>
          <w:szCs w:val="20"/>
          <w:lang w:val="en-GB"/>
        </w:rPr>
        <w:t xml:space="preserve">.  </w:t>
      </w:r>
      <w:r w:rsidR="004D2B36" w:rsidRPr="00F7263B">
        <w:rPr>
          <w:color w:val="000000"/>
          <w:sz w:val="20"/>
          <w:szCs w:val="20"/>
          <w:lang w:val="en-GB"/>
        </w:rPr>
        <w:t>Procurement aspects will include  delivery of audit along with management response (accountability), quarterly publication of ICB and NCB awards( Transparency),  percentage contracts made within initial validity period (efficiency), reduction in number of direct contracting without justification(economy) and degree to which directives and standard bidding documents are complied with</w:t>
      </w:r>
      <w:r w:rsidR="005C2C7C" w:rsidRPr="00F7263B">
        <w:rPr>
          <w:color w:val="000000"/>
          <w:sz w:val="20"/>
          <w:szCs w:val="20"/>
          <w:lang w:val="en-GB"/>
        </w:rPr>
        <w:t>.</w:t>
      </w:r>
      <w:r w:rsidR="00E63DE9">
        <w:rPr>
          <w:color w:val="000000"/>
          <w:sz w:val="20"/>
          <w:szCs w:val="20"/>
          <w:lang w:val="en-GB"/>
        </w:rPr>
        <w:t xml:space="preserve"> </w:t>
      </w:r>
      <w:r w:rsidRPr="00F7263B">
        <w:rPr>
          <w:color w:val="000000"/>
          <w:sz w:val="20"/>
          <w:szCs w:val="20"/>
          <w:lang w:val="en-GB"/>
        </w:rPr>
        <w:t>The R</w:t>
      </w:r>
      <w:r w:rsidR="004D2B36" w:rsidRPr="00F7263B">
        <w:rPr>
          <w:color w:val="000000"/>
          <w:sz w:val="20"/>
          <w:szCs w:val="20"/>
          <w:lang w:val="en-GB"/>
        </w:rPr>
        <w:t>egional Public Procurement and Asset Management Agencies (RPPAMAs) are legally mandated to carry out procurement audits in their jurisdictions</w:t>
      </w:r>
      <w:r w:rsidR="00450F86" w:rsidRPr="00F7263B">
        <w:rPr>
          <w:color w:val="000000"/>
          <w:sz w:val="20"/>
          <w:szCs w:val="20"/>
          <w:lang w:val="en-GB"/>
        </w:rPr>
        <w:t xml:space="preserve">.  </w:t>
      </w:r>
      <w:r w:rsidR="004D2B36" w:rsidRPr="00F7263B">
        <w:rPr>
          <w:color w:val="000000"/>
          <w:sz w:val="20"/>
          <w:szCs w:val="20"/>
          <w:lang w:val="en-GB"/>
        </w:rPr>
        <w:t>However since these agencies do not have the capacity at the moment, their capacity will be built over the first two years and the annual procurements audits will be carried out after the second year of the program implementation by the respective RPPAMAs</w:t>
      </w:r>
      <w:r w:rsidR="00450F86" w:rsidRPr="00F7263B">
        <w:rPr>
          <w:color w:val="000000"/>
          <w:sz w:val="20"/>
          <w:szCs w:val="20"/>
          <w:lang w:val="en-GB"/>
        </w:rPr>
        <w:t xml:space="preserve">.  </w:t>
      </w:r>
      <w:r w:rsidR="004D2B36" w:rsidRPr="00F7263B">
        <w:rPr>
          <w:color w:val="000000"/>
          <w:sz w:val="20"/>
          <w:szCs w:val="20"/>
          <w:lang w:val="en-GB"/>
        </w:rPr>
        <w:t>The first and second year procurement audit will be carried out as part of the APA</w:t>
      </w:r>
      <w:r w:rsidR="00450F86" w:rsidRPr="00F7263B">
        <w:rPr>
          <w:color w:val="000000"/>
          <w:sz w:val="20"/>
          <w:szCs w:val="20"/>
          <w:lang w:val="en-GB"/>
        </w:rPr>
        <w:t xml:space="preserve">.  </w:t>
      </w:r>
      <w:r w:rsidR="004D2B36" w:rsidRPr="00F7263B">
        <w:rPr>
          <w:color w:val="000000"/>
          <w:sz w:val="20"/>
          <w:szCs w:val="20"/>
          <w:lang w:val="en-GB"/>
        </w:rPr>
        <w:t>The audits will assess performance as well as compliance.</w:t>
      </w:r>
    </w:p>
    <w:p w:rsidR="00F81E66" w:rsidRPr="00F7263B" w:rsidRDefault="00F81E66" w:rsidP="00F81E66">
      <w:pPr>
        <w:pStyle w:val="ListParagraph"/>
        <w:rPr>
          <w:sz w:val="20"/>
          <w:szCs w:val="20"/>
        </w:rPr>
      </w:pPr>
    </w:p>
    <w:p w:rsidR="006E7278" w:rsidRPr="00F7263B" w:rsidRDefault="00F81E66" w:rsidP="00056FC8">
      <w:pPr>
        <w:pStyle w:val="ListParagraph"/>
        <w:numPr>
          <w:ilvl w:val="0"/>
          <w:numId w:val="77"/>
        </w:numPr>
        <w:autoSpaceDE w:val="0"/>
        <w:autoSpaceDN w:val="0"/>
        <w:adjustRightInd w:val="0"/>
        <w:ind w:left="1440" w:hanging="720"/>
        <w:jc w:val="both"/>
        <w:rPr>
          <w:sz w:val="20"/>
          <w:szCs w:val="20"/>
        </w:rPr>
      </w:pPr>
      <w:r w:rsidRPr="00F7263B">
        <w:rPr>
          <w:b/>
          <w:color w:val="000000"/>
          <w:sz w:val="20"/>
          <w:szCs w:val="20"/>
          <w:lang w:val="en-GB"/>
        </w:rPr>
        <w:t>Action p</w:t>
      </w:r>
      <w:r w:rsidR="004D2B36" w:rsidRPr="00F7263B">
        <w:rPr>
          <w:b/>
          <w:color w:val="000000"/>
          <w:sz w:val="20"/>
          <w:szCs w:val="20"/>
          <w:lang w:val="en-GB"/>
        </w:rPr>
        <w:t>lan</w:t>
      </w:r>
      <w:r w:rsidRPr="00F7263B">
        <w:rPr>
          <w:b/>
          <w:color w:val="000000"/>
          <w:sz w:val="20"/>
          <w:szCs w:val="20"/>
          <w:lang w:val="en-GB"/>
        </w:rPr>
        <w:t>.</w:t>
      </w:r>
      <w:r w:rsidR="004D2B36" w:rsidRPr="00F7263B">
        <w:rPr>
          <w:color w:val="000000"/>
          <w:sz w:val="20"/>
          <w:szCs w:val="20"/>
          <w:lang w:val="en-GB"/>
        </w:rPr>
        <w:t xml:space="preserve">  Program action plan include</w:t>
      </w:r>
      <w:r w:rsidR="00F10485" w:rsidRPr="00F7263B">
        <w:rPr>
          <w:color w:val="000000"/>
          <w:sz w:val="20"/>
          <w:szCs w:val="20"/>
          <w:lang w:val="en-GB"/>
        </w:rPr>
        <w:t>d</w:t>
      </w:r>
      <w:r w:rsidR="004D2B36" w:rsidRPr="00F7263B">
        <w:rPr>
          <w:color w:val="000000"/>
          <w:sz w:val="20"/>
          <w:szCs w:val="20"/>
          <w:lang w:val="en-GB"/>
        </w:rPr>
        <w:t xml:space="preserve"> activities key stakeholders will carry out to prepare for implementation and during implementation</w:t>
      </w:r>
      <w:r w:rsidR="00450F86" w:rsidRPr="00F7263B">
        <w:rPr>
          <w:color w:val="000000"/>
          <w:sz w:val="20"/>
          <w:szCs w:val="20"/>
          <w:lang w:val="en-GB"/>
        </w:rPr>
        <w:t xml:space="preserve">.  </w:t>
      </w:r>
      <w:r w:rsidR="004D2B36" w:rsidRPr="00F7263B">
        <w:rPr>
          <w:color w:val="000000"/>
          <w:sz w:val="20"/>
          <w:szCs w:val="20"/>
          <w:lang w:val="en-GB"/>
        </w:rPr>
        <w:t>Program action plan is included as part of the risk mitigation measures</w:t>
      </w:r>
      <w:r w:rsidR="004D2B36" w:rsidRPr="00F7263B">
        <w:rPr>
          <w:sz w:val="20"/>
          <w:szCs w:val="20"/>
        </w:rPr>
        <w:t xml:space="preserve"> and detailed in procurement annex of this report.</w:t>
      </w:r>
    </w:p>
    <w:p w:rsidR="004D2B36" w:rsidRPr="00F7263B" w:rsidRDefault="004D2B36" w:rsidP="00254260">
      <w:pPr>
        <w:autoSpaceDE w:val="0"/>
        <w:autoSpaceDN w:val="0"/>
        <w:adjustRightInd w:val="0"/>
        <w:contextualSpacing/>
        <w:jc w:val="both"/>
        <w:rPr>
          <w:b/>
          <w:sz w:val="20"/>
          <w:szCs w:val="20"/>
        </w:rPr>
      </w:pPr>
    </w:p>
    <w:p w:rsidR="004D2B36" w:rsidRPr="00F7263B" w:rsidRDefault="00F81E66" w:rsidP="004D2B36">
      <w:pPr>
        <w:ind w:left="792" w:hanging="792"/>
        <w:contextualSpacing/>
        <w:jc w:val="both"/>
        <w:rPr>
          <w:b/>
          <w:sz w:val="20"/>
          <w:szCs w:val="20"/>
        </w:rPr>
      </w:pPr>
      <w:r w:rsidRPr="00F7263B">
        <w:rPr>
          <w:b/>
          <w:sz w:val="20"/>
          <w:szCs w:val="20"/>
        </w:rPr>
        <w:t>Fraud and c</w:t>
      </w:r>
      <w:r w:rsidR="004D2B36" w:rsidRPr="00F7263B">
        <w:rPr>
          <w:b/>
          <w:sz w:val="20"/>
          <w:szCs w:val="20"/>
        </w:rPr>
        <w:t xml:space="preserve">orruption </w:t>
      </w:r>
      <w:r w:rsidRPr="00F7263B">
        <w:rPr>
          <w:b/>
          <w:sz w:val="20"/>
          <w:szCs w:val="20"/>
        </w:rPr>
        <w:t>i</w:t>
      </w:r>
      <w:r w:rsidR="004D2B36" w:rsidRPr="00F7263B">
        <w:rPr>
          <w:b/>
          <w:sz w:val="20"/>
          <w:szCs w:val="20"/>
        </w:rPr>
        <w:t>ssues</w:t>
      </w:r>
    </w:p>
    <w:p w:rsidR="004D2B36" w:rsidRPr="00F7263B" w:rsidRDefault="004D2B36" w:rsidP="00254260">
      <w:pPr>
        <w:autoSpaceDE w:val="0"/>
        <w:autoSpaceDN w:val="0"/>
        <w:adjustRightInd w:val="0"/>
        <w:contextualSpacing/>
        <w:jc w:val="both"/>
        <w:rPr>
          <w:sz w:val="20"/>
          <w:szCs w:val="20"/>
          <w:lang w:val="en-GB"/>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There is a robust legal framework for addressing fraud and corruption in Ethiopia</w:t>
      </w:r>
      <w:r w:rsidR="00450F86" w:rsidRPr="00F7263B">
        <w:rPr>
          <w:sz w:val="20"/>
          <w:szCs w:val="20"/>
        </w:rPr>
        <w:t xml:space="preserve">.  </w:t>
      </w:r>
      <w:r w:rsidRPr="00F7263B">
        <w:rPr>
          <w:sz w:val="20"/>
          <w:szCs w:val="20"/>
        </w:rPr>
        <w:t>The Government has established the Federal Ethics and Anti-Corruption Commission (FEACC) with a mandate to expand and promote ethics and anti-corruption education, prevent corruption (through review of working procedures and systems), and to investigate and prosecute alleged corruption offences since 2001</w:t>
      </w:r>
      <w:r w:rsidR="00450F86" w:rsidRPr="00F7263B">
        <w:rPr>
          <w:sz w:val="20"/>
          <w:szCs w:val="20"/>
        </w:rPr>
        <w:t>.</w:t>
      </w:r>
      <w:r w:rsidRPr="00F7263B">
        <w:rPr>
          <w:sz w:val="20"/>
          <w:szCs w:val="20"/>
          <w:vertAlign w:val="superscript"/>
        </w:rPr>
        <w:footnoteReference w:id="54"/>
      </w:r>
      <w:r w:rsidRPr="00F7263B">
        <w:rPr>
          <w:sz w:val="20"/>
          <w:szCs w:val="20"/>
        </w:rPr>
        <w:t>The Government has also declared that it follows a zero-tolerance policy toward corruption</w:t>
      </w:r>
      <w:r w:rsidR="00450F86" w:rsidRPr="00F7263B">
        <w:rPr>
          <w:sz w:val="20"/>
          <w:szCs w:val="20"/>
        </w:rPr>
        <w:t xml:space="preserve">.  </w:t>
      </w:r>
      <w:r w:rsidRPr="00F7263B">
        <w:rPr>
          <w:sz w:val="20"/>
          <w:szCs w:val="20"/>
        </w:rPr>
        <w:t>The FEACC has received political support at the highest level in the country</w:t>
      </w:r>
      <w:r w:rsidR="00450F86" w:rsidRPr="00F7263B">
        <w:rPr>
          <w:sz w:val="20"/>
          <w:szCs w:val="20"/>
        </w:rPr>
        <w:t xml:space="preserve">.  </w:t>
      </w:r>
      <w:r w:rsidRPr="00F7263B">
        <w:rPr>
          <w:sz w:val="20"/>
          <w:szCs w:val="20"/>
        </w:rPr>
        <w:t>Since 2007, all the nine Regional Governments have established their own Regional Ethics and Anti-corruption Commission (REACC) as per the regional laws</w:t>
      </w:r>
      <w:r w:rsidR="00450F86" w:rsidRPr="00F7263B">
        <w:rPr>
          <w:sz w:val="20"/>
          <w:szCs w:val="20"/>
        </w:rPr>
        <w:t xml:space="preserve">.  </w:t>
      </w:r>
      <w:r w:rsidRPr="00F7263B">
        <w:rPr>
          <w:sz w:val="20"/>
          <w:szCs w:val="20"/>
        </w:rPr>
        <w:t>FEACC is responsible for coordinating efforts of Anti-corruption across regions including ULGs and preparing a national report on anti-corruption efforts across the country.</w:t>
      </w:r>
    </w:p>
    <w:p w:rsidR="004D2B36" w:rsidRPr="00F7263B" w:rsidRDefault="004D2B36" w:rsidP="004D2B36">
      <w:pPr>
        <w:autoSpaceDE w:val="0"/>
        <w:autoSpaceDN w:val="0"/>
        <w:adjustRightInd w:val="0"/>
        <w:contextualSpacing/>
        <w:jc w:val="both"/>
        <w:rPr>
          <w:sz w:val="20"/>
          <w:szCs w:val="20"/>
        </w:rPr>
      </w:pPr>
    </w:p>
    <w:p w:rsidR="00CC1F2E"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Complaint handling mechanisms are in place at all level of governments as per the requirement of the National Proclamations (Proclamation 433/2005 and 434/2005) and institutional level operational guidelines</w:t>
      </w:r>
      <w:r w:rsidR="00450F86" w:rsidRPr="00F7263B">
        <w:rPr>
          <w:sz w:val="20"/>
          <w:szCs w:val="20"/>
        </w:rPr>
        <w:t xml:space="preserve">.  </w:t>
      </w:r>
      <w:r w:rsidRPr="00F7263B">
        <w:rPr>
          <w:sz w:val="20"/>
          <w:szCs w:val="20"/>
        </w:rPr>
        <w:t>These proclamations clearly define the procedures to follow under corruption offences as well as for administrative complaints related to the Program</w:t>
      </w:r>
      <w:r w:rsidR="00450F86" w:rsidRPr="00F7263B">
        <w:rPr>
          <w:sz w:val="20"/>
          <w:szCs w:val="20"/>
        </w:rPr>
        <w:t>.</w:t>
      </w:r>
    </w:p>
    <w:p w:rsidR="006E7278" w:rsidRPr="00F7263B" w:rsidRDefault="00CC1F2E" w:rsidP="00CC1F2E">
      <w:pPr>
        <w:autoSpaceDE w:val="0"/>
        <w:autoSpaceDN w:val="0"/>
        <w:adjustRightInd w:val="0"/>
        <w:contextualSpacing/>
        <w:jc w:val="both"/>
        <w:rPr>
          <w:sz w:val="20"/>
          <w:szCs w:val="20"/>
        </w:rPr>
      </w:pPr>
      <w:r w:rsidRPr="00F7263B">
        <w:rPr>
          <w:sz w:val="20"/>
          <w:szCs w:val="20"/>
        </w:rPr>
        <w:t>There are a number ways for</w:t>
      </w:r>
      <w:r w:rsidR="00E63DE9">
        <w:rPr>
          <w:sz w:val="20"/>
          <w:szCs w:val="20"/>
        </w:rPr>
        <w:t xml:space="preserve"> </w:t>
      </w:r>
      <w:r w:rsidRPr="00F7263B">
        <w:rPr>
          <w:sz w:val="20"/>
          <w:szCs w:val="20"/>
        </w:rPr>
        <w:t>participation and engagement of citizens in complaint handling, transparency and social accountability.</w:t>
      </w:r>
      <w:r w:rsidR="00E63DE9">
        <w:rPr>
          <w:sz w:val="20"/>
          <w:szCs w:val="20"/>
        </w:rPr>
        <w:t xml:space="preserve"> </w:t>
      </w:r>
      <w:r w:rsidRPr="00F7263B">
        <w:rPr>
          <w:sz w:val="20"/>
          <w:szCs w:val="20"/>
        </w:rPr>
        <w:t>At the grassroots, citizens have shown experience in forming community groups, committee or representative to liaison with constituency and seek solutions. ULGs have started to create forum for receiving in requests and information and responsiveness by local authorities. Such mechanisms include facilitating face-to-</w:t>
      </w:r>
      <w:r w:rsidRPr="00F7263B">
        <w:rPr>
          <w:sz w:val="20"/>
          <w:szCs w:val="20"/>
        </w:rPr>
        <w:lastRenderedPageBreak/>
        <w:t>face/interface meetings and joint discussion between citizens and providers of services; joint monitoring and assessment performances.</w:t>
      </w:r>
      <w:r w:rsidR="004D2B36" w:rsidRPr="00F7263B">
        <w:rPr>
          <w:sz w:val="20"/>
          <w:szCs w:val="20"/>
        </w:rPr>
        <w:t>Although the system of complaints handling is very well</w:t>
      </w:r>
      <w:r w:rsidR="001D67D6" w:rsidRPr="00F7263B">
        <w:rPr>
          <w:sz w:val="20"/>
          <w:szCs w:val="20"/>
        </w:rPr>
        <w:t xml:space="preserve"> established in Ethiopia, the M</w:t>
      </w:r>
      <w:r w:rsidR="004D2B36" w:rsidRPr="00F7263B">
        <w:rPr>
          <w:sz w:val="20"/>
          <w:szCs w:val="20"/>
        </w:rPr>
        <w:t>UD</w:t>
      </w:r>
      <w:r w:rsidR="007B2A98" w:rsidRPr="00F7263B">
        <w:rPr>
          <w:sz w:val="20"/>
          <w:szCs w:val="20"/>
        </w:rPr>
        <w:t>H</w:t>
      </w:r>
      <w:r w:rsidR="004D2B36" w:rsidRPr="00F7263B">
        <w:rPr>
          <w:sz w:val="20"/>
          <w:szCs w:val="20"/>
        </w:rPr>
        <w:t>C</w:t>
      </w:r>
      <w:r w:rsidR="007B2A98" w:rsidRPr="00F7263B">
        <w:rPr>
          <w:sz w:val="20"/>
          <w:szCs w:val="20"/>
        </w:rPr>
        <w:t>o</w:t>
      </w:r>
      <w:r w:rsidR="004D2B36" w:rsidRPr="00F7263B">
        <w:rPr>
          <w:sz w:val="20"/>
          <w:szCs w:val="20"/>
        </w:rPr>
        <w:t xml:space="preserve"> and the </w:t>
      </w:r>
      <w:r w:rsidR="007B2A98" w:rsidRPr="00F7263B">
        <w:rPr>
          <w:sz w:val="20"/>
          <w:szCs w:val="20"/>
        </w:rPr>
        <w:t>r</w:t>
      </w:r>
      <w:r w:rsidR="004D2B36" w:rsidRPr="00F7263B">
        <w:rPr>
          <w:sz w:val="20"/>
          <w:szCs w:val="20"/>
        </w:rPr>
        <w:t xml:space="preserve">egional and </w:t>
      </w:r>
      <w:r w:rsidR="007B2A98" w:rsidRPr="00F7263B">
        <w:rPr>
          <w:sz w:val="20"/>
          <w:szCs w:val="20"/>
        </w:rPr>
        <w:t>l</w:t>
      </w:r>
      <w:r w:rsidR="004D2B36" w:rsidRPr="00F7263B">
        <w:rPr>
          <w:sz w:val="20"/>
          <w:szCs w:val="20"/>
        </w:rPr>
        <w:t xml:space="preserve">ocal </w:t>
      </w:r>
      <w:r w:rsidR="007B2A98" w:rsidRPr="00F7263B">
        <w:rPr>
          <w:sz w:val="20"/>
          <w:szCs w:val="20"/>
        </w:rPr>
        <w:t>governments</w:t>
      </w:r>
      <w:r w:rsidR="004D2B36" w:rsidRPr="00F7263B">
        <w:rPr>
          <w:sz w:val="20"/>
          <w:szCs w:val="20"/>
        </w:rPr>
        <w:t xml:space="preserve"> will take full r</w:t>
      </w:r>
      <w:r w:rsidR="007B2A98" w:rsidRPr="00F7263B">
        <w:rPr>
          <w:sz w:val="20"/>
          <w:szCs w:val="20"/>
        </w:rPr>
        <w:t>esponsibility in ensuring that the P</w:t>
      </w:r>
      <w:r w:rsidR="004D2B36" w:rsidRPr="00F7263B">
        <w:rPr>
          <w:sz w:val="20"/>
          <w:szCs w:val="20"/>
        </w:rPr>
        <w:t>rogram beneficiaries are regularly informed about the complaint system which is an important requirement that will help in ensuring the program meets its development objectives.</w:t>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Complaints regarding the program can be received from internal or external clients through various channels such as suggestion boxes, verbal, written and in person</w:t>
      </w:r>
      <w:r w:rsidR="00450F86" w:rsidRPr="00F7263B">
        <w:rPr>
          <w:sz w:val="20"/>
          <w:szCs w:val="20"/>
        </w:rPr>
        <w:t xml:space="preserve">.  </w:t>
      </w:r>
      <w:r w:rsidRPr="00F7263B">
        <w:rPr>
          <w:sz w:val="20"/>
          <w:szCs w:val="20"/>
        </w:rPr>
        <w:t xml:space="preserve">At the ULGs level, complaints are lodged to the </w:t>
      </w:r>
      <w:r w:rsidR="007B2A98" w:rsidRPr="00F7263B">
        <w:rPr>
          <w:sz w:val="20"/>
          <w:szCs w:val="20"/>
        </w:rPr>
        <w:t>C</w:t>
      </w:r>
      <w:r w:rsidRPr="00F7263B">
        <w:rPr>
          <w:sz w:val="20"/>
          <w:szCs w:val="20"/>
        </w:rPr>
        <w:t xml:space="preserve">ity </w:t>
      </w:r>
      <w:r w:rsidR="007B2A98" w:rsidRPr="00F7263B">
        <w:rPr>
          <w:sz w:val="20"/>
          <w:szCs w:val="20"/>
        </w:rPr>
        <w:t>Complaint H</w:t>
      </w:r>
      <w:r w:rsidRPr="00F7263B">
        <w:rPr>
          <w:sz w:val="20"/>
          <w:szCs w:val="20"/>
        </w:rPr>
        <w:t xml:space="preserve">andling </w:t>
      </w:r>
      <w:r w:rsidR="007B2A98" w:rsidRPr="00F7263B">
        <w:rPr>
          <w:sz w:val="20"/>
          <w:szCs w:val="20"/>
        </w:rPr>
        <w:t>B</w:t>
      </w:r>
      <w:r w:rsidRPr="00F7263B">
        <w:rPr>
          <w:sz w:val="20"/>
          <w:szCs w:val="20"/>
        </w:rPr>
        <w:t>ody or unit consisting of Ethics Liaison Unit officers, to the police, to other delegated bodies or directly to REACC</w:t>
      </w:r>
      <w:r w:rsidR="00450F86" w:rsidRPr="00F7263B">
        <w:rPr>
          <w:sz w:val="20"/>
          <w:szCs w:val="20"/>
        </w:rPr>
        <w:t xml:space="preserve">.  </w:t>
      </w:r>
      <w:r w:rsidR="00311519" w:rsidRPr="00F7263B">
        <w:rPr>
          <w:rFonts w:eastAsiaTheme="minorHAnsi"/>
          <w:color w:val="000000"/>
          <w:sz w:val="20"/>
          <w:szCs w:val="20"/>
        </w:rPr>
        <w:t>Consequently, information on fraud and corruption and complaints regarding the Program will be collected at the Regional level and shared with the Federal Ethics and Anti-Corruption Commission who will in turn share with the Bank bi-annua</w:t>
      </w:r>
      <w:r w:rsidR="005014D6" w:rsidRPr="00F7263B">
        <w:rPr>
          <w:rFonts w:eastAsiaTheme="minorHAnsi"/>
          <w:color w:val="000000"/>
          <w:sz w:val="20"/>
          <w:szCs w:val="20"/>
        </w:rPr>
        <w:t>l</w:t>
      </w:r>
      <w:r w:rsidR="00311519" w:rsidRPr="00F7263B">
        <w:rPr>
          <w:rFonts w:eastAsiaTheme="minorHAnsi"/>
          <w:color w:val="000000"/>
          <w:sz w:val="20"/>
          <w:szCs w:val="20"/>
        </w:rPr>
        <w:t>ly.</w:t>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The City Complaint</w:t>
      </w:r>
      <w:r w:rsidR="007B2A98" w:rsidRPr="00F7263B">
        <w:rPr>
          <w:sz w:val="20"/>
          <w:szCs w:val="20"/>
        </w:rPr>
        <w:t xml:space="preserve"> Handling B</w:t>
      </w:r>
      <w:r w:rsidRPr="00F7263B">
        <w:rPr>
          <w:sz w:val="20"/>
          <w:szCs w:val="20"/>
        </w:rPr>
        <w:t>ody identifies whether the complaint is F &amp; C related complaints or other complaint (such as administrative /system, service provision related complaints) and classifies petty and grand corruption</w:t>
      </w:r>
      <w:r w:rsidR="007B2A98" w:rsidRPr="00F7263B">
        <w:rPr>
          <w:sz w:val="20"/>
          <w:szCs w:val="20"/>
        </w:rPr>
        <w:t>.</w:t>
      </w:r>
      <w:r w:rsidRPr="00F7263B">
        <w:rPr>
          <w:sz w:val="20"/>
          <w:szCs w:val="20"/>
          <w:vertAlign w:val="superscript"/>
        </w:rPr>
        <w:footnoteReference w:id="55"/>
      </w:r>
      <w:r w:rsidRPr="00F7263B">
        <w:rPr>
          <w:sz w:val="20"/>
          <w:szCs w:val="20"/>
        </w:rPr>
        <w:t>It also identifies whether the jurisdictions in which a complaint could be treated is with either FEACC or REACC or delegated to the Police for investigations</w:t>
      </w:r>
      <w:r w:rsidR="00450F86" w:rsidRPr="00F7263B">
        <w:rPr>
          <w:sz w:val="20"/>
          <w:szCs w:val="20"/>
        </w:rPr>
        <w:t xml:space="preserve">.  </w:t>
      </w:r>
      <w:r w:rsidRPr="00F7263B">
        <w:rPr>
          <w:sz w:val="20"/>
          <w:szCs w:val="20"/>
        </w:rPr>
        <w:t>If the complaint is classified as an administrative issue related to the Program, the Complaint</w:t>
      </w:r>
      <w:r w:rsidR="007B2A98" w:rsidRPr="00F7263B">
        <w:rPr>
          <w:sz w:val="20"/>
          <w:szCs w:val="20"/>
        </w:rPr>
        <w:t xml:space="preserve"> Handling B</w:t>
      </w:r>
      <w:r w:rsidRPr="00F7263B">
        <w:rPr>
          <w:sz w:val="20"/>
          <w:szCs w:val="20"/>
        </w:rPr>
        <w:t>ody collects the required information and refer</w:t>
      </w:r>
      <w:r w:rsidR="007B2A98" w:rsidRPr="00F7263B">
        <w:rPr>
          <w:sz w:val="20"/>
          <w:szCs w:val="20"/>
        </w:rPr>
        <w:t xml:space="preserve">s to the concerned institution or </w:t>
      </w:r>
      <w:r w:rsidRPr="00F7263B">
        <w:rPr>
          <w:sz w:val="20"/>
          <w:szCs w:val="20"/>
        </w:rPr>
        <w:t>department and provides advice to take preventive and corrective actions while at the same time reporting to the Ethics infrastructure coordination Department at REACC which keeps track of the complaints that come in on the Program</w:t>
      </w:r>
      <w:r w:rsidR="00450F86" w:rsidRPr="00F7263B">
        <w:rPr>
          <w:sz w:val="20"/>
          <w:szCs w:val="20"/>
        </w:rPr>
        <w:t xml:space="preserve">.  </w:t>
      </w:r>
      <w:r w:rsidRPr="00F7263B">
        <w:rPr>
          <w:sz w:val="20"/>
          <w:szCs w:val="20"/>
        </w:rPr>
        <w:t>Response or feedback is provided to the complainer</w:t>
      </w:r>
      <w:r w:rsidR="00450F86" w:rsidRPr="00F7263B">
        <w:rPr>
          <w:sz w:val="20"/>
          <w:szCs w:val="20"/>
        </w:rPr>
        <w:t xml:space="preserve">.  </w:t>
      </w:r>
      <w:r w:rsidRPr="00F7263B">
        <w:rPr>
          <w:sz w:val="20"/>
          <w:szCs w:val="20"/>
        </w:rPr>
        <w:t>If the decision is not satisfying to the complainer, he/she can take the case to REACC for further action</w:t>
      </w:r>
      <w:r w:rsidR="00450F86" w:rsidRPr="00F7263B">
        <w:rPr>
          <w:sz w:val="20"/>
          <w:szCs w:val="20"/>
        </w:rPr>
        <w:t xml:space="preserve">.  </w:t>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 xml:space="preserve">On the other hand, if the complaint is found to be related to allegation of corruption and fraud or related to wrong doing as per the screening, the Complaint - Handling body /liaison unit officer forwards the issue with the necessary data to the </w:t>
      </w:r>
      <w:r w:rsidR="007B2A98" w:rsidRPr="00F7263B">
        <w:rPr>
          <w:sz w:val="20"/>
          <w:szCs w:val="20"/>
        </w:rPr>
        <w:t>r</w:t>
      </w:r>
      <w:r w:rsidRPr="00F7263B">
        <w:rPr>
          <w:sz w:val="20"/>
          <w:szCs w:val="20"/>
        </w:rPr>
        <w:t>egistrar of REACC</w:t>
      </w:r>
      <w:r w:rsidR="00450F86" w:rsidRPr="00F7263B">
        <w:rPr>
          <w:sz w:val="20"/>
          <w:szCs w:val="20"/>
        </w:rPr>
        <w:t xml:space="preserve">.  </w:t>
      </w:r>
      <w:r w:rsidRPr="00F7263B">
        <w:rPr>
          <w:sz w:val="20"/>
          <w:szCs w:val="20"/>
        </w:rPr>
        <w:t>The Registrar sorts out the complaint in terms of its jurisdictional responsibility, whether it is petty or grand corruption, and submits to the Deputy Commissioner of REACC</w:t>
      </w:r>
      <w:r w:rsidR="00450F86" w:rsidRPr="00F7263B">
        <w:rPr>
          <w:sz w:val="20"/>
          <w:szCs w:val="20"/>
        </w:rPr>
        <w:t xml:space="preserve">.  </w:t>
      </w:r>
      <w:r w:rsidRPr="00F7263B">
        <w:rPr>
          <w:sz w:val="20"/>
          <w:szCs w:val="20"/>
        </w:rPr>
        <w:t>The Deputy Commissioner verifies the complaint and then refers it to the investigation and prosecution team</w:t>
      </w:r>
      <w:r w:rsidR="00450F86" w:rsidRPr="00F7263B">
        <w:rPr>
          <w:sz w:val="20"/>
          <w:szCs w:val="20"/>
        </w:rPr>
        <w:t xml:space="preserve">.  </w:t>
      </w:r>
      <w:r w:rsidRPr="00F7263B">
        <w:rPr>
          <w:sz w:val="20"/>
          <w:szCs w:val="20"/>
        </w:rPr>
        <w:t>The investigation team investigates the case and submits its findings back to the Deputy Commissioner</w:t>
      </w:r>
      <w:r w:rsidR="00450F86" w:rsidRPr="00F7263B">
        <w:rPr>
          <w:sz w:val="20"/>
          <w:szCs w:val="20"/>
        </w:rPr>
        <w:t xml:space="preserve">.  </w:t>
      </w:r>
      <w:r w:rsidRPr="00F7263B">
        <w:rPr>
          <w:sz w:val="20"/>
          <w:szCs w:val="20"/>
        </w:rPr>
        <w:t>Then the Deputy Commissioner checks the information collected from the investigations, endorses and then forwards to the REACC Commissioner</w:t>
      </w:r>
      <w:r w:rsidR="00450F86" w:rsidRPr="00F7263B">
        <w:rPr>
          <w:sz w:val="20"/>
          <w:szCs w:val="20"/>
        </w:rPr>
        <w:t xml:space="preserve">.  </w:t>
      </w:r>
      <w:r w:rsidRPr="00F7263B">
        <w:rPr>
          <w:sz w:val="20"/>
          <w:szCs w:val="20"/>
        </w:rPr>
        <w:t>The Commissioner refers the case to the court /prosecutor for the next action</w:t>
      </w:r>
      <w:r w:rsidR="00450F86" w:rsidRPr="00F7263B">
        <w:rPr>
          <w:sz w:val="20"/>
          <w:szCs w:val="20"/>
        </w:rPr>
        <w:t xml:space="preserve">.  </w:t>
      </w:r>
      <w:r w:rsidRPr="00F7263B">
        <w:rPr>
          <w:sz w:val="20"/>
          <w:szCs w:val="20"/>
        </w:rPr>
        <w:t>Sometimes complai</w:t>
      </w:r>
      <w:r w:rsidR="007B2A98" w:rsidRPr="00F7263B">
        <w:rPr>
          <w:sz w:val="20"/>
          <w:szCs w:val="20"/>
        </w:rPr>
        <w:t>ners can directly approach the p</w:t>
      </w:r>
      <w:r w:rsidRPr="00F7263B">
        <w:rPr>
          <w:sz w:val="20"/>
          <w:szCs w:val="20"/>
        </w:rPr>
        <w:t>olice</w:t>
      </w:r>
      <w:r w:rsidR="00450F86" w:rsidRPr="00F7263B">
        <w:rPr>
          <w:sz w:val="20"/>
          <w:szCs w:val="20"/>
        </w:rPr>
        <w:t xml:space="preserve">.  </w:t>
      </w:r>
      <w:r w:rsidR="007B2A98" w:rsidRPr="00F7263B">
        <w:rPr>
          <w:sz w:val="20"/>
          <w:szCs w:val="20"/>
        </w:rPr>
        <w:t>The p</w:t>
      </w:r>
      <w:r w:rsidRPr="00F7263B">
        <w:rPr>
          <w:sz w:val="20"/>
          <w:szCs w:val="20"/>
        </w:rPr>
        <w:t>olice, in its mandate as a delegated body in this instance, investigate the cases and forward the results to FEACC or REACC depending on the mandate given and the process moves forward as described above after the information gets to the Registrar</w:t>
      </w:r>
      <w:r w:rsidR="00450F86" w:rsidRPr="00F7263B">
        <w:rPr>
          <w:sz w:val="20"/>
          <w:szCs w:val="20"/>
        </w:rPr>
        <w:t xml:space="preserve">.  </w:t>
      </w:r>
      <w:r w:rsidRPr="00F7263B">
        <w:rPr>
          <w:sz w:val="20"/>
          <w:szCs w:val="20"/>
        </w:rPr>
        <w:t xml:space="preserve">In terms of sharing information with the Bank on Complaints regarding the Program, the </w:t>
      </w:r>
      <w:r w:rsidR="007B2A98" w:rsidRPr="00F7263B">
        <w:rPr>
          <w:sz w:val="20"/>
          <w:szCs w:val="20"/>
        </w:rPr>
        <w:t>planning and e</w:t>
      </w:r>
      <w:r w:rsidRPr="00F7263B">
        <w:rPr>
          <w:sz w:val="20"/>
          <w:szCs w:val="20"/>
        </w:rPr>
        <w:t>valuation section of REACC</w:t>
      </w:r>
      <w:r w:rsidR="001D67D6" w:rsidRPr="00F7263B">
        <w:rPr>
          <w:sz w:val="20"/>
          <w:szCs w:val="20"/>
        </w:rPr>
        <w:t>s</w:t>
      </w:r>
      <w:r w:rsidRPr="00F7263B">
        <w:rPr>
          <w:sz w:val="20"/>
          <w:szCs w:val="20"/>
        </w:rPr>
        <w:t xml:space="preserve"> will compile reports related to complaints from the Ethics Infrastructure Coordination Case Team,(consolidated reports coming from all ULGs), Investigation and prosecution  department in REACC, Registrar, and from the Ethics Officers of the Regional Urban Development Bureau and submit on quarterly basis to FEACC who will then  submit a consolidated report to the World Bank bi-annually.</w:t>
      </w:r>
      <w:r w:rsidR="001772C0" w:rsidRPr="00F7263B">
        <w:rPr>
          <w:sz w:val="20"/>
          <w:szCs w:val="20"/>
        </w:rPr>
        <w:t xml:space="preserve"> The general complaint handling mechanism is shown as follows:</w:t>
      </w:r>
    </w:p>
    <w:p w:rsidR="00A11C0D" w:rsidRPr="00F7263B" w:rsidRDefault="00A11C0D" w:rsidP="00A11C0D">
      <w:pPr>
        <w:autoSpaceDE w:val="0"/>
        <w:autoSpaceDN w:val="0"/>
        <w:adjustRightInd w:val="0"/>
        <w:contextualSpacing/>
        <w:jc w:val="both"/>
        <w:rPr>
          <w:sz w:val="20"/>
          <w:szCs w:val="20"/>
        </w:rPr>
      </w:pPr>
      <w:bookmarkStart w:id="96" w:name="_Toc380088987"/>
      <w:bookmarkStart w:id="97" w:name="_Toc380089241"/>
    </w:p>
    <w:p w:rsidR="001772C0" w:rsidRPr="00F7263B" w:rsidRDefault="00A11C0D" w:rsidP="00A11C0D">
      <w:pPr>
        <w:autoSpaceDE w:val="0"/>
        <w:autoSpaceDN w:val="0"/>
        <w:adjustRightInd w:val="0"/>
        <w:contextualSpacing/>
        <w:jc w:val="both"/>
        <w:rPr>
          <w:b/>
          <w:sz w:val="20"/>
          <w:szCs w:val="20"/>
        </w:rPr>
      </w:pPr>
      <w:r w:rsidRPr="00F7263B">
        <w:rPr>
          <w:b/>
          <w:sz w:val="20"/>
          <w:szCs w:val="20"/>
        </w:rPr>
        <w:t xml:space="preserve">Figure 1: </w:t>
      </w:r>
      <w:r w:rsidR="001772C0" w:rsidRPr="00F7263B">
        <w:rPr>
          <w:b/>
          <w:sz w:val="20"/>
          <w:szCs w:val="20"/>
        </w:rPr>
        <w:t>Complaint Handling Flow Chart for ULGs</w:t>
      </w:r>
      <w:bookmarkEnd w:id="96"/>
      <w:bookmarkEnd w:id="97"/>
    </w:p>
    <w:p w:rsidR="001C223B" w:rsidRPr="00F7263B" w:rsidRDefault="001C223B" w:rsidP="001C223B">
      <w:pPr>
        <w:pStyle w:val="MainParawithChapter"/>
        <w:numPr>
          <w:ilvl w:val="0"/>
          <w:numId w:val="0"/>
        </w:numPr>
        <w:spacing w:after="0"/>
        <w:jc w:val="both"/>
        <w:rPr>
          <w:b/>
          <w:sz w:val="20"/>
          <w:szCs w:val="20"/>
        </w:rPr>
      </w:pPr>
    </w:p>
    <w:p w:rsidR="001772C0" w:rsidRPr="00F7263B" w:rsidRDefault="001772C0" w:rsidP="001772C0">
      <w:pPr>
        <w:spacing w:before="120" w:after="160"/>
        <w:jc w:val="both"/>
        <w:rPr>
          <w:sz w:val="20"/>
          <w:szCs w:val="20"/>
        </w:rPr>
      </w:pPr>
      <w:r w:rsidRPr="00F7263B">
        <w:rPr>
          <w:sz w:val="20"/>
          <w:szCs w:val="20"/>
        </w:rPr>
        <w:object w:dxaOrig="8154" w:dyaOrig="5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3pt;height:440.15pt" o:ole="">
            <v:imagedata r:id="rId24" o:title=""/>
          </v:shape>
          <o:OLEObject Type="Embed" ProgID="PowerPoint.Slide.12" ShapeID="_x0000_i1025" DrawAspect="Content" ObjectID="_1599485577" r:id="rId25"/>
        </w:object>
      </w:r>
    </w:p>
    <w:p w:rsidR="001772C0" w:rsidRPr="00F7263B" w:rsidRDefault="001772C0"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b/>
          <w:sz w:val="20"/>
          <w:szCs w:val="20"/>
        </w:rPr>
        <w:t>Complaint handling in public procuring entity related to procurement</w:t>
      </w:r>
      <w:r w:rsidR="007B2A98" w:rsidRPr="00F7263B">
        <w:rPr>
          <w:b/>
          <w:sz w:val="20"/>
          <w:szCs w:val="20"/>
        </w:rPr>
        <w:t>.</w:t>
      </w:r>
      <w:r w:rsidRPr="00F7263B">
        <w:rPr>
          <w:sz w:val="20"/>
          <w:szCs w:val="20"/>
        </w:rPr>
        <w:t>The federal procurement proclamation enacted the establishment of “Board for Review and Resolution of Complaints in public procurement” and instituted the board with five members</w:t>
      </w:r>
      <w:r w:rsidR="00450F86" w:rsidRPr="00F7263B">
        <w:rPr>
          <w:sz w:val="20"/>
          <w:szCs w:val="20"/>
        </w:rPr>
        <w:t xml:space="preserve">.  </w:t>
      </w:r>
      <w:r w:rsidRPr="00F7263B">
        <w:rPr>
          <w:sz w:val="20"/>
          <w:szCs w:val="20"/>
        </w:rPr>
        <w:t>A complaints review unit in PPA (the board member) receives and compiles complaints and presents to the board; receive offence reports from Procuring Entities against suppliers</w:t>
      </w:r>
      <w:r w:rsidR="00450F86" w:rsidRPr="00F7263B">
        <w:rPr>
          <w:sz w:val="20"/>
          <w:szCs w:val="20"/>
        </w:rPr>
        <w:t xml:space="preserve">.  </w:t>
      </w:r>
      <w:r w:rsidRPr="00F7263B">
        <w:rPr>
          <w:sz w:val="20"/>
          <w:szCs w:val="20"/>
        </w:rPr>
        <w:t>The Board refers any procurement complaints perceived to involve fraud and corruption to the FEACC and/or REACC for investigations.</w:t>
      </w:r>
    </w:p>
    <w:p w:rsidR="004D2B36" w:rsidRPr="00F7263B" w:rsidRDefault="004D2B36" w:rsidP="004D2B36">
      <w:pPr>
        <w:autoSpaceDE w:val="0"/>
        <w:autoSpaceDN w:val="0"/>
        <w:adjustRightInd w:val="0"/>
        <w:contextualSpacing/>
        <w:jc w:val="both"/>
        <w:rPr>
          <w:sz w:val="20"/>
          <w:szCs w:val="20"/>
        </w:rPr>
      </w:pPr>
    </w:p>
    <w:p w:rsidR="00D15DB4"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 xml:space="preserve">The revised procurement legislation/ directives of each regional state </w:t>
      </w:r>
      <w:r w:rsidR="001D67D6" w:rsidRPr="00F7263B">
        <w:rPr>
          <w:sz w:val="20"/>
          <w:szCs w:val="20"/>
        </w:rPr>
        <w:t>provide</w:t>
      </w:r>
      <w:r w:rsidRPr="00F7263B">
        <w:rPr>
          <w:sz w:val="20"/>
          <w:szCs w:val="20"/>
        </w:rPr>
        <w:t xml:space="preserve"> a mechanism for submitting complaints that ULGS are required to comply with</w:t>
      </w:r>
      <w:r w:rsidR="00450F86" w:rsidRPr="00F7263B">
        <w:rPr>
          <w:sz w:val="20"/>
          <w:szCs w:val="20"/>
        </w:rPr>
        <w:t xml:space="preserve">.  </w:t>
      </w:r>
      <w:r w:rsidRPr="00F7263B">
        <w:rPr>
          <w:sz w:val="20"/>
          <w:szCs w:val="20"/>
        </w:rPr>
        <w:t>Complaints from suppliers or bidders can be lodged to the procuring entity and the head of the procuring entity responds to complainer</w:t>
      </w:r>
      <w:r w:rsidR="00450F86" w:rsidRPr="00F7263B">
        <w:rPr>
          <w:sz w:val="20"/>
          <w:szCs w:val="20"/>
        </w:rPr>
        <w:t xml:space="preserve">.  </w:t>
      </w:r>
      <w:r w:rsidRPr="00F7263B">
        <w:rPr>
          <w:sz w:val="20"/>
          <w:szCs w:val="20"/>
        </w:rPr>
        <w:t>If the complainer is not satisfied, she/he will appeal the case to the procurement complaint review board (majority of the board members are public officials and from procuring agencies) and eventually take the matter to the courts</w:t>
      </w:r>
      <w:r w:rsidR="00450F86" w:rsidRPr="00F7263B">
        <w:rPr>
          <w:sz w:val="20"/>
          <w:szCs w:val="20"/>
        </w:rPr>
        <w:t xml:space="preserve">.  </w:t>
      </w:r>
      <w:r w:rsidRPr="00F7263B">
        <w:rPr>
          <w:sz w:val="20"/>
          <w:szCs w:val="20"/>
        </w:rPr>
        <w:t>The head of BoFED or the process head of economic and social development gives final approval of the recommendation of the Board or committee</w:t>
      </w:r>
      <w:r w:rsidR="00450F86" w:rsidRPr="00F7263B">
        <w:rPr>
          <w:sz w:val="20"/>
          <w:szCs w:val="20"/>
        </w:rPr>
        <w:t xml:space="preserve">.  </w:t>
      </w:r>
      <w:r w:rsidRPr="00F7263B">
        <w:rPr>
          <w:sz w:val="20"/>
          <w:szCs w:val="20"/>
        </w:rPr>
        <w:t xml:space="preserve">If  the complaint process/procedure related and the complainer is satisfied, necessary actions are taken  and responses are made  to the complainer .On the other side, the procurement process  can be  withheld or upheld  </w:t>
      </w:r>
      <w:r w:rsidRPr="00F7263B">
        <w:rPr>
          <w:sz w:val="20"/>
          <w:szCs w:val="20"/>
        </w:rPr>
        <w:lastRenderedPageBreak/>
        <w:t>depending on the confirmation of the  complaint  for wrong doing or not</w:t>
      </w:r>
      <w:r w:rsidR="00450F86" w:rsidRPr="00F7263B">
        <w:rPr>
          <w:sz w:val="20"/>
          <w:szCs w:val="20"/>
        </w:rPr>
        <w:t xml:space="preserve">.  </w:t>
      </w:r>
      <w:r w:rsidRPr="00F7263B">
        <w:rPr>
          <w:sz w:val="20"/>
          <w:szCs w:val="20"/>
        </w:rPr>
        <w:t xml:space="preserve">If the complaint review board/committee suspects the case is related to </w:t>
      </w:r>
      <w:r w:rsidR="004B3487" w:rsidRPr="00F7263B">
        <w:rPr>
          <w:sz w:val="20"/>
          <w:szCs w:val="20"/>
        </w:rPr>
        <w:t>fraud and corruption</w:t>
      </w:r>
      <w:r w:rsidRPr="00F7263B">
        <w:rPr>
          <w:sz w:val="20"/>
          <w:szCs w:val="20"/>
        </w:rPr>
        <w:t>, then the case is directed to the REACC or FEACC</w:t>
      </w:r>
      <w:r w:rsidR="00450F86" w:rsidRPr="00F7263B">
        <w:rPr>
          <w:sz w:val="20"/>
          <w:szCs w:val="20"/>
        </w:rPr>
        <w:t xml:space="preserve">.  </w:t>
      </w:r>
      <w:r w:rsidRPr="00F7263B">
        <w:rPr>
          <w:sz w:val="20"/>
          <w:szCs w:val="20"/>
        </w:rPr>
        <w:t>Any bidder, procuring entity, citizen including Ethics unit officers, Federal and regional auditor generals can lodge procurement related complaints to REACC or FEACC</w:t>
      </w:r>
      <w:r w:rsidR="00450F86" w:rsidRPr="00F7263B">
        <w:rPr>
          <w:sz w:val="20"/>
          <w:szCs w:val="20"/>
        </w:rPr>
        <w:t xml:space="preserve">.  </w:t>
      </w:r>
      <w:r w:rsidRPr="00F7263B">
        <w:rPr>
          <w:sz w:val="20"/>
          <w:szCs w:val="20"/>
        </w:rPr>
        <w:t xml:space="preserve">Besides, as mentioned above, the ethics liaison unit officer of each entity report </w:t>
      </w:r>
      <w:r w:rsidR="004B3487" w:rsidRPr="00F7263B">
        <w:rPr>
          <w:sz w:val="20"/>
          <w:szCs w:val="20"/>
        </w:rPr>
        <w:t>fraud and corruption</w:t>
      </w:r>
      <w:r w:rsidRPr="00F7263B">
        <w:rPr>
          <w:sz w:val="20"/>
          <w:szCs w:val="20"/>
        </w:rPr>
        <w:t xml:space="preserve"> related cases</w:t>
      </w:r>
      <w:r w:rsidR="00450F86" w:rsidRPr="00F7263B">
        <w:rPr>
          <w:sz w:val="20"/>
          <w:szCs w:val="20"/>
        </w:rPr>
        <w:t xml:space="preserve">.  </w:t>
      </w:r>
      <w:r w:rsidRPr="00F7263B">
        <w:rPr>
          <w:sz w:val="20"/>
          <w:szCs w:val="20"/>
        </w:rPr>
        <w:t>Although the Anti-Corruption law in Ethiopia makes provision for people to complain directly to the FEACC and REACC if they believe a case of fraud and corruption has been committed, the Program Coordinators will also emphasize this point to all the procuring entities as part of the program’s information dissemination</w:t>
      </w:r>
      <w:r w:rsidR="00450F86" w:rsidRPr="00F7263B">
        <w:rPr>
          <w:sz w:val="20"/>
          <w:szCs w:val="20"/>
        </w:rPr>
        <w:t xml:space="preserve">.  </w:t>
      </w:r>
    </w:p>
    <w:p w:rsidR="00713BB0" w:rsidRPr="00F7263B" w:rsidRDefault="00713BB0" w:rsidP="0068255C">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contextualSpacing/>
        <w:jc w:val="both"/>
        <w:rPr>
          <w:sz w:val="20"/>
          <w:szCs w:val="20"/>
        </w:rPr>
      </w:pPr>
      <w:r w:rsidRPr="00F7263B">
        <w:rPr>
          <w:sz w:val="20"/>
          <w:szCs w:val="20"/>
        </w:rPr>
        <w:t xml:space="preserve">The </w:t>
      </w:r>
      <w:r w:rsidR="002F5E67" w:rsidRPr="00F7263B">
        <w:rPr>
          <w:sz w:val="20"/>
          <w:szCs w:val="20"/>
        </w:rPr>
        <w:t>procurement complaint handling mechanism</w:t>
      </w:r>
      <w:r w:rsidR="001772C0" w:rsidRPr="00F7263B">
        <w:rPr>
          <w:sz w:val="20"/>
          <w:szCs w:val="20"/>
        </w:rPr>
        <w:t xml:space="preserve"> is shown as </w:t>
      </w:r>
      <w:r w:rsidR="002F5E67" w:rsidRPr="00F7263B">
        <w:rPr>
          <w:sz w:val="20"/>
          <w:szCs w:val="20"/>
        </w:rPr>
        <w:t>follows:</w:t>
      </w:r>
    </w:p>
    <w:p w:rsidR="00713BB0" w:rsidRPr="00F7263B" w:rsidRDefault="00713BB0" w:rsidP="0068255C">
      <w:pPr>
        <w:widowControl w:val="0"/>
        <w:rPr>
          <w:color w:val="000000"/>
          <w:sz w:val="20"/>
          <w:szCs w:val="20"/>
        </w:rPr>
      </w:pPr>
    </w:p>
    <w:p w:rsidR="001D48BE" w:rsidRPr="00F7263B" w:rsidRDefault="001D48BE">
      <w:pPr>
        <w:spacing w:after="200" w:line="276" w:lineRule="auto"/>
        <w:rPr>
          <w:b/>
          <w:sz w:val="20"/>
          <w:szCs w:val="20"/>
        </w:rPr>
      </w:pPr>
      <w:r w:rsidRPr="00F7263B">
        <w:rPr>
          <w:b/>
          <w:sz w:val="20"/>
          <w:szCs w:val="20"/>
        </w:rPr>
        <w:br w:type="page"/>
      </w:r>
    </w:p>
    <w:p w:rsidR="002F5E67" w:rsidRPr="00F7263B" w:rsidRDefault="001772C0" w:rsidP="002F5E67">
      <w:pPr>
        <w:pStyle w:val="NoSpacing"/>
        <w:jc w:val="both"/>
        <w:rPr>
          <w:rFonts w:ascii="Times New Roman" w:hAnsi="Times New Roman"/>
          <w:b/>
          <w:sz w:val="20"/>
          <w:szCs w:val="20"/>
        </w:rPr>
      </w:pPr>
      <w:r w:rsidRPr="00F7263B">
        <w:rPr>
          <w:rFonts w:ascii="Times New Roman" w:hAnsi="Times New Roman"/>
          <w:b/>
          <w:sz w:val="20"/>
          <w:szCs w:val="20"/>
        </w:rPr>
        <w:lastRenderedPageBreak/>
        <w:t>Figure 2</w:t>
      </w:r>
      <w:r w:rsidR="002F5E67" w:rsidRPr="00F7263B">
        <w:rPr>
          <w:rFonts w:ascii="Times New Roman" w:hAnsi="Times New Roman"/>
          <w:b/>
          <w:sz w:val="20"/>
          <w:szCs w:val="20"/>
        </w:rPr>
        <w:t>: Compliant Handling Flow Chart at the City Administration on Procurements</w:t>
      </w:r>
    </w:p>
    <w:p w:rsidR="002F5E67" w:rsidRPr="00F7263B" w:rsidRDefault="002F5E67" w:rsidP="002F5E67">
      <w:pPr>
        <w:pStyle w:val="NoSpacing"/>
        <w:jc w:val="both"/>
        <w:rPr>
          <w:rFonts w:ascii="Times New Roman" w:hAnsi="Times New Roman"/>
          <w:b/>
          <w:sz w:val="20"/>
          <w:szCs w:val="20"/>
        </w:rPr>
      </w:pPr>
    </w:p>
    <w:p w:rsidR="002F5E67" w:rsidRPr="00F7263B" w:rsidRDefault="00D90FDF" w:rsidP="002F5E67">
      <w:pPr>
        <w:pStyle w:val="NoSpacing"/>
        <w:jc w:val="both"/>
        <w:rPr>
          <w:rFonts w:ascii="Times New Roman" w:hAnsi="Times New Roman"/>
          <w:sz w:val="20"/>
          <w:szCs w:val="20"/>
        </w:rPr>
      </w:pPr>
      <w:r w:rsidRPr="00F7263B">
        <w:rPr>
          <w:noProof/>
          <w:sz w:val="20"/>
          <w:szCs w:val="20"/>
        </w:rPr>
        <w:drawing>
          <wp:inline distT="0" distB="0" distL="0" distR="0">
            <wp:extent cx="5943600" cy="44024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4402455"/>
                    </a:xfrm>
                    <a:prstGeom prst="rect">
                      <a:avLst/>
                    </a:prstGeom>
                  </pic:spPr>
                </pic:pic>
              </a:graphicData>
            </a:graphic>
          </wp:inline>
        </w:drawing>
      </w:r>
    </w:p>
    <w:p w:rsidR="002F5E67" w:rsidRPr="00F7263B" w:rsidRDefault="002F5E67" w:rsidP="002F5E67">
      <w:pPr>
        <w:rPr>
          <w:b/>
          <w:sz w:val="20"/>
          <w:szCs w:val="20"/>
        </w:rPr>
      </w:pPr>
    </w:p>
    <w:p w:rsidR="00713BB0" w:rsidRPr="00F7263B" w:rsidRDefault="00C642FD" w:rsidP="0068255C">
      <w:pPr>
        <w:numPr>
          <w:ilvl w:val="0"/>
          <w:numId w:val="67"/>
        </w:numPr>
        <w:autoSpaceDE w:val="0"/>
        <w:autoSpaceDN w:val="0"/>
        <w:adjustRightInd w:val="0"/>
        <w:ind w:left="0" w:firstLine="0"/>
        <w:contextualSpacing/>
        <w:jc w:val="both"/>
        <w:rPr>
          <w:sz w:val="20"/>
          <w:szCs w:val="20"/>
        </w:rPr>
      </w:pPr>
      <w:r w:rsidRPr="00F7263B">
        <w:rPr>
          <w:sz w:val="20"/>
          <w:szCs w:val="20"/>
        </w:rPr>
        <w:t xml:space="preserve">Grievance </w:t>
      </w:r>
      <w:r w:rsidR="00DA2BBC" w:rsidRPr="00F7263B">
        <w:rPr>
          <w:sz w:val="20"/>
          <w:szCs w:val="20"/>
        </w:rPr>
        <w:t xml:space="preserve">redress mechanism </w:t>
      </w:r>
      <w:r w:rsidRPr="00F7263B">
        <w:rPr>
          <w:sz w:val="20"/>
          <w:szCs w:val="20"/>
        </w:rPr>
        <w:t xml:space="preserve">on </w:t>
      </w:r>
      <w:r w:rsidR="00DA2BBC" w:rsidRPr="00F7263B">
        <w:rPr>
          <w:sz w:val="20"/>
          <w:szCs w:val="20"/>
        </w:rPr>
        <w:t>l</w:t>
      </w:r>
      <w:r w:rsidRPr="00F7263B">
        <w:rPr>
          <w:sz w:val="20"/>
          <w:szCs w:val="20"/>
        </w:rPr>
        <w:t xml:space="preserve">and and other </w:t>
      </w:r>
      <w:r w:rsidR="00DA2BBC" w:rsidRPr="00F7263B">
        <w:rPr>
          <w:sz w:val="20"/>
          <w:szCs w:val="20"/>
        </w:rPr>
        <w:t>p</w:t>
      </w:r>
      <w:r w:rsidRPr="00F7263B">
        <w:rPr>
          <w:sz w:val="20"/>
          <w:szCs w:val="20"/>
        </w:rPr>
        <w:t xml:space="preserve">roperty </w:t>
      </w:r>
      <w:r w:rsidR="00DA2BBC" w:rsidRPr="00F7263B">
        <w:rPr>
          <w:sz w:val="20"/>
          <w:szCs w:val="20"/>
        </w:rPr>
        <w:t>acquisitionr</w:t>
      </w:r>
      <w:r w:rsidR="00FC2905" w:rsidRPr="00F7263B">
        <w:rPr>
          <w:sz w:val="20"/>
          <w:szCs w:val="20"/>
        </w:rPr>
        <w:t xml:space="preserve">educing land acquisition risk will require systematic approach to risk management and the program has </w:t>
      </w:r>
      <w:r w:rsidRPr="00F7263B">
        <w:rPr>
          <w:sz w:val="20"/>
          <w:szCs w:val="20"/>
        </w:rPr>
        <w:t>seamlessly integrated into the different safeguards instruments being designed and included in the DLI a grievance redress mechanism and a</w:t>
      </w:r>
      <w:r w:rsidR="00FC2905" w:rsidRPr="00F7263B">
        <w:rPr>
          <w:sz w:val="20"/>
          <w:szCs w:val="20"/>
        </w:rPr>
        <w:t xml:space="preserve">ny grievance that may arise from the economic or physical displacement will be filed at first instance to the city complain hub as discussed above, and will be registered for further action using the above mentioned register.Basically, grievance redress procedures and mechanism for </w:t>
      </w:r>
      <w:r w:rsidR="00DA2BBC" w:rsidRPr="00F7263B">
        <w:rPr>
          <w:sz w:val="20"/>
          <w:szCs w:val="20"/>
        </w:rPr>
        <w:t>Program affected people</w:t>
      </w:r>
      <w:r w:rsidR="00FC2905" w:rsidRPr="00F7263B">
        <w:rPr>
          <w:sz w:val="20"/>
          <w:szCs w:val="20"/>
        </w:rPr>
        <w:t xml:space="preserve"> will be established and or incorporated into the existing city administration’s </w:t>
      </w:r>
      <w:r w:rsidR="00DA2BBC" w:rsidRPr="00F7263B">
        <w:rPr>
          <w:sz w:val="20"/>
          <w:szCs w:val="20"/>
        </w:rPr>
        <w:t xml:space="preserve">resettlement </w:t>
      </w:r>
      <w:r w:rsidR="00FC2905" w:rsidRPr="00F7263B">
        <w:rPr>
          <w:sz w:val="20"/>
          <w:szCs w:val="20"/>
        </w:rPr>
        <w:t xml:space="preserve">/ Implementation committees. Grievance redress mechanism will ensure </w:t>
      </w:r>
      <w:r w:rsidR="00DA2BBC" w:rsidRPr="00F7263B">
        <w:rPr>
          <w:sz w:val="20"/>
          <w:szCs w:val="20"/>
        </w:rPr>
        <w:t>that Program affected people</w:t>
      </w:r>
      <w:r w:rsidR="00FC2905" w:rsidRPr="00F7263B">
        <w:rPr>
          <w:sz w:val="20"/>
          <w:szCs w:val="20"/>
        </w:rPr>
        <w:t xml:space="preserve"> that they will be provided with the appropriate compensation payment and that all administrative measures are in line with the law. The grievance redress procedures will provide opportunity for </w:t>
      </w:r>
      <w:r w:rsidR="00DA2BBC" w:rsidRPr="00F7263B">
        <w:rPr>
          <w:sz w:val="20"/>
          <w:szCs w:val="20"/>
        </w:rPr>
        <w:t>Program affected people</w:t>
      </w:r>
      <w:r w:rsidR="00FC2905" w:rsidRPr="00F7263B">
        <w:rPr>
          <w:sz w:val="20"/>
          <w:szCs w:val="20"/>
        </w:rPr>
        <w:t xml:space="preserve"> to settle their complaints and grievances amicably. The procedure to be adopted will allow </w:t>
      </w:r>
      <w:r w:rsidR="00DA2BBC" w:rsidRPr="00F7263B">
        <w:rPr>
          <w:sz w:val="20"/>
          <w:szCs w:val="20"/>
        </w:rPr>
        <w:t>Program affected people</w:t>
      </w:r>
      <w:r w:rsidR="00FC2905" w:rsidRPr="00F7263B">
        <w:rPr>
          <w:sz w:val="20"/>
          <w:szCs w:val="20"/>
        </w:rPr>
        <w:t xml:space="preserve">s not to lose time and resources from going through lengthy administrative and legal procedures.  </w:t>
      </w:r>
    </w:p>
    <w:p w:rsidR="00713BB0" w:rsidRPr="00F7263B" w:rsidRDefault="00713BB0" w:rsidP="0068255C">
      <w:pPr>
        <w:autoSpaceDE w:val="0"/>
        <w:autoSpaceDN w:val="0"/>
        <w:adjustRightInd w:val="0"/>
        <w:contextualSpacing/>
        <w:jc w:val="both"/>
        <w:rPr>
          <w:rFonts w:eastAsiaTheme="minorHAnsi"/>
          <w:sz w:val="20"/>
          <w:szCs w:val="20"/>
        </w:rPr>
      </w:pPr>
    </w:p>
    <w:p w:rsidR="001D48BE" w:rsidRPr="00F7263B" w:rsidRDefault="001D48BE">
      <w:pPr>
        <w:spacing w:after="200" w:line="276" w:lineRule="auto"/>
        <w:rPr>
          <w:rFonts w:eastAsiaTheme="minorHAnsi"/>
          <w:b/>
          <w:sz w:val="20"/>
          <w:szCs w:val="20"/>
        </w:rPr>
      </w:pPr>
      <w:r w:rsidRPr="00F7263B">
        <w:rPr>
          <w:rFonts w:eastAsiaTheme="minorHAnsi"/>
          <w:b/>
          <w:sz w:val="20"/>
          <w:szCs w:val="20"/>
        </w:rPr>
        <w:br w:type="page"/>
      </w:r>
    </w:p>
    <w:p w:rsidR="00713BB0" w:rsidRPr="00F7263B" w:rsidRDefault="00BC3492" w:rsidP="0068255C">
      <w:pPr>
        <w:autoSpaceDE w:val="0"/>
        <w:autoSpaceDN w:val="0"/>
        <w:adjustRightInd w:val="0"/>
        <w:contextualSpacing/>
        <w:jc w:val="both"/>
        <w:rPr>
          <w:b/>
          <w:sz w:val="20"/>
          <w:szCs w:val="20"/>
        </w:rPr>
      </w:pPr>
      <w:r w:rsidRPr="00F7263B">
        <w:rPr>
          <w:rFonts w:eastAsiaTheme="minorHAnsi"/>
          <w:b/>
          <w:sz w:val="20"/>
          <w:szCs w:val="20"/>
        </w:rPr>
        <w:lastRenderedPageBreak/>
        <w:t>Figure 3:</w:t>
      </w:r>
      <w:r w:rsidR="00C642FD" w:rsidRPr="00F7263B">
        <w:rPr>
          <w:rFonts w:eastAsiaTheme="minorHAnsi"/>
          <w:b/>
          <w:sz w:val="20"/>
          <w:szCs w:val="20"/>
        </w:rPr>
        <w:t>Grievances</w:t>
      </w:r>
      <w:r w:rsidRPr="00F7263B">
        <w:rPr>
          <w:rFonts w:eastAsiaTheme="minorHAnsi"/>
          <w:b/>
          <w:sz w:val="20"/>
          <w:szCs w:val="20"/>
        </w:rPr>
        <w:t>/dispute m</w:t>
      </w:r>
      <w:r w:rsidR="00C642FD" w:rsidRPr="00F7263B">
        <w:rPr>
          <w:rFonts w:eastAsiaTheme="minorHAnsi"/>
          <w:b/>
          <w:sz w:val="20"/>
          <w:szCs w:val="20"/>
        </w:rPr>
        <w:t xml:space="preserve">anagement </w:t>
      </w:r>
      <w:r w:rsidRPr="00F7263B">
        <w:rPr>
          <w:rFonts w:eastAsiaTheme="minorHAnsi"/>
          <w:b/>
          <w:sz w:val="20"/>
          <w:szCs w:val="20"/>
        </w:rPr>
        <w:t>m</w:t>
      </w:r>
      <w:r w:rsidR="00C642FD" w:rsidRPr="00F7263B">
        <w:rPr>
          <w:rFonts w:eastAsiaTheme="minorHAnsi"/>
          <w:b/>
          <w:sz w:val="20"/>
          <w:szCs w:val="20"/>
        </w:rPr>
        <w:t>echanism</w:t>
      </w:r>
      <w:r w:rsidR="008F2D2D" w:rsidRPr="00F7263B">
        <w:rPr>
          <w:rFonts w:eastAsiaTheme="minorHAnsi"/>
          <w:b/>
          <w:sz w:val="20"/>
          <w:szCs w:val="20"/>
        </w:rPr>
        <w:t xml:space="preserve"> on </w:t>
      </w:r>
      <w:r w:rsidRPr="00F7263B">
        <w:rPr>
          <w:rFonts w:eastAsiaTheme="minorHAnsi"/>
          <w:b/>
          <w:sz w:val="20"/>
          <w:szCs w:val="20"/>
        </w:rPr>
        <w:t>l</w:t>
      </w:r>
      <w:r w:rsidR="008F2D2D" w:rsidRPr="00F7263B">
        <w:rPr>
          <w:rFonts w:eastAsiaTheme="minorHAnsi"/>
          <w:b/>
          <w:sz w:val="20"/>
          <w:szCs w:val="20"/>
        </w:rPr>
        <w:t xml:space="preserve">and </w:t>
      </w:r>
      <w:r w:rsidRPr="00F7263B">
        <w:rPr>
          <w:rFonts w:eastAsiaTheme="minorHAnsi"/>
          <w:b/>
          <w:sz w:val="20"/>
          <w:szCs w:val="20"/>
        </w:rPr>
        <w:t>a</w:t>
      </w:r>
      <w:r w:rsidR="008F2D2D" w:rsidRPr="00F7263B">
        <w:rPr>
          <w:rFonts w:eastAsiaTheme="minorHAnsi"/>
          <w:b/>
          <w:sz w:val="20"/>
          <w:szCs w:val="20"/>
        </w:rPr>
        <w:t>cquisition</w:t>
      </w:r>
    </w:p>
    <w:p w:rsidR="00713BB0" w:rsidRPr="00F7263B" w:rsidRDefault="00713BB0" w:rsidP="0068255C">
      <w:pPr>
        <w:pStyle w:val="ListParagraph"/>
        <w:rPr>
          <w:sz w:val="20"/>
          <w:szCs w:val="20"/>
        </w:rPr>
      </w:pPr>
    </w:p>
    <w:p w:rsidR="00713BB0" w:rsidRPr="00F7263B" w:rsidRDefault="00D90FDF" w:rsidP="0068255C">
      <w:pPr>
        <w:autoSpaceDE w:val="0"/>
        <w:autoSpaceDN w:val="0"/>
        <w:adjustRightInd w:val="0"/>
        <w:contextualSpacing/>
        <w:jc w:val="both"/>
        <w:rPr>
          <w:sz w:val="20"/>
          <w:szCs w:val="20"/>
        </w:rPr>
      </w:pPr>
      <w:r w:rsidRPr="00F7263B">
        <w:rPr>
          <w:noProof/>
          <w:sz w:val="20"/>
          <w:szCs w:val="20"/>
        </w:rPr>
        <w:drawing>
          <wp:inline distT="0" distB="0" distL="0" distR="0">
            <wp:extent cx="5581650" cy="4937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8947" cy="4944279"/>
                    </a:xfrm>
                    <a:prstGeom prst="rect">
                      <a:avLst/>
                    </a:prstGeom>
                    <a:noFill/>
                  </pic:spPr>
                </pic:pic>
              </a:graphicData>
            </a:graphic>
          </wp:inline>
        </w:drawing>
      </w:r>
    </w:p>
    <w:p w:rsidR="00713BB0" w:rsidRPr="00F7263B" w:rsidRDefault="00713BB0" w:rsidP="0068255C">
      <w:pPr>
        <w:pStyle w:val="ListParagraph"/>
        <w:autoSpaceDE w:val="0"/>
        <w:autoSpaceDN w:val="0"/>
        <w:adjustRightInd w:val="0"/>
        <w:spacing w:line="360" w:lineRule="auto"/>
        <w:ind w:left="0"/>
        <w:rPr>
          <w:rFonts w:eastAsiaTheme="minorHAnsi"/>
          <w:sz w:val="20"/>
          <w:szCs w:val="20"/>
        </w:rPr>
      </w:pPr>
    </w:p>
    <w:p w:rsidR="002F5E67" w:rsidRPr="00F7263B" w:rsidRDefault="002F5E67" w:rsidP="004D2B36">
      <w:pPr>
        <w:jc w:val="both"/>
        <w:rPr>
          <w:sz w:val="20"/>
          <w:szCs w:val="20"/>
        </w:rPr>
      </w:pPr>
    </w:p>
    <w:p w:rsidR="004D2B36" w:rsidRPr="00F7263B" w:rsidRDefault="004D2B36" w:rsidP="004D2B36">
      <w:pPr>
        <w:ind w:left="792" w:hanging="792"/>
        <w:contextualSpacing/>
        <w:jc w:val="both"/>
        <w:rPr>
          <w:b/>
          <w:sz w:val="20"/>
          <w:szCs w:val="20"/>
        </w:rPr>
      </w:pPr>
      <w:r w:rsidRPr="00F7263B">
        <w:rPr>
          <w:b/>
          <w:sz w:val="20"/>
          <w:szCs w:val="20"/>
        </w:rPr>
        <w:t>Alignment with the Bank’s Anti-Corruption Guidelines</w:t>
      </w:r>
    </w:p>
    <w:p w:rsidR="004D2B36" w:rsidRPr="00F7263B" w:rsidRDefault="004D2B36" w:rsidP="004D2B36">
      <w:pPr>
        <w:shd w:val="clear" w:color="auto" w:fill="FFFFFF" w:themeFill="background1"/>
        <w:autoSpaceDE w:val="0"/>
        <w:autoSpaceDN w:val="0"/>
        <w:adjustRightInd w:val="0"/>
        <w:jc w:val="both"/>
        <w:rPr>
          <w:rFonts w:eastAsia="Calibri" w:cs="Times New Roman"/>
          <w:color w:val="000000"/>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The government has agreed to implement the program in accordance with the   Anti-Corruption Guidelines (ACG) applicable to PforR operations</w:t>
      </w:r>
      <w:r w:rsidR="00450F86" w:rsidRPr="00F7263B">
        <w:rPr>
          <w:sz w:val="20"/>
          <w:szCs w:val="20"/>
        </w:rPr>
        <w:t xml:space="preserve">.  </w:t>
      </w:r>
      <w:r w:rsidRPr="00F7263B">
        <w:rPr>
          <w:sz w:val="20"/>
          <w:szCs w:val="20"/>
        </w:rPr>
        <w:t>As follows.</w:t>
      </w:r>
    </w:p>
    <w:p w:rsidR="004D2B36" w:rsidRPr="00F7263B" w:rsidRDefault="004D2B36" w:rsidP="004D2B36">
      <w:pPr>
        <w:autoSpaceDE w:val="0"/>
        <w:autoSpaceDN w:val="0"/>
        <w:adjustRightInd w:val="0"/>
        <w:contextualSpacing/>
        <w:jc w:val="both"/>
        <w:rPr>
          <w:sz w:val="20"/>
          <w:szCs w:val="20"/>
        </w:rPr>
      </w:pPr>
    </w:p>
    <w:p w:rsidR="006E7278" w:rsidRPr="00F7263B" w:rsidRDefault="007B2A98" w:rsidP="00056FC8">
      <w:pPr>
        <w:numPr>
          <w:ilvl w:val="0"/>
          <w:numId w:val="67"/>
        </w:numPr>
        <w:autoSpaceDE w:val="0"/>
        <w:autoSpaceDN w:val="0"/>
        <w:adjustRightInd w:val="0"/>
        <w:ind w:left="0" w:firstLine="0"/>
        <w:contextualSpacing/>
        <w:jc w:val="both"/>
        <w:rPr>
          <w:sz w:val="20"/>
          <w:szCs w:val="20"/>
        </w:rPr>
      </w:pPr>
      <w:r w:rsidRPr="00F7263B">
        <w:rPr>
          <w:b/>
          <w:sz w:val="20"/>
          <w:szCs w:val="20"/>
        </w:rPr>
        <w:t>Sharing of d</w:t>
      </w:r>
      <w:r w:rsidR="004D2B36" w:rsidRPr="00F7263B">
        <w:rPr>
          <w:b/>
          <w:sz w:val="20"/>
          <w:szCs w:val="20"/>
        </w:rPr>
        <w:t>ebarment list of firms and individuals</w:t>
      </w:r>
      <w:r w:rsidRPr="00F7263B">
        <w:rPr>
          <w:sz w:val="20"/>
          <w:szCs w:val="20"/>
        </w:rPr>
        <w:t>.</w:t>
      </w:r>
      <w:r w:rsidR="004D2B36" w:rsidRPr="00F7263B">
        <w:rPr>
          <w:sz w:val="20"/>
          <w:szCs w:val="20"/>
        </w:rPr>
        <w:t>The Government of Ethiopia commits to use the Bank’s debarment list to ensure that persons or entities debarred or suspended by the Bank are not awarded a contract under the Program during the period of such debarment or suspension</w:t>
      </w:r>
      <w:r w:rsidR="00450F86" w:rsidRPr="00F7263B">
        <w:rPr>
          <w:sz w:val="20"/>
          <w:szCs w:val="20"/>
        </w:rPr>
        <w:t xml:space="preserve">.  </w:t>
      </w:r>
      <w:r w:rsidR="004D2B36" w:rsidRPr="00F7263B">
        <w:rPr>
          <w:sz w:val="20"/>
          <w:szCs w:val="20"/>
        </w:rPr>
        <w:t>The information on the list of debarred and suspended firms is public information in “Clients Connections”, and on the Bank’s website</w:t>
      </w:r>
      <w:r w:rsidR="00450F86" w:rsidRPr="00F7263B">
        <w:rPr>
          <w:sz w:val="20"/>
          <w:szCs w:val="20"/>
        </w:rPr>
        <w:t xml:space="preserve">.  </w:t>
      </w:r>
      <w:r w:rsidR="004D2B36" w:rsidRPr="00F7263B">
        <w:rPr>
          <w:sz w:val="20"/>
          <w:szCs w:val="20"/>
        </w:rPr>
        <w:t>Companies and individuals debarred by the Bank and the PPRA will be posted an</w:t>
      </w:r>
      <w:r w:rsidRPr="00F7263B">
        <w:rPr>
          <w:sz w:val="20"/>
          <w:szCs w:val="20"/>
        </w:rPr>
        <w:t>d updated regularly on M</w:t>
      </w:r>
      <w:r w:rsidR="004D2B36" w:rsidRPr="00F7263B">
        <w:rPr>
          <w:sz w:val="20"/>
          <w:szCs w:val="20"/>
        </w:rPr>
        <w:t>UD</w:t>
      </w:r>
      <w:r w:rsidRPr="00F7263B">
        <w:rPr>
          <w:sz w:val="20"/>
          <w:szCs w:val="20"/>
        </w:rPr>
        <w:t>H</w:t>
      </w:r>
      <w:r w:rsidR="004D2B36" w:rsidRPr="00F7263B">
        <w:rPr>
          <w:sz w:val="20"/>
          <w:szCs w:val="20"/>
        </w:rPr>
        <w:t>C</w:t>
      </w:r>
      <w:r w:rsidRPr="00F7263B">
        <w:rPr>
          <w:sz w:val="20"/>
          <w:szCs w:val="20"/>
        </w:rPr>
        <w:t>o</w:t>
      </w:r>
      <w:r w:rsidR="004D2B36" w:rsidRPr="00F7263B">
        <w:rPr>
          <w:sz w:val="20"/>
          <w:szCs w:val="20"/>
        </w:rPr>
        <w:t>’s website (www.mudc.gov.et), and advertised publicly by ULGs</w:t>
      </w:r>
      <w:r w:rsidR="00450F86" w:rsidRPr="00F7263B">
        <w:rPr>
          <w:sz w:val="20"/>
          <w:szCs w:val="20"/>
        </w:rPr>
        <w:t xml:space="preserve">.  </w:t>
      </w:r>
      <w:r w:rsidRPr="00F7263B">
        <w:rPr>
          <w:sz w:val="20"/>
          <w:szCs w:val="20"/>
        </w:rPr>
        <w:t>M</w:t>
      </w:r>
      <w:r w:rsidR="004D2B36" w:rsidRPr="00F7263B">
        <w:rPr>
          <w:sz w:val="20"/>
          <w:szCs w:val="20"/>
        </w:rPr>
        <w:t>UD</w:t>
      </w:r>
      <w:r w:rsidRPr="00F7263B">
        <w:rPr>
          <w:sz w:val="20"/>
          <w:szCs w:val="20"/>
        </w:rPr>
        <w:t>H</w:t>
      </w:r>
      <w:r w:rsidR="004D2B36" w:rsidRPr="00F7263B">
        <w:rPr>
          <w:sz w:val="20"/>
          <w:szCs w:val="20"/>
        </w:rPr>
        <w:t>C</w:t>
      </w:r>
      <w:r w:rsidRPr="00F7263B">
        <w:rPr>
          <w:sz w:val="20"/>
          <w:szCs w:val="20"/>
        </w:rPr>
        <w:t>o</w:t>
      </w:r>
      <w:r w:rsidR="004D2B36" w:rsidRPr="00F7263B">
        <w:rPr>
          <w:sz w:val="20"/>
          <w:szCs w:val="20"/>
        </w:rPr>
        <w:t xml:space="preserve"> will take responsibility in ensuring that the website is updated regularly with information on the list of debarred firms and individuals and share this information with all ULGs in the Program, instructing them to comply by appending the debarment list to the annual transfer of Grant notification which will be made public - and go to all Program ULGs</w:t>
      </w:r>
      <w:r w:rsidR="00450F86" w:rsidRPr="00F7263B">
        <w:rPr>
          <w:sz w:val="20"/>
          <w:szCs w:val="20"/>
        </w:rPr>
        <w:t xml:space="preserve">.  </w:t>
      </w:r>
      <w:r w:rsidR="004D2B36" w:rsidRPr="00F7263B">
        <w:rPr>
          <w:sz w:val="20"/>
          <w:szCs w:val="20"/>
        </w:rPr>
        <w:t>This list will also be used by procurement officers and council members to monitor ULGs compliance</w:t>
      </w:r>
      <w:r w:rsidR="00450F86" w:rsidRPr="00F7263B">
        <w:rPr>
          <w:sz w:val="20"/>
          <w:szCs w:val="20"/>
        </w:rPr>
        <w:t xml:space="preserve">.  </w:t>
      </w:r>
      <w:r w:rsidR="004D2B36" w:rsidRPr="00F7263B">
        <w:rPr>
          <w:sz w:val="20"/>
          <w:szCs w:val="20"/>
        </w:rPr>
        <w:t>ULG compliance with the debarment list will also be monitored through the Program annual assessment</w:t>
      </w:r>
      <w:r w:rsidR="00450F86" w:rsidRPr="00F7263B">
        <w:rPr>
          <w:sz w:val="20"/>
          <w:szCs w:val="20"/>
        </w:rPr>
        <w:t xml:space="preserve">.  </w:t>
      </w:r>
      <w:r w:rsidR="004D2B36" w:rsidRPr="00F7263B">
        <w:rPr>
          <w:sz w:val="20"/>
          <w:szCs w:val="20"/>
        </w:rPr>
        <w:t xml:space="preserve">In addition the Government also agreed that they would include some disclosure measures in bidding documents for works, goods and services to be </w:t>
      </w:r>
      <w:r w:rsidR="004D2B36" w:rsidRPr="00F7263B">
        <w:rPr>
          <w:sz w:val="20"/>
          <w:szCs w:val="20"/>
        </w:rPr>
        <w:lastRenderedPageBreak/>
        <w:t>financed under the program, including insisting that the firms and/or individuals declare they have not been debarred or suspended and/or have any links with a debarred entity or individual</w:t>
      </w:r>
      <w:r w:rsidR="00450F86" w:rsidRPr="00F7263B">
        <w:rPr>
          <w:sz w:val="20"/>
          <w:szCs w:val="20"/>
        </w:rPr>
        <w:t xml:space="preserve">.  </w:t>
      </w:r>
    </w:p>
    <w:p w:rsidR="004D2B36" w:rsidRPr="00F7263B" w:rsidRDefault="004D2B36" w:rsidP="004D2B36">
      <w:pPr>
        <w:shd w:val="clear" w:color="auto" w:fill="FFFFFF" w:themeFill="background1"/>
        <w:autoSpaceDE w:val="0"/>
        <w:autoSpaceDN w:val="0"/>
        <w:adjustRightInd w:val="0"/>
        <w:jc w:val="both"/>
        <w:rPr>
          <w:rFonts w:eastAsia="Calibri" w:cs="Times New Roman"/>
          <w:color w:val="000000"/>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b/>
          <w:sz w:val="20"/>
          <w:szCs w:val="20"/>
        </w:rPr>
        <w:t>Sharing information on fraud and corruption allegations</w:t>
      </w:r>
      <w:r w:rsidR="00F17CEE" w:rsidRPr="00F7263B">
        <w:rPr>
          <w:i/>
          <w:sz w:val="20"/>
          <w:szCs w:val="20"/>
        </w:rPr>
        <w:t>.</w:t>
      </w:r>
      <w:r w:rsidRPr="00F7263B">
        <w:rPr>
          <w:sz w:val="20"/>
          <w:szCs w:val="20"/>
        </w:rPr>
        <w:t>In line with the ACGs, the government (through FEACC) will share with the Bank all information on fraud and corruption allegations, investigations and actions taken on the Program, including on procurement</w:t>
      </w:r>
      <w:r w:rsidR="00450F86" w:rsidRPr="00F7263B">
        <w:rPr>
          <w:sz w:val="20"/>
          <w:szCs w:val="20"/>
        </w:rPr>
        <w:t xml:space="preserve">.  </w:t>
      </w:r>
      <w:r w:rsidRPr="00F7263B">
        <w:rPr>
          <w:sz w:val="20"/>
          <w:szCs w:val="20"/>
        </w:rPr>
        <w:t xml:space="preserve">Since the proposed program is providing support to 44 ULGs, the structure of collecting and sharing information on fraud and corruption and on the program </w:t>
      </w:r>
      <w:r w:rsidR="008D2EE6" w:rsidRPr="00F7263B">
        <w:rPr>
          <w:sz w:val="20"/>
          <w:szCs w:val="20"/>
        </w:rPr>
        <w:t>government</w:t>
      </w:r>
      <w:r w:rsidRPr="00F7263B">
        <w:rPr>
          <w:sz w:val="20"/>
          <w:szCs w:val="20"/>
        </w:rPr>
        <w:t>s beyond the Federal Government and would involve Regional and local institutions as well</w:t>
      </w:r>
      <w:r w:rsidR="00450F86" w:rsidRPr="00F7263B">
        <w:rPr>
          <w:sz w:val="20"/>
          <w:szCs w:val="20"/>
        </w:rPr>
        <w:t xml:space="preserve">.  </w:t>
      </w:r>
      <w:r w:rsidRPr="00F7263B">
        <w:rPr>
          <w:sz w:val="20"/>
          <w:szCs w:val="20"/>
        </w:rPr>
        <w:t xml:space="preserve">Consequently, information on fraud and corruption and complaints regarding the Program will be collected at the Regional level and shared with the </w:t>
      </w:r>
      <w:r w:rsidR="00F17CEE" w:rsidRPr="00F7263B">
        <w:rPr>
          <w:sz w:val="20"/>
          <w:szCs w:val="20"/>
        </w:rPr>
        <w:t>FEACC</w:t>
      </w:r>
      <w:r w:rsidRPr="00F7263B">
        <w:rPr>
          <w:sz w:val="20"/>
          <w:szCs w:val="20"/>
        </w:rPr>
        <w:t xml:space="preserve"> which will in turn share with the Bank</w:t>
      </w:r>
      <w:r w:rsidR="00450F86" w:rsidRPr="00F7263B">
        <w:rPr>
          <w:sz w:val="20"/>
          <w:szCs w:val="20"/>
        </w:rPr>
        <w:t xml:space="preserve">.  </w:t>
      </w:r>
      <w:r w:rsidRPr="00F7263B">
        <w:rPr>
          <w:sz w:val="20"/>
          <w:szCs w:val="20"/>
        </w:rPr>
        <w:t xml:space="preserve">The FEACC gets monthly reports from the REACC on fraud and corruption and other relevant activities, but in the case of this program, the FEACC would compile and share information on fraud and corruption with the Bank every </w:t>
      </w:r>
      <w:r w:rsidR="00BC3492" w:rsidRPr="00F7263B">
        <w:rPr>
          <w:sz w:val="20"/>
          <w:szCs w:val="20"/>
        </w:rPr>
        <w:t>six</w:t>
      </w:r>
      <w:r w:rsidRPr="00F7263B">
        <w:rPr>
          <w:sz w:val="20"/>
          <w:szCs w:val="20"/>
        </w:rPr>
        <w:t xml:space="preserve"> months</w:t>
      </w:r>
      <w:r w:rsidR="00450F86" w:rsidRPr="00F7263B">
        <w:rPr>
          <w:sz w:val="20"/>
          <w:szCs w:val="20"/>
        </w:rPr>
        <w:t xml:space="preserve">.  </w:t>
      </w:r>
      <w:r w:rsidRPr="00F7263B">
        <w:rPr>
          <w:sz w:val="20"/>
          <w:szCs w:val="20"/>
        </w:rPr>
        <w:t>The details of this reporting would include the types of allegations and the status of actions taken</w:t>
      </w:r>
      <w:r w:rsidR="00450F86" w:rsidRPr="00F7263B">
        <w:rPr>
          <w:sz w:val="20"/>
          <w:szCs w:val="20"/>
        </w:rPr>
        <w:t xml:space="preserve">.  </w:t>
      </w:r>
      <w:r w:rsidRPr="00F7263B">
        <w:rPr>
          <w:sz w:val="20"/>
          <w:szCs w:val="20"/>
        </w:rPr>
        <w:t>A template for recording and sharing the information with the Bank has been provided to the FEACC</w:t>
      </w:r>
      <w:r w:rsidR="00450F86" w:rsidRPr="00F7263B">
        <w:rPr>
          <w:sz w:val="20"/>
          <w:szCs w:val="20"/>
        </w:rPr>
        <w:t xml:space="preserve">.  </w:t>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b/>
          <w:sz w:val="20"/>
          <w:szCs w:val="20"/>
        </w:rPr>
        <w:t>Investigation of fraud and corruption allegations</w:t>
      </w:r>
      <w:r w:rsidR="00BC3492" w:rsidRPr="00F7263B">
        <w:rPr>
          <w:b/>
          <w:sz w:val="20"/>
          <w:szCs w:val="20"/>
        </w:rPr>
        <w:t>.</w:t>
      </w:r>
      <w:r w:rsidR="00F17CEE" w:rsidRPr="00F7263B">
        <w:rPr>
          <w:sz w:val="20"/>
          <w:szCs w:val="20"/>
        </w:rPr>
        <w:t>As indicated earlier,FEACC and</w:t>
      </w:r>
      <w:r w:rsidRPr="00F7263B">
        <w:rPr>
          <w:sz w:val="20"/>
          <w:szCs w:val="20"/>
        </w:rPr>
        <w:t xml:space="preserve"> REACC</w:t>
      </w:r>
      <w:r w:rsidR="00F17CEE" w:rsidRPr="00F7263B">
        <w:rPr>
          <w:sz w:val="20"/>
          <w:szCs w:val="20"/>
        </w:rPr>
        <w:t>s</w:t>
      </w:r>
      <w:r w:rsidRPr="00F7263B">
        <w:rPr>
          <w:sz w:val="20"/>
          <w:szCs w:val="20"/>
        </w:rPr>
        <w:t xml:space="preserve"> were established with powers to prevent, expose, investigate and prosecute corruption offences and impropriety in Ethiopia</w:t>
      </w:r>
      <w:r w:rsidR="00450F86" w:rsidRPr="00F7263B">
        <w:rPr>
          <w:sz w:val="20"/>
          <w:szCs w:val="20"/>
        </w:rPr>
        <w:t xml:space="preserve">.  </w:t>
      </w:r>
      <w:r w:rsidRPr="00F7263B">
        <w:rPr>
          <w:sz w:val="20"/>
          <w:szCs w:val="20"/>
        </w:rPr>
        <w:t xml:space="preserve">Over the past decade, FEACC has investigated some 2,302 suspected cases of corruption and prosecuted a number of suspected offenders; 612 offenders received sentences varying between </w:t>
      </w:r>
      <w:r w:rsidR="00F17CEE" w:rsidRPr="00F7263B">
        <w:rPr>
          <w:sz w:val="20"/>
          <w:szCs w:val="20"/>
        </w:rPr>
        <w:t>three</w:t>
      </w:r>
      <w:r w:rsidRPr="00F7263B">
        <w:rPr>
          <w:sz w:val="20"/>
          <w:szCs w:val="20"/>
        </w:rPr>
        <w:t xml:space="preserve"> and 21 years imprisonment and fines</w:t>
      </w:r>
      <w:r w:rsidR="00450F86" w:rsidRPr="00F7263B">
        <w:rPr>
          <w:sz w:val="20"/>
          <w:szCs w:val="20"/>
        </w:rPr>
        <w:t xml:space="preserve">.  </w:t>
      </w:r>
      <w:r w:rsidRPr="00F7263B">
        <w:rPr>
          <w:sz w:val="20"/>
          <w:szCs w:val="20"/>
        </w:rPr>
        <w:t xml:space="preserve">Among the cases investigated and prosecuted were those involving high-ranking government officials, ruling party members, </w:t>
      </w:r>
      <w:r w:rsidR="00F17CEE" w:rsidRPr="00F7263B">
        <w:rPr>
          <w:sz w:val="20"/>
          <w:szCs w:val="20"/>
        </w:rPr>
        <w:t>chief executive officers and government owned e</w:t>
      </w:r>
      <w:r w:rsidRPr="00F7263B">
        <w:rPr>
          <w:sz w:val="20"/>
          <w:szCs w:val="20"/>
        </w:rPr>
        <w:t>nterprises</w:t>
      </w:r>
      <w:r w:rsidR="00F17CEE" w:rsidRPr="00F7263B">
        <w:rPr>
          <w:sz w:val="20"/>
          <w:szCs w:val="20"/>
        </w:rPr>
        <w:t>.</w:t>
      </w:r>
      <w:r w:rsidRPr="00F7263B">
        <w:rPr>
          <w:sz w:val="20"/>
          <w:szCs w:val="20"/>
          <w:vertAlign w:val="superscript"/>
        </w:rPr>
        <w:footnoteReference w:id="56"/>
      </w:r>
      <w:r w:rsidRPr="00F7263B">
        <w:rPr>
          <w:sz w:val="20"/>
          <w:szCs w:val="20"/>
        </w:rPr>
        <w:t>In the last ten years (2001</w:t>
      </w:r>
      <w:r w:rsidR="00F17CEE" w:rsidRPr="00F7263B">
        <w:rPr>
          <w:sz w:val="20"/>
          <w:szCs w:val="20"/>
        </w:rPr>
        <w:t>–</w:t>
      </w:r>
      <w:r w:rsidRPr="00F7263B">
        <w:rPr>
          <w:sz w:val="20"/>
          <w:szCs w:val="20"/>
        </w:rPr>
        <w:t>12), there has been a steady rise in the total number of cases prosecuted as well as an improvement in conviction rates from 77.8</w:t>
      </w:r>
      <w:r w:rsidR="00F17CEE" w:rsidRPr="00F7263B">
        <w:rPr>
          <w:sz w:val="20"/>
          <w:szCs w:val="20"/>
        </w:rPr>
        <w:t xml:space="preserve"> percent</w:t>
      </w:r>
      <w:r w:rsidRPr="00F7263B">
        <w:rPr>
          <w:sz w:val="20"/>
          <w:szCs w:val="20"/>
        </w:rPr>
        <w:t xml:space="preserve"> to 85.0</w:t>
      </w:r>
      <w:r w:rsidR="00F17CEE" w:rsidRPr="00F7263B">
        <w:rPr>
          <w:sz w:val="20"/>
          <w:szCs w:val="20"/>
        </w:rPr>
        <w:t xml:space="preserve"> percent</w:t>
      </w:r>
      <w:r w:rsidR="00450F86" w:rsidRPr="00F7263B">
        <w:rPr>
          <w:sz w:val="20"/>
          <w:szCs w:val="20"/>
        </w:rPr>
        <w:t xml:space="preserve">.  </w:t>
      </w:r>
      <w:r w:rsidRPr="00F7263B">
        <w:rPr>
          <w:sz w:val="20"/>
          <w:szCs w:val="20"/>
        </w:rPr>
        <w:t xml:space="preserve">All </w:t>
      </w:r>
      <w:r w:rsidR="00F17CEE" w:rsidRPr="00F7263B">
        <w:rPr>
          <w:sz w:val="20"/>
          <w:szCs w:val="20"/>
        </w:rPr>
        <w:t>REACCs</w:t>
      </w:r>
      <w:r w:rsidRPr="00F7263B">
        <w:rPr>
          <w:sz w:val="20"/>
          <w:szCs w:val="20"/>
        </w:rPr>
        <w:t xml:space="preserve"> received 7</w:t>
      </w:r>
      <w:r w:rsidR="00F17CEE" w:rsidRPr="00F7263B">
        <w:rPr>
          <w:sz w:val="20"/>
          <w:szCs w:val="20"/>
        </w:rPr>
        <w:t>,</w:t>
      </w:r>
      <w:r w:rsidRPr="00F7263B">
        <w:rPr>
          <w:sz w:val="20"/>
          <w:szCs w:val="20"/>
        </w:rPr>
        <w:t>037 complaints and tipoffs within their mandate amounting to two third of the total complaints under the federal and regional mandate in 2011 and 2012</w:t>
      </w:r>
      <w:r w:rsidR="00450F86" w:rsidRPr="00F7263B">
        <w:rPr>
          <w:sz w:val="20"/>
          <w:szCs w:val="20"/>
        </w:rPr>
        <w:t xml:space="preserve">.  </w:t>
      </w:r>
      <w:r w:rsidRPr="00F7263B">
        <w:rPr>
          <w:sz w:val="20"/>
          <w:szCs w:val="20"/>
        </w:rPr>
        <w:t>Out of the total complaints and tips off, 16</w:t>
      </w:r>
      <w:r w:rsidR="00F17CEE" w:rsidRPr="00F7263B">
        <w:rPr>
          <w:sz w:val="20"/>
          <w:szCs w:val="20"/>
        </w:rPr>
        <w:t xml:space="preserve"> percent</w:t>
      </w:r>
      <w:r w:rsidRPr="00F7263B">
        <w:rPr>
          <w:sz w:val="20"/>
          <w:szCs w:val="20"/>
        </w:rPr>
        <w:t xml:space="preserve"> were convicted with variation among regions</w:t>
      </w:r>
      <w:r w:rsidR="00F17CEE" w:rsidRPr="00F7263B">
        <w:rPr>
          <w:sz w:val="20"/>
          <w:szCs w:val="20"/>
        </w:rPr>
        <w:t>.</w:t>
      </w:r>
      <w:r w:rsidRPr="00F7263B">
        <w:rPr>
          <w:sz w:val="20"/>
          <w:szCs w:val="20"/>
          <w:vertAlign w:val="superscript"/>
        </w:rPr>
        <w:footnoteReference w:id="57"/>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 xml:space="preserve">The Bank's Integrity Vice Presidency has a good working relationship with the FEACC as part of a </w:t>
      </w:r>
      <w:r w:rsidR="00F17CEE" w:rsidRPr="00F7263B">
        <w:rPr>
          <w:sz w:val="20"/>
          <w:szCs w:val="20"/>
        </w:rPr>
        <w:t>m</w:t>
      </w:r>
      <w:r w:rsidRPr="00F7263B">
        <w:rPr>
          <w:sz w:val="20"/>
          <w:szCs w:val="20"/>
        </w:rPr>
        <w:t xml:space="preserve">emorandum of </w:t>
      </w:r>
      <w:r w:rsidR="00F17CEE" w:rsidRPr="00F7263B">
        <w:rPr>
          <w:sz w:val="20"/>
          <w:szCs w:val="20"/>
        </w:rPr>
        <w:t>u</w:t>
      </w:r>
      <w:r w:rsidRPr="00F7263B">
        <w:rPr>
          <w:sz w:val="20"/>
          <w:szCs w:val="20"/>
        </w:rPr>
        <w:t>nderstanding signed between them on October 3, 2011</w:t>
      </w:r>
      <w:r w:rsidR="00450F86" w:rsidRPr="00F7263B">
        <w:rPr>
          <w:sz w:val="20"/>
          <w:szCs w:val="20"/>
        </w:rPr>
        <w:t xml:space="preserve">.  </w:t>
      </w:r>
      <w:r w:rsidRPr="00F7263B">
        <w:rPr>
          <w:sz w:val="20"/>
          <w:szCs w:val="20"/>
        </w:rPr>
        <w:t xml:space="preserve">The </w:t>
      </w:r>
      <w:r w:rsidR="00F17CEE" w:rsidRPr="00F7263B">
        <w:rPr>
          <w:sz w:val="20"/>
          <w:szCs w:val="20"/>
        </w:rPr>
        <w:t>memorandum of understanding</w:t>
      </w:r>
      <w:r w:rsidRPr="00F7263B">
        <w:rPr>
          <w:sz w:val="20"/>
          <w:szCs w:val="20"/>
        </w:rPr>
        <w:t xml:space="preserve"> provides a framework for cooperation and sharing of information, where appropriate, taking into consideration the legal and policy framework and mandate of each organization</w:t>
      </w:r>
      <w:r w:rsidR="00450F86" w:rsidRPr="00F7263B">
        <w:rPr>
          <w:sz w:val="20"/>
          <w:szCs w:val="20"/>
        </w:rPr>
        <w:t xml:space="preserve">.  </w:t>
      </w:r>
      <w:r w:rsidRPr="00F7263B">
        <w:rPr>
          <w:sz w:val="20"/>
          <w:szCs w:val="20"/>
        </w:rPr>
        <w:t xml:space="preserve">Thus far, the working relationship between </w:t>
      </w:r>
      <w:r w:rsidR="00F17CEE" w:rsidRPr="00F7263B">
        <w:rPr>
          <w:sz w:val="20"/>
          <w:szCs w:val="20"/>
        </w:rPr>
        <w:t xml:space="preserve">Bank's Integrity Vice Presidency </w:t>
      </w:r>
      <w:r w:rsidRPr="00F7263B">
        <w:rPr>
          <w:sz w:val="20"/>
          <w:szCs w:val="20"/>
        </w:rPr>
        <w:t xml:space="preserve">and FEACC based on the </w:t>
      </w:r>
      <w:r w:rsidR="00F17CEE" w:rsidRPr="00F7263B">
        <w:rPr>
          <w:sz w:val="20"/>
          <w:szCs w:val="20"/>
        </w:rPr>
        <w:t>memorandum of understanding</w:t>
      </w:r>
      <w:r w:rsidRPr="00F7263B">
        <w:rPr>
          <w:sz w:val="20"/>
          <w:szCs w:val="20"/>
        </w:rPr>
        <w:t xml:space="preserve"> has been cooperative and productive</w:t>
      </w:r>
      <w:r w:rsidR="00450F86" w:rsidRPr="00F7263B">
        <w:rPr>
          <w:sz w:val="20"/>
          <w:szCs w:val="20"/>
        </w:rPr>
        <w:t xml:space="preserve">.  </w:t>
      </w:r>
      <w:r w:rsidRPr="00F7263B">
        <w:rPr>
          <w:sz w:val="20"/>
          <w:szCs w:val="20"/>
        </w:rPr>
        <w:t xml:space="preserve">The </w:t>
      </w:r>
      <w:r w:rsidR="00F17CEE" w:rsidRPr="00F7263B">
        <w:rPr>
          <w:sz w:val="20"/>
          <w:szCs w:val="20"/>
        </w:rPr>
        <w:t>memorandum of understanding</w:t>
      </w:r>
      <w:r w:rsidRPr="00F7263B">
        <w:rPr>
          <w:sz w:val="20"/>
          <w:szCs w:val="20"/>
        </w:rPr>
        <w:t xml:space="preserve"> will provide the Bank and </w:t>
      </w:r>
      <w:r w:rsidR="00F17CEE" w:rsidRPr="00F7263B">
        <w:rPr>
          <w:sz w:val="20"/>
          <w:szCs w:val="20"/>
        </w:rPr>
        <w:t>its Integrity Vice Presidency</w:t>
      </w:r>
      <w:r w:rsidRPr="00F7263B">
        <w:rPr>
          <w:sz w:val="20"/>
          <w:szCs w:val="20"/>
        </w:rPr>
        <w:t xml:space="preserve"> with a foundation for expanding the existing working relationship to cover future cooperative investigations under the Program when needed, and for helping to ensure that the Government of Ethiopia and the FEACC can implement their commitments under the Anti-Corruption Guidelines</w:t>
      </w:r>
      <w:r w:rsidR="00450F86" w:rsidRPr="00F7263B">
        <w:rPr>
          <w:sz w:val="20"/>
          <w:szCs w:val="20"/>
        </w:rPr>
        <w:t xml:space="preserve">.  </w:t>
      </w:r>
      <w:r w:rsidRPr="00F7263B">
        <w:rPr>
          <w:sz w:val="20"/>
          <w:szCs w:val="20"/>
        </w:rPr>
        <w:t>More specifically, the terms of the cooper</w:t>
      </w:r>
      <w:r w:rsidR="00F17CEE" w:rsidRPr="00F7263B">
        <w:rPr>
          <w:sz w:val="20"/>
          <w:szCs w:val="20"/>
        </w:rPr>
        <w:t>ation includes the following: (a</w:t>
      </w:r>
      <w:r w:rsidRPr="00F7263B">
        <w:rPr>
          <w:sz w:val="20"/>
          <w:szCs w:val="20"/>
        </w:rPr>
        <w:t>) to provide one another (spontaneously or upon request) with information of relevance for detection, substantiation and prevention of fraud and corruption in connection with conduct which may constitute a serious crime under national legislation or a sanctionable offence under World Bank Group and Policies; (</w:t>
      </w:r>
      <w:r w:rsidR="00F17CEE" w:rsidRPr="00F7263B">
        <w:rPr>
          <w:sz w:val="20"/>
          <w:szCs w:val="20"/>
        </w:rPr>
        <w:t>b</w:t>
      </w:r>
      <w:r w:rsidRPr="00F7263B">
        <w:rPr>
          <w:sz w:val="20"/>
          <w:szCs w:val="20"/>
        </w:rPr>
        <w:t>)  to undertake joint activities and collaborate when appropriate in each Party’s efforts to detect, substantiate and prevent fraud and corruption; (</w:t>
      </w:r>
      <w:r w:rsidR="00F17CEE" w:rsidRPr="00F7263B">
        <w:rPr>
          <w:sz w:val="20"/>
          <w:szCs w:val="20"/>
        </w:rPr>
        <w:t>c</w:t>
      </w:r>
      <w:r w:rsidRPr="00F7263B">
        <w:rPr>
          <w:sz w:val="20"/>
          <w:szCs w:val="20"/>
        </w:rPr>
        <w:t>) to engage one another on relevant activities which they organize and undertake, and which may be of common interest in the execution of their mandates; (</w:t>
      </w:r>
      <w:r w:rsidR="00F17CEE" w:rsidRPr="00F7263B">
        <w:rPr>
          <w:sz w:val="20"/>
          <w:szCs w:val="20"/>
        </w:rPr>
        <w:t>d</w:t>
      </w:r>
      <w:r w:rsidRPr="00F7263B">
        <w:rPr>
          <w:sz w:val="20"/>
          <w:szCs w:val="20"/>
        </w:rPr>
        <w:t>) to provide a mechanism for the reciprocal referral of inquiries and recommendations pertaining to investigations and actions residing within the mandate and jurisdiction of the respective parties; (</w:t>
      </w:r>
      <w:r w:rsidR="00F17CEE" w:rsidRPr="00F7263B">
        <w:rPr>
          <w:sz w:val="20"/>
          <w:szCs w:val="20"/>
        </w:rPr>
        <w:t>e</w:t>
      </w:r>
      <w:r w:rsidRPr="00F7263B">
        <w:rPr>
          <w:sz w:val="20"/>
          <w:szCs w:val="20"/>
        </w:rPr>
        <w:t>) to designate contact points to facilitate and expedite the effective and confidential transmission o</w:t>
      </w:r>
      <w:r w:rsidR="00F17CEE" w:rsidRPr="00F7263B">
        <w:rPr>
          <w:sz w:val="20"/>
          <w:szCs w:val="20"/>
        </w:rPr>
        <w:t>f information exchanged, and (f</w:t>
      </w:r>
      <w:r w:rsidRPr="00F7263B">
        <w:rPr>
          <w:sz w:val="20"/>
          <w:szCs w:val="20"/>
        </w:rPr>
        <w:t>) to meet periodically to identify possible priority areas for cooperation that present common strategic or operational objectives</w:t>
      </w:r>
      <w:r w:rsidR="00450F86" w:rsidRPr="00F7263B">
        <w:rPr>
          <w:sz w:val="20"/>
          <w:szCs w:val="20"/>
        </w:rPr>
        <w:t xml:space="preserve">.  </w:t>
      </w:r>
      <w:r w:rsidRPr="00F7263B">
        <w:rPr>
          <w:sz w:val="20"/>
          <w:szCs w:val="20"/>
        </w:rPr>
        <w:t xml:space="preserve">The </w:t>
      </w:r>
      <w:r w:rsidR="00F17CEE" w:rsidRPr="00F7263B">
        <w:rPr>
          <w:sz w:val="20"/>
          <w:szCs w:val="20"/>
        </w:rPr>
        <w:t>memorandum of understanding</w:t>
      </w:r>
      <w:r w:rsidRPr="00F7263B">
        <w:rPr>
          <w:sz w:val="20"/>
          <w:szCs w:val="20"/>
        </w:rPr>
        <w:t xml:space="preserve"> will therefore make it possible for </w:t>
      </w:r>
      <w:r w:rsidR="00F17CEE" w:rsidRPr="00F7263B">
        <w:rPr>
          <w:sz w:val="20"/>
          <w:szCs w:val="20"/>
        </w:rPr>
        <w:t>the Bank’s Integrity Vice</w:t>
      </w:r>
      <w:r w:rsidR="001D67D6" w:rsidRPr="00F7263B">
        <w:rPr>
          <w:sz w:val="20"/>
          <w:szCs w:val="20"/>
        </w:rPr>
        <w:t>Presidency</w:t>
      </w:r>
      <w:r w:rsidRPr="00F7263B">
        <w:rPr>
          <w:sz w:val="20"/>
          <w:szCs w:val="20"/>
        </w:rPr>
        <w:t xml:space="preserve"> to collaborate with FEACC on any case of suspected fraud and corruption in the Program</w:t>
      </w:r>
      <w:r w:rsidR="00450F86" w:rsidRPr="00F7263B">
        <w:rPr>
          <w:sz w:val="20"/>
          <w:szCs w:val="20"/>
        </w:rPr>
        <w:t xml:space="preserve">.  </w:t>
      </w:r>
    </w:p>
    <w:p w:rsidR="004D2B36" w:rsidRPr="00F7263B" w:rsidRDefault="004D2B36" w:rsidP="004D2B36">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 xml:space="preserve">FEACC, as indicated earlier has the responsibility for investigating and prosecuting corruption in the country, including for funds specifically from </w:t>
      </w:r>
      <w:r w:rsidR="00D036D7" w:rsidRPr="00F7263B">
        <w:rPr>
          <w:sz w:val="20"/>
          <w:szCs w:val="20"/>
        </w:rPr>
        <w:t>d</w:t>
      </w:r>
      <w:r w:rsidRPr="00F7263B">
        <w:rPr>
          <w:sz w:val="20"/>
          <w:szCs w:val="20"/>
        </w:rPr>
        <w:t xml:space="preserve">evelopment </w:t>
      </w:r>
      <w:r w:rsidR="00D036D7" w:rsidRPr="00F7263B">
        <w:rPr>
          <w:sz w:val="20"/>
          <w:szCs w:val="20"/>
        </w:rPr>
        <w:t>p</w:t>
      </w:r>
      <w:r w:rsidRPr="00F7263B">
        <w:rPr>
          <w:sz w:val="20"/>
          <w:szCs w:val="20"/>
        </w:rPr>
        <w:t>artners to support the Government of Ethiopia</w:t>
      </w:r>
      <w:r w:rsidR="00450F86" w:rsidRPr="00F7263B">
        <w:rPr>
          <w:sz w:val="20"/>
          <w:szCs w:val="20"/>
        </w:rPr>
        <w:t xml:space="preserve">.  </w:t>
      </w:r>
      <w:r w:rsidRPr="00F7263B">
        <w:rPr>
          <w:sz w:val="20"/>
          <w:szCs w:val="20"/>
        </w:rPr>
        <w:t>This responsibility is sometimes delegated by the FEACC to the REACC as part of a</w:t>
      </w:r>
      <w:r w:rsidR="00D036D7" w:rsidRPr="00F7263B">
        <w:rPr>
          <w:sz w:val="20"/>
          <w:szCs w:val="20"/>
        </w:rPr>
        <w:t xml:space="preserve"> memorandum of understanding</w:t>
      </w:r>
      <w:r w:rsidRPr="00F7263B">
        <w:rPr>
          <w:sz w:val="20"/>
          <w:szCs w:val="20"/>
        </w:rPr>
        <w:t xml:space="preserve"> between them, which provides among other things powers to investigate and prosecute corruption for funds and more specifically funds that seek to benefit the Regions and Cities</w:t>
      </w:r>
      <w:r w:rsidR="00450F86" w:rsidRPr="00F7263B">
        <w:rPr>
          <w:sz w:val="20"/>
          <w:szCs w:val="20"/>
        </w:rPr>
        <w:t xml:space="preserve">.  </w:t>
      </w:r>
      <w:r w:rsidR="00D036D7" w:rsidRPr="00F7263B">
        <w:rPr>
          <w:sz w:val="20"/>
          <w:szCs w:val="20"/>
        </w:rPr>
        <w:t>In addition,</w:t>
      </w:r>
      <w:r w:rsidRPr="00F7263B">
        <w:rPr>
          <w:sz w:val="20"/>
          <w:szCs w:val="20"/>
        </w:rPr>
        <w:t xml:space="preserve"> FEACC and REACC</w:t>
      </w:r>
      <w:r w:rsidR="00D036D7" w:rsidRPr="00F7263B">
        <w:rPr>
          <w:sz w:val="20"/>
          <w:szCs w:val="20"/>
        </w:rPr>
        <w:t>s</w:t>
      </w:r>
      <w:r w:rsidRPr="00F7263B">
        <w:rPr>
          <w:sz w:val="20"/>
          <w:szCs w:val="20"/>
        </w:rPr>
        <w:t xml:space="preserve"> meet </w:t>
      </w:r>
      <w:r w:rsidR="00D036D7" w:rsidRPr="00F7263B">
        <w:rPr>
          <w:sz w:val="20"/>
          <w:szCs w:val="20"/>
        </w:rPr>
        <w:t xml:space="preserve">twice a </w:t>
      </w:r>
      <w:r w:rsidR="00D036D7" w:rsidRPr="00F7263B">
        <w:rPr>
          <w:sz w:val="20"/>
          <w:szCs w:val="20"/>
        </w:rPr>
        <w:lastRenderedPageBreak/>
        <w:t xml:space="preserve">year </w:t>
      </w:r>
      <w:r w:rsidRPr="00F7263B">
        <w:rPr>
          <w:sz w:val="20"/>
          <w:szCs w:val="20"/>
        </w:rPr>
        <w:t>to share information on lessons learned, conduct joint learning programs as well as discuss various issues regarding capacity building and priorities for addressing corruption in the country more broadly</w:t>
      </w:r>
      <w:r w:rsidR="00450F86" w:rsidRPr="00F7263B">
        <w:rPr>
          <w:sz w:val="20"/>
          <w:szCs w:val="20"/>
        </w:rPr>
        <w:t xml:space="preserve">.  </w:t>
      </w:r>
    </w:p>
    <w:p w:rsidR="004D2B36" w:rsidRPr="00F7263B" w:rsidRDefault="004D2B36" w:rsidP="004D2B36">
      <w:pPr>
        <w:autoSpaceDE w:val="0"/>
        <w:autoSpaceDN w:val="0"/>
        <w:adjustRightInd w:val="0"/>
        <w:contextualSpacing/>
        <w:jc w:val="both"/>
        <w:rPr>
          <w:sz w:val="20"/>
          <w:szCs w:val="20"/>
        </w:rPr>
      </w:pPr>
    </w:p>
    <w:p w:rsidR="004D2B36" w:rsidRPr="00F7263B" w:rsidRDefault="00D036D7" w:rsidP="004D2B36">
      <w:pPr>
        <w:ind w:left="792" w:hanging="792"/>
        <w:contextualSpacing/>
        <w:jc w:val="both"/>
        <w:rPr>
          <w:b/>
          <w:sz w:val="20"/>
          <w:szCs w:val="20"/>
        </w:rPr>
      </w:pPr>
      <w:r w:rsidRPr="00F7263B">
        <w:rPr>
          <w:b/>
          <w:sz w:val="20"/>
          <w:szCs w:val="20"/>
        </w:rPr>
        <w:t>Fiduciary risks and mitigation m</w:t>
      </w:r>
      <w:r w:rsidR="004D2B36" w:rsidRPr="00F7263B">
        <w:rPr>
          <w:b/>
          <w:sz w:val="20"/>
          <w:szCs w:val="20"/>
        </w:rPr>
        <w:t xml:space="preserve">easures </w:t>
      </w:r>
    </w:p>
    <w:p w:rsidR="004D2B36" w:rsidRPr="00F7263B" w:rsidRDefault="004D2B36" w:rsidP="002345A2">
      <w:pPr>
        <w:autoSpaceDE w:val="0"/>
        <w:autoSpaceDN w:val="0"/>
        <w:adjustRightInd w:val="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 xml:space="preserve">Based on the above reasons, </w:t>
      </w:r>
      <w:r w:rsidRPr="00F7263B">
        <w:rPr>
          <w:b/>
          <w:sz w:val="20"/>
          <w:szCs w:val="20"/>
        </w:rPr>
        <w:t>the fiduciary risk assessed for this operation is classified as “substantial”</w:t>
      </w:r>
      <w:r w:rsidR="00450F86" w:rsidRPr="00F7263B">
        <w:rPr>
          <w:b/>
          <w:sz w:val="20"/>
          <w:szCs w:val="20"/>
        </w:rPr>
        <w:t xml:space="preserve">.  </w:t>
      </w:r>
      <w:r w:rsidRPr="00F7263B">
        <w:rPr>
          <w:sz w:val="20"/>
          <w:szCs w:val="20"/>
        </w:rPr>
        <w:t>Overall, the fiduciary assessment concludes that the examined program financial management and procurement systems are adequate to provide reasonable assurance that the financing proceeds will be used for intended purposes, with due attention to principles of economy, efficiency, effectiveness, transparency and accountability, and for safeguarding Program assets once the proposed mitigation measures have been implemented</w:t>
      </w:r>
      <w:r w:rsidR="00450F86" w:rsidRPr="00F7263B">
        <w:rPr>
          <w:sz w:val="20"/>
          <w:szCs w:val="20"/>
        </w:rPr>
        <w:t xml:space="preserve">.  </w:t>
      </w:r>
      <w:r w:rsidRPr="00F7263B">
        <w:rPr>
          <w:sz w:val="20"/>
          <w:szCs w:val="20"/>
        </w:rPr>
        <w:t>Appropriate systems to handle fiduciary risks including the fraud and corruption, including effective complaint-handling mechanisms, have been agreed on and established</w:t>
      </w:r>
      <w:r w:rsidR="00450F86" w:rsidRPr="00F7263B">
        <w:rPr>
          <w:sz w:val="20"/>
          <w:szCs w:val="20"/>
        </w:rPr>
        <w:t xml:space="preserve">.  </w:t>
      </w:r>
      <w:r w:rsidRPr="00F7263B">
        <w:rPr>
          <w:sz w:val="20"/>
          <w:szCs w:val="20"/>
        </w:rPr>
        <w:t>Risk mitigation measures for the identified risks have been discussed and agreed with Government</w:t>
      </w:r>
      <w:r w:rsidR="00450F86" w:rsidRPr="00F7263B">
        <w:rPr>
          <w:sz w:val="20"/>
          <w:szCs w:val="20"/>
        </w:rPr>
        <w:t xml:space="preserve">.  </w:t>
      </w:r>
      <w:r w:rsidRPr="00F7263B">
        <w:rPr>
          <w:sz w:val="20"/>
          <w:szCs w:val="20"/>
        </w:rPr>
        <w:t>The risk mitigation measures have two pronged approach: First a Disbursement Linked Indicator will be provided in the Financing Agreement to support transparency aspects of the Program</w:t>
      </w:r>
      <w:r w:rsidR="00450F86" w:rsidRPr="00F7263B">
        <w:rPr>
          <w:sz w:val="20"/>
          <w:szCs w:val="20"/>
        </w:rPr>
        <w:t xml:space="preserve">.  </w:t>
      </w:r>
      <w:r w:rsidRPr="00F7263B">
        <w:rPr>
          <w:sz w:val="20"/>
          <w:szCs w:val="20"/>
        </w:rPr>
        <w:t xml:space="preserve">Secondly specific actions have been proposed that will support the DLI and help improve efficiency and performance monitoring are indicated in the </w:t>
      </w:r>
      <w:r w:rsidR="00656ABB" w:rsidRPr="00F7263B">
        <w:rPr>
          <w:sz w:val="20"/>
          <w:szCs w:val="20"/>
        </w:rPr>
        <w:t>Program action plan</w:t>
      </w:r>
      <w:r w:rsidRPr="00F7263B">
        <w:rPr>
          <w:sz w:val="20"/>
          <w:szCs w:val="20"/>
        </w:rPr>
        <w:t>.</w:t>
      </w:r>
    </w:p>
    <w:p w:rsidR="004D2B36" w:rsidRPr="00F7263B" w:rsidRDefault="004D2B36" w:rsidP="004D2B36">
      <w:pPr>
        <w:ind w:left="720"/>
        <w:contextualSpacing/>
        <w:jc w:val="both"/>
        <w:rPr>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Summary of  risks,  mitigation measures and action plan are presented below:</w:t>
      </w:r>
    </w:p>
    <w:p w:rsidR="00713BB0" w:rsidRPr="00F7263B" w:rsidRDefault="00713BB0" w:rsidP="0068255C">
      <w:pPr>
        <w:widowControl w:val="0"/>
        <w:autoSpaceDE w:val="0"/>
        <w:autoSpaceDN w:val="0"/>
        <w:adjustRightInd w:val="0"/>
        <w:spacing w:before="240" w:after="240"/>
        <w:ind w:right="288"/>
        <w:contextualSpacing/>
        <w:jc w:val="both"/>
        <w:rPr>
          <w:sz w:val="20"/>
          <w:szCs w:val="20"/>
        </w:rPr>
      </w:pPr>
    </w:p>
    <w:tbl>
      <w:tblPr>
        <w:tblStyle w:val="TableGrid"/>
        <w:tblW w:w="9738" w:type="dxa"/>
        <w:tblLayout w:type="fixed"/>
        <w:tblLook w:val="04A0" w:firstRow="1" w:lastRow="0" w:firstColumn="1" w:lastColumn="0" w:noHBand="0" w:noVBand="1"/>
      </w:tblPr>
      <w:tblGrid>
        <w:gridCol w:w="3888"/>
        <w:gridCol w:w="3240"/>
        <w:gridCol w:w="1170"/>
        <w:gridCol w:w="1440"/>
      </w:tblGrid>
      <w:tr w:rsidR="0053260E" w:rsidRPr="00F7263B">
        <w:tc>
          <w:tcPr>
            <w:tcW w:w="3888" w:type="dxa"/>
          </w:tcPr>
          <w:p w:rsidR="0053260E" w:rsidRPr="00F7263B" w:rsidRDefault="0053260E" w:rsidP="00DD5CED">
            <w:pPr>
              <w:autoSpaceDE w:val="0"/>
              <w:autoSpaceDN w:val="0"/>
              <w:adjustRightInd w:val="0"/>
              <w:spacing w:after="182"/>
              <w:jc w:val="both"/>
              <w:rPr>
                <w:b/>
                <w:color w:val="000000"/>
                <w:sz w:val="20"/>
                <w:szCs w:val="20"/>
              </w:rPr>
            </w:pPr>
            <w:r w:rsidRPr="00F7263B">
              <w:rPr>
                <w:b/>
                <w:color w:val="000000"/>
                <w:sz w:val="20"/>
                <w:szCs w:val="20"/>
              </w:rPr>
              <w:t xml:space="preserve">Risk Description </w:t>
            </w:r>
          </w:p>
        </w:tc>
        <w:tc>
          <w:tcPr>
            <w:tcW w:w="4410" w:type="dxa"/>
            <w:gridSpan w:val="2"/>
          </w:tcPr>
          <w:p w:rsidR="0053260E" w:rsidRPr="00F7263B" w:rsidRDefault="0053260E" w:rsidP="00DD5CED">
            <w:pPr>
              <w:autoSpaceDE w:val="0"/>
              <w:autoSpaceDN w:val="0"/>
              <w:adjustRightInd w:val="0"/>
              <w:spacing w:after="182"/>
              <w:jc w:val="both"/>
              <w:rPr>
                <w:b/>
                <w:color w:val="000000"/>
                <w:sz w:val="20"/>
                <w:szCs w:val="20"/>
              </w:rPr>
            </w:pPr>
            <w:r w:rsidRPr="00F7263B">
              <w:rPr>
                <w:b/>
                <w:color w:val="000000"/>
                <w:sz w:val="20"/>
                <w:szCs w:val="20"/>
              </w:rPr>
              <w:t>Proposed mitigation measures</w:t>
            </w:r>
          </w:p>
        </w:tc>
        <w:tc>
          <w:tcPr>
            <w:tcW w:w="1440" w:type="dxa"/>
          </w:tcPr>
          <w:p w:rsidR="0053260E" w:rsidRPr="00F7263B" w:rsidRDefault="0053260E" w:rsidP="00DD5CED">
            <w:pPr>
              <w:autoSpaceDE w:val="0"/>
              <w:autoSpaceDN w:val="0"/>
              <w:adjustRightInd w:val="0"/>
              <w:spacing w:after="182"/>
              <w:jc w:val="both"/>
              <w:rPr>
                <w:b/>
                <w:color w:val="000000"/>
                <w:sz w:val="20"/>
                <w:szCs w:val="20"/>
              </w:rPr>
            </w:pPr>
            <w:r w:rsidRPr="00F7263B">
              <w:rPr>
                <w:b/>
                <w:color w:val="000000"/>
                <w:sz w:val="20"/>
                <w:szCs w:val="20"/>
              </w:rPr>
              <w:t>Time Frame</w:t>
            </w:r>
          </w:p>
        </w:tc>
      </w:tr>
      <w:tr w:rsidR="0053260E" w:rsidRPr="00F7263B">
        <w:trPr>
          <w:trHeight w:val="368"/>
        </w:trPr>
        <w:tc>
          <w:tcPr>
            <w:tcW w:w="9738" w:type="dxa"/>
            <w:gridSpan w:val="4"/>
          </w:tcPr>
          <w:p w:rsidR="0053260E" w:rsidRPr="00F7263B" w:rsidRDefault="0053260E" w:rsidP="00DD5CED">
            <w:pPr>
              <w:autoSpaceDE w:val="0"/>
              <w:autoSpaceDN w:val="0"/>
              <w:adjustRightInd w:val="0"/>
              <w:spacing w:after="182"/>
              <w:jc w:val="both"/>
              <w:rPr>
                <w:color w:val="000000"/>
                <w:sz w:val="20"/>
                <w:szCs w:val="20"/>
              </w:rPr>
            </w:pPr>
            <w:r w:rsidRPr="00F7263B">
              <w:rPr>
                <w:rFonts w:eastAsiaTheme="minorHAnsi"/>
                <w:b/>
                <w:sz w:val="20"/>
                <w:szCs w:val="20"/>
              </w:rPr>
              <w:t>Financial Management</w:t>
            </w:r>
          </w:p>
        </w:tc>
      </w:tr>
      <w:tr w:rsidR="0053260E" w:rsidRPr="00F7263B">
        <w:tc>
          <w:tcPr>
            <w:tcW w:w="3888" w:type="dxa"/>
          </w:tcPr>
          <w:p w:rsidR="0053260E" w:rsidRPr="00F7263B" w:rsidRDefault="0053260E" w:rsidP="00DD5CED">
            <w:pPr>
              <w:rPr>
                <w:b/>
                <w:color w:val="000000"/>
                <w:sz w:val="20"/>
                <w:szCs w:val="20"/>
              </w:rPr>
            </w:pPr>
            <w:r w:rsidRPr="00F7263B">
              <w:rPr>
                <w:rFonts w:eastAsiaTheme="minorHAnsi"/>
                <w:b/>
                <w:sz w:val="20"/>
                <w:szCs w:val="20"/>
              </w:rPr>
              <w:t>Country Level</w:t>
            </w:r>
          </w:p>
          <w:p w:rsidR="0053260E" w:rsidRPr="00F7263B" w:rsidRDefault="0053260E" w:rsidP="00DD5CED">
            <w:pPr>
              <w:rPr>
                <w:b/>
                <w:color w:val="000000"/>
                <w:sz w:val="20"/>
                <w:szCs w:val="20"/>
              </w:rPr>
            </w:pPr>
          </w:p>
          <w:p w:rsidR="0053260E" w:rsidRPr="00F7263B" w:rsidRDefault="0053260E" w:rsidP="00E9566D">
            <w:pPr>
              <w:autoSpaceDE w:val="0"/>
              <w:autoSpaceDN w:val="0"/>
              <w:adjustRightInd w:val="0"/>
              <w:spacing w:after="182"/>
              <w:rPr>
                <w:color w:val="000000"/>
                <w:sz w:val="20"/>
                <w:szCs w:val="20"/>
              </w:rPr>
            </w:pPr>
            <w:r w:rsidRPr="00F7263B">
              <w:rPr>
                <w:color w:val="000000"/>
                <w:sz w:val="20"/>
                <w:szCs w:val="20"/>
              </w:rPr>
              <w:t xml:space="preserve">Weak capacity in selected areas of </w:t>
            </w:r>
            <w:r w:rsidR="00BC3492" w:rsidRPr="00F7263B">
              <w:rPr>
                <w:color w:val="000000"/>
                <w:sz w:val="20"/>
                <w:szCs w:val="20"/>
              </w:rPr>
              <w:t>public financial management,</w:t>
            </w:r>
            <w:r w:rsidRPr="00F7263B">
              <w:rPr>
                <w:color w:val="000000"/>
                <w:sz w:val="20"/>
                <w:szCs w:val="20"/>
              </w:rPr>
              <w:t xml:space="preserve"> especially </w:t>
            </w:r>
            <w:r w:rsidRPr="00F7263B">
              <w:rPr>
                <w:color w:val="000000"/>
                <w:sz w:val="20"/>
                <w:szCs w:val="20"/>
                <w:lang w:val="en-GB"/>
              </w:rPr>
              <w:t xml:space="preserve">multiyear planning, unreported government operations, tax collections, budget execution, procurement and internal audit; </w:t>
            </w:r>
            <w:r w:rsidRPr="00F7263B">
              <w:rPr>
                <w:color w:val="000000"/>
                <w:sz w:val="20"/>
                <w:szCs w:val="20"/>
              </w:rPr>
              <w:t xml:space="preserve"> high staff turnover of qualified accountants and auditors, gaps in legal framework especially relating to the accounting profession</w:t>
            </w:r>
          </w:p>
        </w:tc>
        <w:tc>
          <w:tcPr>
            <w:tcW w:w="3240" w:type="dxa"/>
          </w:tcPr>
          <w:p w:rsidR="0053260E" w:rsidRPr="00F7263B" w:rsidRDefault="0053260E" w:rsidP="00405DC2">
            <w:pPr>
              <w:autoSpaceDE w:val="0"/>
              <w:autoSpaceDN w:val="0"/>
              <w:adjustRightInd w:val="0"/>
              <w:spacing w:after="182"/>
              <w:rPr>
                <w:color w:val="000000"/>
                <w:sz w:val="20"/>
                <w:szCs w:val="20"/>
              </w:rPr>
            </w:pPr>
            <w:r w:rsidRPr="00F7263B">
              <w:rPr>
                <w:color w:val="000000"/>
                <w:sz w:val="20"/>
                <w:szCs w:val="20"/>
              </w:rPr>
              <w:t>The noted weaknesses are being addressed by the ongoing Expenditure Management and Control Program and by the Civil Service Reform Program</w:t>
            </w: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No need to include it in the DLI or PAP</w:t>
            </w: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Continuous</w:t>
            </w:r>
          </w:p>
        </w:tc>
      </w:tr>
      <w:tr w:rsidR="0053260E" w:rsidRPr="00F7263B">
        <w:tc>
          <w:tcPr>
            <w:tcW w:w="3888" w:type="dxa"/>
          </w:tcPr>
          <w:p w:rsidR="0053260E" w:rsidRPr="00F7263B" w:rsidRDefault="0053260E" w:rsidP="00DD5CED">
            <w:pPr>
              <w:rPr>
                <w:b/>
                <w:color w:val="000000"/>
                <w:sz w:val="20"/>
                <w:szCs w:val="20"/>
              </w:rPr>
            </w:pPr>
            <w:r w:rsidRPr="00F7263B">
              <w:rPr>
                <w:rFonts w:eastAsiaTheme="minorHAnsi"/>
                <w:b/>
                <w:sz w:val="20"/>
                <w:szCs w:val="20"/>
              </w:rPr>
              <w:t>Entity Level</w:t>
            </w:r>
          </w:p>
          <w:p w:rsidR="0053260E" w:rsidRPr="00F7263B" w:rsidRDefault="0053260E" w:rsidP="00DD5CED">
            <w:pPr>
              <w:rPr>
                <w:b/>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Federal level- Reporting challenges were noted</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 xml:space="preserve">ULG Level- Weak capacity in ULGs, especially the new 26 cities where large backlogs in external audit, weak internal audit function and reporting issues was noted  </w:t>
            </w:r>
          </w:p>
        </w:tc>
        <w:tc>
          <w:tcPr>
            <w:tcW w:w="32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The program includes measures to address audit back logs, and strengthen internal audit function at city level</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Federal level quarterly reports still exist and formats are agreed in advance</w:t>
            </w:r>
          </w:p>
          <w:p w:rsidR="0053260E" w:rsidRPr="00F7263B" w:rsidRDefault="0053260E" w:rsidP="00DD5CED">
            <w:pPr>
              <w:autoSpaceDE w:val="0"/>
              <w:autoSpaceDN w:val="0"/>
              <w:adjustRightInd w:val="0"/>
              <w:spacing w:after="182"/>
              <w:rPr>
                <w:color w:val="000000"/>
                <w:sz w:val="20"/>
                <w:szCs w:val="20"/>
              </w:rPr>
            </w:pP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1,2 and 3</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 xml:space="preserve">As per dates set in DLIs and </w:t>
            </w:r>
            <w:r w:rsidR="00BC3492" w:rsidRPr="00F7263B">
              <w:rPr>
                <w:color w:val="000000"/>
                <w:sz w:val="20"/>
                <w:szCs w:val="20"/>
              </w:rPr>
              <w:t xml:space="preserve">the </w:t>
            </w:r>
            <w:r w:rsidRPr="00F7263B">
              <w:rPr>
                <w:color w:val="000000"/>
                <w:sz w:val="20"/>
                <w:szCs w:val="20"/>
              </w:rPr>
              <w:t>PAP</w:t>
            </w:r>
          </w:p>
        </w:tc>
      </w:tr>
      <w:tr w:rsidR="0053260E" w:rsidRPr="00F7263B">
        <w:tc>
          <w:tcPr>
            <w:tcW w:w="3888" w:type="dxa"/>
          </w:tcPr>
          <w:p w:rsidR="0053260E" w:rsidRPr="00F7263B" w:rsidRDefault="0053260E" w:rsidP="00DD5CED">
            <w:pPr>
              <w:contextualSpacing/>
              <w:rPr>
                <w:b/>
                <w:sz w:val="20"/>
                <w:szCs w:val="20"/>
              </w:rPr>
            </w:pPr>
            <w:r w:rsidRPr="00F7263B">
              <w:rPr>
                <w:b/>
                <w:sz w:val="20"/>
                <w:szCs w:val="20"/>
              </w:rPr>
              <w:t xml:space="preserve">Planning and Budgeting </w:t>
            </w:r>
          </w:p>
          <w:p w:rsidR="0053260E" w:rsidRPr="00F7263B" w:rsidRDefault="0053260E" w:rsidP="00DD5CED">
            <w:pPr>
              <w:contextualSpacing/>
              <w:rPr>
                <w:b/>
                <w:sz w:val="20"/>
                <w:szCs w:val="20"/>
              </w:rPr>
            </w:pPr>
          </w:p>
          <w:p w:rsidR="0053260E" w:rsidRPr="00F7263B" w:rsidRDefault="0053260E" w:rsidP="00DD5CED">
            <w:pPr>
              <w:contextualSpacing/>
              <w:rPr>
                <w:sz w:val="20"/>
                <w:szCs w:val="20"/>
              </w:rPr>
            </w:pPr>
            <w:r w:rsidRPr="00F7263B">
              <w:rPr>
                <w:sz w:val="20"/>
                <w:szCs w:val="20"/>
              </w:rPr>
              <w:t xml:space="preserve">Budget execution and analysis of variances may not be as expected as a result of implementation issues. </w:t>
            </w: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tc>
        <w:tc>
          <w:tcPr>
            <w:tcW w:w="3240" w:type="dxa"/>
          </w:tcPr>
          <w:p w:rsidR="0053260E" w:rsidRPr="00F7263B" w:rsidRDefault="0053260E" w:rsidP="00DD5CED">
            <w:pPr>
              <w:widowControl w:val="0"/>
              <w:autoSpaceDE w:val="0"/>
              <w:autoSpaceDN w:val="0"/>
              <w:adjustRightInd w:val="0"/>
              <w:ind w:right="288"/>
              <w:rPr>
                <w:sz w:val="20"/>
                <w:szCs w:val="20"/>
              </w:rPr>
            </w:pPr>
            <w:r w:rsidRPr="00F7263B">
              <w:rPr>
                <w:sz w:val="20"/>
                <w:szCs w:val="20"/>
              </w:rPr>
              <w:t xml:space="preserve">The Program includes requirements to improve the Budget execution/utilization </w:t>
            </w:r>
          </w:p>
          <w:p w:rsidR="0053260E" w:rsidRPr="00F7263B" w:rsidRDefault="0053260E" w:rsidP="00DD5CED">
            <w:pPr>
              <w:widowControl w:val="0"/>
              <w:autoSpaceDE w:val="0"/>
              <w:autoSpaceDN w:val="0"/>
              <w:adjustRightInd w:val="0"/>
              <w:ind w:right="288"/>
              <w:rPr>
                <w:sz w:val="20"/>
                <w:szCs w:val="20"/>
              </w:rPr>
            </w:pPr>
          </w:p>
          <w:p w:rsidR="0053260E" w:rsidRPr="00F7263B" w:rsidRDefault="0053260E" w:rsidP="00DD5CED">
            <w:pPr>
              <w:widowControl w:val="0"/>
              <w:autoSpaceDE w:val="0"/>
              <w:autoSpaceDN w:val="0"/>
              <w:adjustRightInd w:val="0"/>
              <w:ind w:right="288"/>
              <w:rPr>
                <w:sz w:val="20"/>
                <w:szCs w:val="20"/>
              </w:rPr>
            </w:pPr>
            <w:r w:rsidRPr="00F7263B">
              <w:rPr>
                <w:sz w:val="20"/>
                <w:szCs w:val="20"/>
              </w:rPr>
              <w:t xml:space="preserve">Regular Semiannual Financial report include variance analysis </w:t>
            </w: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2/3</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IFR</w:t>
            </w:r>
          </w:p>
          <w:p w:rsidR="0053260E" w:rsidRPr="00F7263B" w:rsidRDefault="0053260E" w:rsidP="00DD5CED">
            <w:pPr>
              <w:autoSpaceDE w:val="0"/>
              <w:autoSpaceDN w:val="0"/>
              <w:adjustRightInd w:val="0"/>
              <w:spacing w:after="182"/>
              <w:rPr>
                <w:color w:val="000000"/>
                <w:sz w:val="20"/>
                <w:szCs w:val="20"/>
              </w:rPr>
            </w:pP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As per dates set in DLIs and quarterly financial reports</w:t>
            </w:r>
          </w:p>
          <w:p w:rsidR="0053260E" w:rsidRPr="00F7263B" w:rsidRDefault="0053260E" w:rsidP="00DD5CED">
            <w:pPr>
              <w:autoSpaceDE w:val="0"/>
              <w:autoSpaceDN w:val="0"/>
              <w:adjustRightInd w:val="0"/>
              <w:spacing w:after="182"/>
              <w:rPr>
                <w:color w:val="000000"/>
                <w:sz w:val="20"/>
                <w:szCs w:val="20"/>
              </w:rPr>
            </w:pPr>
          </w:p>
        </w:tc>
      </w:tr>
      <w:tr w:rsidR="0053260E" w:rsidRPr="00F7263B">
        <w:tc>
          <w:tcPr>
            <w:tcW w:w="3888" w:type="dxa"/>
          </w:tcPr>
          <w:p w:rsidR="0053260E" w:rsidRPr="00F7263B" w:rsidRDefault="0053260E" w:rsidP="00DD5CED">
            <w:pPr>
              <w:contextualSpacing/>
              <w:rPr>
                <w:b/>
                <w:sz w:val="20"/>
                <w:szCs w:val="20"/>
              </w:rPr>
            </w:pPr>
            <w:r w:rsidRPr="00F7263B">
              <w:rPr>
                <w:b/>
                <w:i/>
                <w:sz w:val="20"/>
                <w:szCs w:val="20"/>
              </w:rPr>
              <w:t xml:space="preserve">Accounting </w:t>
            </w:r>
          </w:p>
          <w:p w:rsidR="0053260E" w:rsidRPr="00F7263B" w:rsidRDefault="0053260E" w:rsidP="00DD5CED">
            <w:pPr>
              <w:contextualSpacing/>
              <w:rPr>
                <w:sz w:val="20"/>
                <w:szCs w:val="20"/>
              </w:rPr>
            </w:pPr>
          </w:p>
          <w:p w:rsidR="0053260E" w:rsidRPr="00F7263B" w:rsidRDefault="0053260E" w:rsidP="00DD5CED">
            <w:pPr>
              <w:contextualSpacing/>
              <w:rPr>
                <w:sz w:val="20"/>
                <w:szCs w:val="20"/>
              </w:rPr>
            </w:pPr>
            <w:r w:rsidRPr="00F7263B">
              <w:rPr>
                <w:sz w:val="20"/>
                <w:szCs w:val="20"/>
              </w:rPr>
              <w:t>Chart of accounts need to be harmonized and clarified</w:t>
            </w:r>
          </w:p>
          <w:p w:rsidR="0053260E" w:rsidRPr="00F7263B" w:rsidRDefault="0053260E" w:rsidP="00DD5CED">
            <w:pPr>
              <w:contextualSpacing/>
              <w:rPr>
                <w:sz w:val="20"/>
                <w:szCs w:val="20"/>
              </w:rPr>
            </w:pPr>
          </w:p>
          <w:p w:rsidR="0053260E" w:rsidRPr="00F7263B" w:rsidRDefault="0053260E" w:rsidP="00DD5CED">
            <w:pPr>
              <w:contextualSpacing/>
              <w:rPr>
                <w:sz w:val="20"/>
                <w:szCs w:val="20"/>
              </w:rPr>
            </w:pPr>
            <w:r w:rsidRPr="00F7263B">
              <w:rPr>
                <w:sz w:val="20"/>
                <w:szCs w:val="20"/>
              </w:rPr>
              <w:t>IBEX, computerized accounting system utilization need follow up</w:t>
            </w: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r w:rsidRPr="00F7263B">
              <w:rPr>
                <w:sz w:val="20"/>
                <w:szCs w:val="20"/>
              </w:rPr>
              <w:t>Staff turnover is an issue at all levels</w:t>
            </w:r>
          </w:p>
          <w:p w:rsidR="0053260E" w:rsidRPr="00F7263B" w:rsidRDefault="0053260E" w:rsidP="00DD5CED">
            <w:pPr>
              <w:contextualSpacing/>
              <w:rPr>
                <w:sz w:val="20"/>
                <w:szCs w:val="20"/>
              </w:rPr>
            </w:pPr>
          </w:p>
        </w:tc>
        <w:tc>
          <w:tcPr>
            <w:tcW w:w="3240" w:type="dxa"/>
          </w:tcPr>
          <w:p w:rsidR="0053260E" w:rsidRPr="00F7263B" w:rsidRDefault="0053260E" w:rsidP="00DD5CED">
            <w:pPr>
              <w:widowControl w:val="0"/>
              <w:autoSpaceDE w:val="0"/>
              <w:autoSpaceDN w:val="0"/>
              <w:adjustRightInd w:val="0"/>
              <w:ind w:right="288"/>
              <w:contextualSpacing/>
              <w:rPr>
                <w:sz w:val="20"/>
                <w:szCs w:val="20"/>
              </w:rPr>
            </w:pPr>
            <w:r w:rsidRPr="00F7263B">
              <w:rPr>
                <w:sz w:val="20"/>
                <w:szCs w:val="20"/>
              </w:rPr>
              <w:lastRenderedPageBreak/>
              <w:t>CoA will be clarified and documented in the Program Operating Manual and Training will be conducted</w:t>
            </w:r>
          </w:p>
          <w:p w:rsidR="0053260E" w:rsidRPr="00F7263B" w:rsidRDefault="0053260E" w:rsidP="00DD5CED">
            <w:pPr>
              <w:widowControl w:val="0"/>
              <w:autoSpaceDE w:val="0"/>
              <w:autoSpaceDN w:val="0"/>
              <w:adjustRightInd w:val="0"/>
              <w:ind w:right="288"/>
              <w:contextualSpacing/>
              <w:rPr>
                <w:sz w:val="20"/>
                <w:szCs w:val="20"/>
              </w:rPr>
            </w:pPr>
          </w:p>
          <w:p w:rsidR="0053260E" w:rsidRPr="00F7263B" w:rsidRDefault="0053260E" w:rsidP="00DD5CED">
            <w:pPr>
              <w:widowControl w:val="0"/>
              <w:autoSpaceDE w:val="0"/>
              <w:autoSpaceDN w:val="0"/>
              <w:adjustRightInd w:val="0"/>
              <w:ind w:right="288"/>
              <w:contextualSpacing/>
              <w:rPr>
                <w:sz w:val="20"/>
                <w:szCs w:val="20"/>
              </w:rPr>
            </w:pPr>
            <w:r w:rsidRPr="00F7263B">
              <w:rPr>
                <w:sz w:val="20"/>
                <w:szCs w:val="20"/>
              </w:rPr>
              <w:t xml:space="preserve">The program includes measures to use IBEX and all cities will use IBEX and training will be conducted on IBEX/IT </w:t>
            </w:r>
          </w:p>
          <w:p w:rsidR="0053260E" w:rsidRPr="00F7263B" w:rsidRDefault="0053260E" w:rsidP="00DD5CED">
            <w:pPr>
              <w:widowControl w:val="0"/>
              <w:autoSpaceDE w:val="0"/>
              <w:autoSpaceDN w:val="0"/>
              <w:adjustRightInd w:val="0"/>
              <w:ind w:right="288"/>
              <w:contextualSpacing/>
              <w:rPr>
                <w:sz w:val="20"/>
                <w:szCs w:val="20"/>
              </w:rPr>
            </w:pPr>
          </w:p>
          <w:p w:rsidR="0053260E" w:rsidRPr="00F7263B" w:rsidRDefault="0053260E" w:rsidP="00DD5CED">
            <w:pPr>
              <w:widowControl w:val="0"/>
              <w:autoSpaceDE w:val="0"/>
              <w:autoSpaceDN w:val="0"/>
              <w:adjustRightInd w:val="0"/>
              <w:ind w:right="288"/>
              <w:contextualSpacing/>
              <w:rPr>
                <w:sz w:val="20"/>
                <w:szCs w:val="20"/>
              </w:rPr>
            </w:pPr>
            <w:r w:rsidRPr="00F7263B">
              <w:rPr>
                <w:sz w:val="20"/>
                <w:szCs w:val="20"/>
              </w:rPr>
              <w:t>The Program will allocate adequate financial management staffing at MoFED, MUDHCo and ULGs to perform the program duties. The total FM staff database will be submitted in the first 6 months of effectiveness and 75% of vacant professional positions will be filled with in 2yrs.</w:t>
            </w:r>
          </w:p>
        </w:tc>
        <w:tc>
          <w:tcPr>
            <w:tcW w:w="1170" w:type="dxa"/>
          </w:tcPr>
          <w:p w:rsidR="0053260E" w:rsidRPr="00F7263B" w:rsidRDefault="0053260E" w:rsidP="00DD5CED">
            <w:pPr>
              <w:contextualSpacing/>
              <w:rPr>
                <w:sz w:val="20"/>
                <w:szCs w:val="20"/>
              </w:rPr>
            </w:pPr>
            <w:r w:rsidRPr="00F7263B">
              <w:rPr>
                <w:sz w:val="20"/>
                <w:szCs w:val="20"/>
              </w:rPr>
              <w:lastRenderedPageBreak/>
              <w:t>PAP</w:t>
            </w: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r w:rsidRPr="00F7263B">
              <w:rPr>
                <w:sz w:val="20"/>
                <w:szCs w:val="20"/>
              </w:rPr>
              <w:lastRenderedPageBreak/>
              <w:t>DLI</w:t>
            </w: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p>
          <w:p w:rsidR="0053260E" w:rsidRPr="00F7263B" w:rsidRDefault="0053260E" w:rsidP="00DD5CED">
            <w:pPr>
              <w:contextualSpacing/>
              <w:rPr>
                <w:sz w:val="20"/>
                <w:szCs w:val="20"/>
              </w:rPr>
            </w:pPr>
            <w:r w:rsidRPr="00F7263B">
              <w:rPr>
                <w:sz w:val="20"/>
                <w:szCs w:val="20"/>
              </w:rPr>
              <w:t>PAP</w:t>
            </w: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lastRenderedPageBreak/>
              <w:t>As per dates set in DLIs and PAP</w:t>
            </w:r>
          </w:p>
        </w:tc>
      </w:tr>
      <w:tr w:rsidR="0053260E" w:rsidRPr="00F7263B">
        <w:tc>
          <w:tcPr>
            <w:tcW w:w="3888" w:type="dxa"/>
          </w:tcPr>
          <w:p w:rsidR="0053260E" w:rsidRPr="00F7263B" w:rsidRDefault="0053260E" w:rsidP="00DD5CED">
            <w:pPr>
              <w:contextualSpacing/>
              <w:rPr>
                <w:b/>
                <w:sz w:val="20"/>
                <w:szCs w:val="20"/>
              </w:rPr>
            </w:pPr>
            <w:r w:rsidRPr="00F7263B">
              <w:rPr>
                <w:b/>
                <w:i/>
                <w:sz w:val="20"/>
                <w:szCs w:val="20"/>
              </w:rPr>
              <w:lastRenderedPageBreak/>
              <w:t xml:space="preserve">Internal Control </w:t>
            </w:r>
          </w:p>
          <w:p w:rsidR="0053260E" w:rsidRPr="00F7263B" w:rsidRDefault="0053260E" w:rsidP="00DD5CED">
            <w:pPr>
              <w:contextualSpacing/>
              <w:rPr>
                <w:b/>
                <w:i/>
                <w:sz w:val="20"/>
                <w:szCs w:val="20"/>
              </w:rPr>
            </w:pPr>
          </w:p>
          <w:p w:rsidR="0053260E" w:rsidRPr="00F7263B" w:rsidRDefault="0053260E" w:rsidP="00DD5CED">
            <w:pPr>
              <w:contextualSpacing/>
              <w:rPr>
                <w:sz w:val="20"/>
                <w:szCs w:val="20"/>
              </w:rPr>
            </w:pPr>
            <w:r w:rsidRPr="00F7263B">
              <w:rPr>
                <w:sz w:val="20"/>
                <w:szCs w:val="20"/>
              </w:rPr>
              <w:t>Internal audit is weak  at all levels and controls in place but need strengthening</w:t>
            </w:r>
          </w:p>
          <w:p w:rsidR="0053260E" w:rsidRPr="00F7263B" w:rsidRDefault="0053260E" w:rsidP="00DD5CED">
            <w:pPr>
              <w:contextualSpacing/>
              <w:rPr>
                <w:b/>
                <w:i/>
                <w:sz w:val="20"/>
                <w:szCs w:val="20"/>
              </w:rPr>
            </w:pPr>
          </w:p>
        </w:tc>
        <w:tc>
          <w:tcPr>
            <w:tcW w:w="32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Inspection Directorate at MoFED in coordination with all entities will conduct audits once per year</w:t>
            </w:r>
          </w:p>
          <w:p w:rsidR="0053260E" w:rsidRPr="00F7263B" w:rsidRDefault="0053260E" w:rsidP="00DD5CED">
            <w:pPr>
              <w:widowControl w:val="0"/>
              <w:autoSpaceDE w:val="0"/>
              <w:autoSpaceDN w:val="0"/>
              <w:adjustRightInd w:val="0"/>
              <w:ind w:right="288"/>
              <w:contextualSpacing/>
              <w:rPr>
                <w:sz w:val="20"/>
                <w:szCs w:val="20"/>
              </w:rPr>
            </w:pPr>
            <w:r w:rsidRPr="00F7263B">
              <w:rPr>
                <w:sz w:val="20"/>
                <w:szCs w:val="20"/>
              </w:rPr>
              <w:t>The Program includes requirements to address internal audit and internal control challenges/ concerns at ULGs</w:t>
            </w: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2/3</w:t>
            </w:r>
          </w:p>
          <w:p w:rsidR="0053260E" w:rsidRPr="00F7263B" w:rsidRDefault="0053260E" w:rsidP="00DD5CED">
            <w:pPr>
              <w:contextualSpacing/>
              <w:rPr>
                <w:sz w:val="20"/>
                <w:szCs w:val="20"/>
              </w:rPr>
            </w:pP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As per dates set in DLIs and PAP</w:t>
            </w:r>
          </w:p>
        </w:tc>
      </w:tr>
      <w:tr w:rsidR="0053260E" w:rsidRPr="00F7263B">
        <w:tc>
          <w:tcPr>
            <w:tcW w:w="3888" w:type="dxa"/>
          </w:tcPr>
          <w:p w:rsidR="0053260E" w:rsidRPr="00F7263B" w:rsidRDefault="0053260E" w:rsidP="00DD5CED">
            <w:pPr>
              <w:contextualSpacing/>
              <w:rPr>
                <w:b/>
                <w:sz w:val="20"/>
                <w:szCs w:val="20"/>
              </w:rPr>
            </w:pPr>
            <w:r w:rsidRPr="00F7263B">
              <w:rPr>
                <w:b/>
                <w:i/>
                <w:sz w:val="20"/>
                <w:szCs w:val="20"/>
              </w:rPr>
              <w:t xml:space="preserve">Treasury management &amp; Funds Flow - </w:t>
            </w:r>
          </w:p>
          <w:p w:rsidR="0053260E" w:rsidRPr="00F7263B" w:rsidRDefault="0053260E" w:rsidP="00DD5CED">
            <w:pPr>
              <w:contextualSpacing/>
              <w:rPr>
                <w:sz w:val="20"/>
                <w:szCs w:val="20"/>
              </w:rPr>
            </w:pPr>
          </w:p>
          <w:p w:rsidR="0053260E" w:rsidRPr="00F7263B" w:rsidRDefault="0053260E" w:rsidP="00DD5CED">
            <w:pPr>
              <w:contextualSpacing/>
              <w:rPr>
                <w:sz w:val="20"/>
                <w:szCs w:val="20"/>
              </w:rPr>
            </w:pPr>
            <w:r w:rsidRPr="00F7263B">
              <w:rPr>
                <w:sz w:val="20"/>
                <w:szCs w:val="20"/>
              </w:rPr>
              <w:t>Delays in liquidating advances emanating from project implementation issues and thus lead to delay in the utilization of funds</w:t>
            </w:r>
          </w:p>
          <w:p w:rsidR="0053260E" w:rsidRPr="00F7263B" w:rsidRDefault="0053260E" w:rsidP="00DD5CED">
            <w:pPr>
              <w:autoSpaceDE w:val="0"/>
              <w:autoSpaceDN w:val="0"/>
              <w:adjustRightInd w:val="0"/>
              <w:spacing w:after="182"/>
              <w:rPr>
                <w:color w:val="000000"/>
                <w:sz w:val="20"/>
                <w:szCs w:val="20"/>
              </w:rPr>
            </w:pPr>
          </w:p>
        </w:tc>
        <w:tc>
          <w:tcPr>
            <w:tcW w:w="32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Twice Disbursement to ensure that regular flow of funds that are linked to the achievement of DLI</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 xml:space="preserve">Review of semiannual reports to identify poor implementation and budget utilization </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 xml:space="preserve">Reconciliation of fund disbursed to the Program with the expenditure will be conducted at the end </w:t>
            </w: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FA (Financing agreement)</w:t>
            </w: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As per dates set in DLIs and PAP</w:t>
            </w:r>
          </w:p>
        </w:tc>
      </w:tr>
      <w:tr w:rsidR="0053260E" w:rsidRPr="00F7263B">
        <w:tc>
          <w:tcPr>
            <w:tcW w:w="3888" w:type="dxa"/>
          </w:tcPr>
          <w:p w:rsidR="0053260E" w:rsidRPr="00F7263B" w:rsidRDefault="0053260E" w:rsidP="00DD5CED">
            <w:pPr>
              <w:autoSpaceDE w:val="0"/>
              <w:autoSpaceDN w:val="0"/>
              <w:adjustRightInd w:val="0"/>
              <w:spacing w:after="182"/>
              <w:rPr>
                <w:b/>
                <w:color w:val="000000"/>
                <w:sz w:val="20"/>
                <w:szCs w:val="20"/>
              </w:rPr>
            </w:pPr>
            <w:r w:rsidRPr="00F7263B">
              <w:rPr>
                <w:b/>
                <w:i/>
                <w:color w:val="000000"/>
                <w:sz w:val="20"/>
                <w:szCs w:val="20"/>
              </w:rPr>
              <w:t xml:space="preserve">Program Financial Reporting </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Delay in Report could exist as a result of the level of decentralization</w:t>
            </w:r>
          </w:p>
        </w:tc>
        <w:tc>
          <w:tcPr>
            <w:tcW w:w="32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Training will be conducted in report preparation</w:t>
            </w:r>
          </w:p>
          <w:p w:rsidR="0053260E" w:rsidRPr="00F7263B" w:rsidRDefault="0053260E" w:rsidP="00DD5CED">
            <w:pPr>
              <w:autoSpaceDE w:val="0"/>
              <w:autoSpaceDN w:val="0"/>
              <w:adjustRightInd w:val="0"/>
              <w:spacing w:after="182"/>
              <w:rPr>
                <w:color w:val="000000"/>
                <w:sz w:val="20"/>
                <w:szCs w:val="20"/>
              </w:rPr>
            </w:pP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As per dates set in DLIs and PAP</w:t>
            </w:r>
          </w:p>
        </w:tc>
      </w:tr>
      <w:tr w:rsidR="0053260E" w:rsidRPr="00F7263B">
        <w:tc>
          <w:tcPr>
            <w:tcW w:w="3888" w:type="dxa"/>
          </w:tcPr>
          <w:p w:rsidR="0053260E" w:rsidRPr="00F7263B" w:rsidRDefault="0053260E" w:rsidP="00DD5CED">
            <w:pPr>
              <w:contextualSpacing/>
              <w:rPr>
                <w:b/>
                <w:sz w:val="20"/>
                <w:szCs w:val="20"/>
              </w:rPr>
            </w:pPr>
            <w:r w:rsidRPr="00F7263B">
              <w:rPr>
                <w:b/>
                <w:i/>
                <w:sz w:val="20"/>
                <w:szCs w:val="20"/>
              </w:rPr>
              <w:t xml:space="preserve">Program Audit </w:t>
            </w:r>
          </w:p>
          <w:p w:rsidR="0053260E" w:rsidRPr="00F7263B" w:rsidRDefault="0053260E" w:rsidP="00DD5CED">
            <w:pPr>
              <w:contextualSpacing/>
              <w:rPr>
                <w:b/>
                <w:sz w:val="20"/>
                <w:szCs w:val="20"/>
              </w:rPr>
            </w:pPr>
          </w:p>
          <w:p w:rsidR="0053260E" w:rsidRPr="00F7263B" w:rsidRDefault="0053260E" w:rsidP="00DD5CED">
            <w:pPr>
              <w:contextualSpacing/>
              <w:rPr>
                <w:sz w:val="20"/>
                <w:szCs w:val="20"/>
              </w:rPr>
            </w:pPr>
            <w:r w:rsidRPr="00F7263B">
              <w:rPr>
                <w:sz w:val="20"/>
                <w:szCs w:val="20"/>
              </w:rPr>
              <w:t>There could be a delays in Program Financial Audit report</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VFM audit has not been adequately conducted</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 xml:space="preserve">Significant audit back logs exist for the new cities and qualification issues of the all cities are not well followed up </w:t>
            </w:r>
          </w:p>
        </w:tc>
        <w:tc>
          <w:tcPr>
            <w:tcW w:w="3240" w:type="dxa"/>
          </w:tcPr>
          <w:p w:rsidR="0053260E" w:rsidRPr="00F7263B" w:rsidRDefault="0053260E" w:rsidP="00DD5CED">
            <w:pPr>
              <w:widowControl w:val="0"/>
              <w:autoSpaceDE w:val="0"/>
              <w:autoSpaceDN w:val="0"/>
              <w:adjustRightInd w:val="0"/>
              <w:ind w:right="288"/>
              <w:rPr>
                <w:sz w:val="20"/>
                <w:szCs w:val="20"/>
              </w:rPr>
            </w:pPr>
            <w:r w:rsidRPr="00F7263B">
              <w:rPr>
                <w:sz w:val="20"/>
                <w:szCs w:val="20"/>
              </w:rPr>
              <w:t>The program will conduct a Financial Audit annually on the basis agreed upon TORs</w:t>
            </w:r>
          </w:p>
          <w:p w:rsidR="0053260E" w:rsidRPr="00F7263B" w:rsidRDefault="0053260E" w:rsidP="00DD5CED">
            <w:pPr>
              <w:widowControl w:val="0"/>
              <w:autoSpaceDE w:val="0"/>
              <w:autoSpaceDN w:val="0"/>
              <w:adjustRightInd w:val="0"/>
              <w:ind w:right="288"/>
              <w:rPr>
                <w:sz w:val="20"/>
                <w:szCs w:val="20"/>
              </w:rPr>
            </w:pPr>
          </w:p>
          <w:p w:rsidR="0053260E" w:rsidRPr="00F7263B" w:rsidRDefault="0053260E" w:rsidP="00DD5CED">
            <w:pPr>
              <w:widowControl w:val="0"/>
              <w:autoSpaceDE w:val="0"/>
              <w:autoSpaceDN w:val="0"/>
              <w:adjustRightInd w:val="0"/>
              <w:ind w:right="288"/>
              <w:rPr>
                <w:sz w:val="20"/>
                <w:szCs w:val="20"/>
              </w:rPr>
            </w:pPr>
            <w:r w:rsidRPr="00F7263B">
              <w:rPr>
                <w:sz w:val="20"/>
                <w:szCs w:val="20"/>
              </w:rPr>
              <w:t>Value for money audits will be conducted. The Program includes measures to follow up on audit backlogs and follow up of past audit issues.</w:t>
            </w: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Covenant</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DLI/PAP</w:t>
            </w:r>
          </w:p>
        </w:tc>
        <w:tc>
          <w:tcPr>
            <w:tcW w:w="144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As per dates set in DLIs and PAP/covenants</w:t>
            </w:r>
          </w:p>
        </w:tc>
      </w:tr>
      <w:tr w:rsidR="0053260E" w:rsidRPr="00F7263B">
        <w:tc>
          <w:tcPr>
            <w:tcW w:w="3888" w:type="dxa"/>
          </w:tcPr>
          <w:p w:rsidR="0053260E" w:rsidRPr="00F7263B" w:rsidRDefault="0053260E" w:rsidP="00DD5CED">
            <w:pPr>
              <w:autoSpaceDE w:val="0"/>
              <w:autoSpaceDN w:val="0"/>
              <w:adjustRightInd w:val="0"/>
              <w:spacing w:after="182"/>
              <w:rPr>
                <w:color w:val="000000"/>
                <w:sz w:val="20"/>
                <w:szCs w:val="20"/>
              </w:rPr>
            </w:pPr>
            <w:r w:rsidRPr="00F7263B">
              <w:rPr>
                <w:rFonts w:eastAsiaTheme="minorHAnsi"/>
                <w:b/>
                <w:sz w:val="20"/>
                <w:szCs w:val="20"/>
              </w:rPr>
              <w:t xml:space="preserve">Procurement </w:t>
            </w:r>
          </w:p>
        </w:tc>
        <w:tc>
          <w:tcPr>
            <w:tcW w:w="3240" w:type="dxa"/>
          </w:tcPr>
          <w:p w:rsidR="0053260E" w:rsidRPr="00F7263B" w:rsidRDefault="0053260E" w:rsidP="00DD5CED">
            <w:pPr>
              <w:autoSpaceDE w:val="0"/>
              <w:autoSpaceDN w:val="0"/>
              <w:adjustRightInd w:val="0"/>
              <w:spacing w:after="182"/>
              <w:rPr>
                <w:color w:val="000000"/>
                <w:sz w:val="20"/>
                <w:szCs w:val="20"/>
              </w:rPr>
            </w:pPr>
          </w:p>
        </w:tc>
        <w:tc>
          <w:tcPr>
            <w:tcW w:w="1170" w:type="dxa"/>
          </w:tcPr>
          <w:p w:rsidR="0053260E" w:rsidRPr="00F7263B" w:rsidRDefault="0053260E" w:rsidP="00DD5CED">
            <w:pPr>
              <w:autoSpaceDE w:val="0"/>
              <w:autoSpaceDN w:val="0"/>
              <w:adjustRightInd w:val="0"/>
              <w:spacing w:after="182"/>
              <w:rPr>
                <w:color w:val="000000"/>
                <w:sz w:val="20"/>
                <w:szCs w:val="20"/>
              </w:rPr>
            </w:pPr>
          </w:p>
        </w:tc>
        <w:tc>
          <w:tcPr>
            <w:tcW w:w="1440" w:type="dxa"/>
          </w:tcPr>
          <w:p w:rsidR="0053260E" w:rsidRPr="00F7263B" w:rsidRDefault="0053260E" w:rsidP="00DD5CED">
            <w:pPr>
              <w:autoSpaceDE w:val="0"/>
              <w:autoSpaceDN w:val="0"/>
              <w:adjustRightInd w:val="0"/>
              <w:spacing w:after="182"/>
              <w:rPr>
                <w:color w:val="000000"/>
                <w:sz w:val="20"/>
                <w:szCs w:val="20"/>
              </w:rPr>
            </w:pPr>
          </w:p>
        </w:tc>
      </w:tr>
      <w:tr w:rsidR="0053260E" w:rsidRPr="00F7263B">
        <w:tc>
          <w:tcPr>
            <w:tcW w:w="3888" w:type="dxa"/>
          </w:tcPr>
          <w:p w:rsidR="0053260E" w:rsidRPr="00F7263B" w:rsidRDefault="0053260E" w:rsidP="00DD5CED">
            <w:pPr>
              <w:autoSpaceDE w:val="0"/>
              <w:autoSpaceDN w:val="0"/>
              <w:adjustRightInd w:val="0"/>
              <w:spacing w:after="182"/>
              <w:rPr>
                <w:b/>
                <w:i/>
                <w:color w:val="000000"/>
                <w:sz w:val="20"/>
                <w:szCs w:val="20"/>
              </w:rPr>
            </w:pPr>
            <w:r w:rsidRPr="00F7263B">
              <w:rPr>
                <w:b/>
                <w:i/>
                <w:color w:val="000000"/>
                <w:sz w:val="20"/>
                <w:szCs w:val="20"/>
              </w:rPr>
              <w:lastRenderedPageBreak/>
              <w:t>Compliance with national and regional directives</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There is laxity or lack of knowledge of the bylawand therefore incompliance with national and regional governments directives  with regards to procurement planning, use of direct contracting without appropriate safeguards, failure to use standard bidding Documents and subsequently contract documents and inconsistent use of committee systems for approval of contract award. Use of direct contracting is common and national competitive bidding used above thresholds as required by Directives</w:t>
            </w:r>
          </w:p>
        </w:tc>
        <w:tc>
          <w:tcPr>
            <w:tcW w:w="3240" w:type="dxa"/>
          </w:tcPr>
          <w:p w:rsidR="0053260E" w:rsidRPr="00F7263B" w:rsidRDefault="0053260E" w:rsidP="0053260E">
            <w:pPr>
              <w:pStyle w:val="ListParagraph"/>
              <w:numPr>
                <w:ilvl w:val="0"/>
                <w:numId w:val="83"/>
              </w:numPr>
              <w:autoSpaceDE w:val="0"/>
              <w:autoSpaceDN w:val="0"/>
              <w:adjustRightInd w:val="0"/>
              <w:spacing w:after="182"/>
              <w:rPr>
                <w:color w:val="000000"/>
                <w:sz w:val="20"/>
                <w:szCs w:val="20"/>
              </w:rPr>
            </w:pPr>
            <w:r w:rsidRPr="00F7263B">
              <w:rPr>
                <w:color w:val="000000"/>
                <w:sz w:val="20"/>
                <w:szCs w:val="20"/>
              </w:rPr>
              <w:t>Program minimum access condition (MAC) will check on the availability and functionality of the minimum systems, including legal documentation;</w:t>
            </w:r>
          </w:p>
          <w:p w:rsidR="0053260E" w:rsidRPr="00F7263B" w:rsidRDefault="0053260E" w:rsidP="0053260E">
            <w:pPr>
              <w:pStyle w:val="ListParagraph"/>
              <w:numPr>
                <w:ilvl w:val="0"/>
                <w:numId w:val="83"/>
              </w:numPr>
              <w:autoSpaceDE w:val="0"/>
              <w:autoSpaceDN w:val="0"/>
              <w:adjustRightInd w:val="0"/>
              <w:spacing w:after="182"/>
              <w:rPr>
                <w:color w:val="000000"/>
                <w:sz w:val="20"/>
                <w:szCs w:val="20"/>
              </w:rPr>
            </w:pPr>
            <w:r w:rsidRPr="00F7263B">
              <w:rPr>
                <w:color w:val="000000"/>
                <w:sz w:val="20"/>
                <w:szCs w:val="20"/>
              </w:rPr>
              <w:t>The PAP will include familiarization training &amp; the mobile support team will support the ULGs to address most of the issues related with awareness/capacity issues;</w:t>
            </w:r>
          </w:p>
          <w:p w:rsidR="00C642FD" w:rsidRPr="00F7263B" w:rsidRDefault="00C642FD" w:rsidP="00C642FD">
            <w:pPr>
              <w:pStyle w:val="ListParagraph"/>
              <w:numPr>
                <w:ilvl w:val="0"/>
                <w:numId w:val="83"/>
              </w:numPr>
              <w:autoSpaceDE w:val="0"/>
              <w:autoSpaceDN w:val="0"/>
              <w:adjustRightInd w:val="0"/>
              <w:spacing w:after="182"/>
              <w:rPr>
                <w:sz w:val="20"/>
                <w:szCs w:val="20"/>
              </w:rPr>
            </w:pPr>
            <w:r w:rsidRPr="00F7263B">
              <w:rPr>
                <w:sz w:val="20"/>
                <w:szCs w:val="20"/>
              </w:rPr>
              <w:t>The Borrower will (</w:t>
            </w:r>
            <w:r w:rsidR="00BC3492" w:rsidRPr="00F7263B">
              <w:rPr>
                <w:sz w:val="20"/>
                <w:szCs w:val="20"/>
              </w:rPr>
              <w:t>a</w:t>
            </w:r>
            <w:r w:rsidRPr="00F7263B">
              <w:rPr>
                <w:sz w:val="20"/>
                <w:szCs w:val="20"/>
              </w:rPr>
              <w:t>) conduct Performance Assessment  for the first two rounds (April-May, 2014, and September-November, 2014) and Independent Procurement audit starting with the third assessment (September –November 2015) and (</w:t>
            </w:r>
            <w:r w:rsidR="00BC3492" w:rsidRPr="00F7263B">
              <w:rPr>
                <w:sz w:val="20"/>
                <w:szCs w:val="20"/>
              </w:rPr>
              <w:t>b</w:t>
            </w:r>
            <w:r w:rsidRPr="00F7263B">
              <w:rPr>
                <w:sz w:val="20"/>
                <w:szCs w:val="20"/>
              </w:rPr>
              <w:t>) thereafter deliver procurement audit reports with management corrective measures addressing the findings of the audit.</w:t>
            </w:r>
          </w:p>
          <w:p w:rsidR="00C642FD" w:rsidRPr="00F7263B" w:rsidRDefault="00C642FD" w:rsidP="00C642FD">
            <w:pPr>
              <w:pStyle w:val="ListParagraph"/>
              <w:numPr>
                <w:ilvl w:val="0"/>
                <w:numId w:val="83"/>
              </w:numPr>
              <w:autoSpaceDE w:val="0"/>
              <w:autoSpaceDN w:val="0"/>
              <w:adjustRightInd w:val="0"/>
              <w:spacing w:after="182"/>
              <w:rPr>
                <w:sz w:val="20"/>
                <w:szCs w:val="20"/>
              </w:rPr>
            </w:pPr>
            <w:r w:rsidRPr="00F7263B">
              <w:rPr>
                <w:sz w:val="20"/>
                <w:szCs w:val="20"/>
              </w:rPr>
              <w:t>The Borrower will (</w:t>
            </w:r>
            <w:r w:rsidR="00BC3492" w:rsidRPr="00F7263B">
              <w:rPr>
                <w:sz w:val="20"/>
                <w:szCs w:val="20"/>
              </w:rPr>
              <w:t>a</w:t>
            </w:r>
            <w:r w:rsidRPr="00F7263B">
              <w:rPr>
                <w:sz w:val="20"/>
                <w:szCs w:val="20"/>
              </w:rPr>
              <w:t>) conduct Performance Assessment  for the first two rounds (April-May, 2014, and September-November, 2014) and Independent Procurement audit starting with the third assessment (September –November 2015) and (</w:t>
            </w:r>
            <w:r w:rsidR="00BC3492" w:rsidRPr="00F7263B">
              <w:rPr>
                <w:sz w:val="20"/>
                <w:szCs w:val="20"/>
              </w:rPr>
              <w:t>b</w:t>
            </w:r>
            <w:r w:rsidRPr="00F7263B">
              <w:rPr>
                <w:sz w:val="20"/>
                <w:szCs w:val="20"/>
              </w:rPr>
              <w:t>) thereafter deliver procurement audit reports with management corrective measures addressing the findings of the audit.</w:t>
            </w:r>
          </w:p>
          <w:p w:rsidR="00713BB0" w:rsidRPr="00F7263B" w:rsidRDefault="00713BB0" w:rsidP="0068255C">
            <w:pPr>
              <w:pStyle w:val="ListParagraph"/>
              <w:numPr>
                <w:ilvl w:val="0"/>
                <w:numId w:val="83"/>
              </w:numPr>
              <w:autoSpaceDE w:val="0"/>
              <w:autoSpaceDN w:val="0"/>
              <w:adjustRightInd w:val="0"/>
              <w:spacing w:after="182"/>
              <w:rPr>
                <w:color w:val="000000"/>
                <w:sz w:val="20"/>
                <w:szCs w:val="20"/>
              </w:rPr>
            </w:pP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MAC/DLI 1</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APA and DLI 1</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1&amp;2</w:t>
            </w:r>
          </w:p>
        </w:tc>
        <w:tc>
          <w:tcPr>
            <w:tcW w:w="1440" w:type="dxa"/>
          </w:tcPr>
          <w:p w:rsidR="0053260E" w:rsidRPr="00F7263B" w:rsidRDefault="00F10485" w:rsidP="00DD5CED">
            <w:pPr>
              <w:autoSpaceDE w:val="0"/>
              <w:autoSpaceDN w:val="0"/>
              <w:adjustRightInd w:val="0"/>
              <w:spacing w:after="182"/>
              <w:rPr>
                <w:color w:val="000000"/>
                <w:sz w:val="20"/>
                <w:szCs w:val="20"/>
              </w:rPr>
            </w:pPr>
            <w:r w:rsidRPr="00F7263B">
              <w:rPr>
                <w:color w:val="000000"/>
                <w:sz w:val="20"/>
                <w:szCs w:val="20"/>
              </w:rPr>
              <w:t>Annually and continuousAnnually and continuous</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Annually and continuous</w:t>
            </w:r>
          </w:p>
        </w:tc>
      </w:tr>
      <w:tr w:rsidR="0053260E" w:rsidRPr="00F7263B">
        <w:tc>
          <w:tcPr>
            <w:tcW w:w="3888" w:type="dxa"/>
          </w:tcPr>
          <w:p w:rsidR="0053260E" w:rsidRPr="00F7263B" w:rsidRDefault="0053260E" w:rsidP="00DD5CED">
            <w:pPr>
              <w:autoSpaceDE w:val="0"/>
              <w:autoSpaceDN w:val="0"/>
              <w:adjustRightInd w:val="0"/>
              <w:spacing w:after="182"/>
              <w:rPr>
                <w:b/>
                <w:i/>
                <w:color w:val="000000"/>
                <w:sz w:val="20"/>
                <w:szCs w:val="20"/>
              </w:rPr>
            </w:pPr>
            <w:r w:rsidRPr="00F7263B">
              <w:rPr>
                <w:b/>
                <w:i/>
                <w:color w:val="000000"/>
                <w:sz w:val="20"/>
                <w:szCs w:val="20"/>
              </w:rPr>
              <w:t>Procurement capacity</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 xml:space="preserve">There are capacity limitations in terms of skilled staff to handle procurement and contract administration. As this is a PfoR operation, project units which facilitated procurement processes </w:t>
            </w:r>
            <w:r w:rsidRPr="00F7263B">
              <w:rPr>
                <w:color w:val="000000" w:themeColor="text1"/>
                <w:sz w:val="20"/>
                <w:szCs w:val="20"/>
              </w:rPr>
              <w:t>under ULGDP I</w:t>
            </w:r>
            <w:r w:rsidRPr="00F7263B">
              <w:rPr>
                <w:color w:val="000000"/>
                <w:sz w:val="20"/>
                <w:szCs w:val="20"/>
              </w:rPr>
              <w:t xml:space="preserve"> may not be available thus further deteriorating the capacity of cities to implement the program. The cities are also experiencing high staff turnover. In most cities, most procurement staffs have been in position for less than 2 years.</w:t>
            </w:r>
          </w:p>
        </w:tc>
        <w:tc>
          <w:tcPr>
            <w:tcW w:w="3240" w:type="dxa"/>
          </w:tcPr>
          <w:p w:rsidR="0053260E" w:rsidRPr="00F7263B" w:rsidRDefault="0053260E" w:rsidP="0053260E">
            <w:pPr>
              <w:pStyle w:val="ListParagraph"/>
              <w:numPr>
                <w:ilvl w:val="0"/>
                <w:numId w:val="84"/>
              </w:numPr>
              <w:autoSpaceDE w:val="0"/>
              <w:autoSpaceDN w:val="0"/>
              <w:adjustRightInd w:val="0"/>
              <w:spacing w:after="182"/>
              <w:rPr>
                <w:color w:val="000000"/>
                <w:sz w:val="20"/>
                <w:szCs w:val="20"/>
              </w:rPr>
            </w:pPr>
            <w:r w:rsidRPr="00F7263B">
              <w:rPr>
                <w:color w:val="000000"/>
                <w:sz w:val="20"/>
                <w:szCs w:val="20"/>
              </w:rPr>
              <w:t>Minimum access conditions will check the availability of the minimum procurement staffing (two) in each city;</w:t>
            </w:r>
          </w:p>
          <w:p w:rsidR="0053260E" w:rsidRPr="00F7263B" w:rsidRDefault="0053260E" w:rsidP="0053260E">
            <w:pPr>
              <w:pStyle w:val="ListParagraph"/>
              <w:numPr>
                <w:ilvl w:val="0"/>
                <w:numId w:val="84"/>
              </w:numPr>
              <w:autoSpaceDE w:val="0"/>
              <w:autoSpaceDN w:val="0"/>
              <w:adjustRightInd w:val="0"/>
              <w:spacing w:after="182"/>
              <w:rPr>
                <w:color w:val="000000"/>
                <w:sz w:val="20"/>
                <w:szCs w:val="20"/>
              </w:rPr>
            </w:pPr>
            <w:r w:rsidRPr="00F7263B">
              <w:rPr>
                <w:color w:val="000000"/>
                <w:sz w:val="20"/>
                <w:szCs w:val="20"/>
              </w:rPr>
              <w:t>The MUDHCo will maintain its project team and the mobile support team similar to ULGDP I;</w:t>
            </w:r>
          </w:p>
          <w:p w:rsidR="0053260E" w:rsidRPr="00F7263B" w:rsidRDefault="0053260E" w:rsidP="0053260E">
            <w:pPr>
              <w:pStyle w:val="ListParagraph"/>
              <w:numPr>
                <w:ilvl w:val="0"/>
                <w:numId w:val="84"/>
              </w:numPr>
              <w:autoSpaceDE w:val="0"/>
              <w:autoSpaceDN w:val="0"/>
              <w:adjustRightInd w:val="0"/>
              <w:spacing w:after="182"/>
              <w:rPr>
                <w:color w:val="000000"/>
                <w:sz w:val="20"/>
                <w:szCs w:val="20"/>
              </w:rPr>
            </w:pPr>
            <w:r w:rsidRPr="00F7263B">
              <w:rPr>
                <w:color w:val="000000"/>
                <w:sz w:val="20"/>
                <w:szCs w:val="20"/>
              </w:rPr>
              <w:t>The program will provide intensive procurement contracts management training to the staffs of the ULGs as in  PAP</w:t>
            </w: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MAC/DLI 2 &amp;9</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4</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8</w:t>
            </w:r>
          </w:p>
        </w:tc>
        <w:tc>
          <w:tcPr>
            <w:tcW w:w="1440" w:type="dxa"/>
          </w:tcPr>
          <w:p w:rsidR="0053260E" w:rsidRPr="00F7263B" w:rsidRDefault="00F10485" w:rsidP="00DD5CED">
            <w:pPr>
              <w:autoSpaceDE w:val="0"/>
              <w:autoSpaceDN w:val="0"/>
              <w:adjustRightInd w:val="0"/>
              <w:spacing w:after="182"/>
              <w:rPr>
                <w:color w:val="000000"/>
                <w:sz w:val="20"/>
                <w:szCs w:val="20"/>
              </w:rPr>
            </w:pPr>
            <w:r w:rsidRPr="00F7263B">
              <w:rPr>
                <w:color w:val="000000"/>
                <w:sz w:val="20"/>
                <w:szCs w:val="20"/>
              </w:rPr>
              <w:t>Annually and continuous</w:t>
            </w:r>
          </w:p>
          <w:p w:rsidR="0053260E" w:rsidRPr="00F7263B" w:rsidRDefault="00F10485" w:rsidP="00DD5CED">
            <w:pPr>
              <w:autoSpaceDE w:val="0"/>
              <w:autoSpaceDN w:val="0"/>
              <w:adjustRightInd w:val="0"/>
              <w:spacing w:after="182"/>
              <w:rPr>
                <w:color w:val="000000"/>
                <w:sz w:val="20"/>
                <w:szCs w:val="20"/>
              </w:rPr>
            </w:pPr>
            <w:r w:rsidRPr="00F7263B">
              <w:rPr>
                <w:color w:val="000000"/>
                <w:sz w:val="20"/>
                <w:szCs w:val="20"/>
              </w:rPr>
              <w:t>Annually and continuous</w:t>
            </w:r>
          </w:p>
        </w:tc>
      </w:tr>
      <w:tr w:rsidR="0053260E" w:rsidRPr="00F7263B">
        <w:tc>
          <w:tcPr>
            <w:tcW w:w="3888"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Transparency and Fairness</w:t>
            </w:r>
          </w:p>
          <w:p w:rsidR="0053260E" w:rsidRPr="00F7263B" w:rsidRDefault="0053260E" w:rsidP="00DB4BED">
            <w:pPr>
              <w:autoSpaceDE w:val="0"/>
              <w:autoSpaceDN w:val="0"/>
              <w:adjustRightInd w:val="0"/>
              <w:spacing w:after="182"/>
              <w:rPr>
                <w:color w:val="000000"/>
                <w:sz w:val="20"/>
                <w:szCs w:val="20"/>
              </w:rPr>
            </w:pPr>
            <w:r w:rsidRPr="00F7263B">
              <w:rPr>
                <w:color w:val="000000"/>
                <w:sz w:val="20"/>
                <w:szCs w:val="20"/>
              </w:rPr>
              <w:t xml:space="preserve">Most cities use incomplete bidding documents without preset qualification and evaluation criteria and complete conditions of </w:t>
            </w:r>
            <w:r w:rsidRPr="00F7263B">
              <w:rPr>
                <w:color w:val="000000"/>
                <w:sz w:val="20"/>
                <w:szCs w:val="20"/>
              </w:rPr>
              <w:lastRenderedPageBreak/>
              <w:t xml:space="preserve">contract for the tender which would impact on transparency and fairness in bid evaluation and contract administration. </w:t>
            </w:r>
            <w:r w:rsidR="00DB4BED" w:rsidRPr="00F7263B">
              <w:rPr>
                <w:color w:val="000000"/>
                <w:sz w:val="20"/>
                <w:szCs w:val="20"/>
              </w:rPr>
              <w:t xml:space="preserve"> Alt</w:t>
            </w:r>
            <w:r w:rsidRPr="00F7263B">
              <w:rPr>
                <w:color w:val="000000"/>
                <w:sz w:val="20"/>
                <w:szCs w:val="20"/>
              </w:rPr>
              <w:t>hough it is the requirement of the procurement regulations of all regions, the contracts administration and Complaints handling set up and mechanism, in most cities, is inadequate.</w:t>
            </w:r>
          </w:p>
        </w:tc>
        <w:tc>
          <w:tcPr>
            <w:tcW w:w="3240" w:type="dxa"/>
          </w:tcPr>
          <w:p w:rsidR="0053260E" w:rsidRPr="00F7263B" w:rsidRDefault="0053260E" w:rsidP="0053260E">
            <w:pPr>
              <w:pStyle w:val="ListParagraph"/>
              <w:numPr>
                <w:ilvl w:val="0"/>
                <w:numId w:val="85"/>
              </w:numPr>
              <w:autoSpaceDE w:val="0"/>
              <w:autoSpaceDN w:val="0"/>
              <w:adjustRightInd w:val="0"/>
              <w:spacing w:after="182"/>
              <w:rPr>
                <w:color w:val="000000"/>
                <w:sz w:val="20"/>
                <w:szCs w:val="20"/>
              </w:rPr>
            </w:pPr>
            <w:r w:rsidRPr="00F7263B">
              <w:rPr>
                <w:color w:val="000000"/>
                <w:sz w:val="20"/>
                <w:szCs w:val="20"/>
              </w:rPr>
              <w:lastRenderedPageBreak/>
              <w:t>The cities have agreed to institute all procedures and avail legal document before effectiveness MAC will check on this;</w:t>
            </w:r>
          </w:p>
          <w:p w:rsidR="0053260E" w:rsidRPr="00F7263B" w:rsidRDefault="0053260E" w:rsidP="0053260E">
            <w:pPr>
              <w:pStyle w:val="ListParagraph"/>
              <w:numPr>
                <w:ilvl w:val="0"/>
                <w:numId w:val="85"/>
              </w:numPr>
              <w:autoSpaceDE w:val="0"/>
              <w:autoSpaceDN w:val="0"/>
              <w:adjustRightInd w:val="0"/>
              <w:spacing w:after="182"/>
              <w:rPr>
                <w:color w:val="000000"/>
                <w:sz w:val="20"/>
                <w:szCs w:val="20"/>
              </w:rPr>
            </w:pPr>
            <w:r w:rsidRPr="00F7263B">
              <w:rPr>
                <w:color w:val="000000"/>
                <w:sz w:val="20"/>
                <w:szCs w:val="20"/>
              </w:rPr>
              <w:lastRenderedPageBreak/>
              <w:t>Familiarization training will be conducted on the use of the program systems;</w:t>
            </w:r>
          </w:p>
          <w:p w:rsidR="00C642FD" w:rsidRPr="00F7263B" w:rsidRDefault="00C642FD" w:rsidP="00C642FD">
            <w:pPr>
              <w:pStyle w:val="ListParagraph"/>
              <w:numPr>
                <w:ilvl w:val="0"/>
                <w:numId w:val="83"/>
              </w:numPr>
              <w:autoSpaceDE w:val="0"/>
              <w:autoSpaceDN w:val="0"/>
              <w:adjustRightInd w:val="0"/>
              <w:spacing w:after="182"/>
              <w:rPr>
                <w:sz w:val="20"/>
                <w:szCs w:val="20"/>
              </w:rPr>
            </w:pPr>
            <w:r w:rsidRPr="00F7263B">
              <w:rPr>
                <w:sz w:val="20"/>
                <w:szCs w:val="20"/>
              </w:rPr>
              <w:t>The Borrower will (</w:t>
            </w:r>
            <w:r w:rsidR="00BC3492" w:rsidRPr="00F7263B">
              <w:rPr>
                <w:sz w:val="20"/>
                <w:szCs w:val="20"/>
              </w:rPr>
              <w:t>a</w:t>
            </w:r>
            <w:r w:rsidRPr="00F7263B">
              <w:rPr>
                <w:sz w:val="20"/>
                <w:szCs w:val="20"/>
              </w:rPr>
              <w:t>) conduct Performance Assessment  for the first two rounds (April-May, 2014, and September-November, 2014) and Independent Procurement audit starting with the third assessment (September –November 2015) and (</w:t>
            </w:r>
            <w:r w:rsidR="00BC3492" w:rsidRPr="00F7263B">
              <w:rPr>
                <w:sz w:val="20"/>
                <w:szCs w:val="20"/>
              </w:rPr>
              <w:t>b</w:t>
            </w:r>
            <w:r w:rsidRPr="00F7263B">
              <w:rPr>
                <w:sz w:val="20"/>
                <w:szCs w:val="20"/>
              </w:rPr>
              <w:t>) thereafter deliver procurement audit reports with management corrective measures addressing the findings of the audit.</w:t>
            </w:r>
          </w:p>
          <w:p w:rsidR="00C642FD" w:rsidRPr="00F7263B" w:rsidRDefault="00C642FD" w:rsidP="00C642FD">
            <w:pPr>
              <w:pStyle w:val="ListParagraph"/>
              <w:numPr>
                <w:ilvl w:val="0"/>
                <w:numId w:val="83"/>
              </w:numPr>
              <w:autoSpaceDE w:val="0"/>
              <w:autoSpaceDN w:val="0"/>
              <w:adjustRightInd w:val="0"/>
              <w:spacing w:after="182"/>
              <w:rPr>
                <w:sz w:val="20"/>
                <w:szCs w:val="20"/>
              </w:rPr>
            </w:pPr>
            <w:r w:rsidRPr="00F7263B">
              <w:rPr>
                <w:sz w:val="20"/>
                <w:szCs w:val="20"/>
              </w:rPr>
              <w:t>The Borrower will (</w:t>
            </w:r>
            <w:r w:rsidR="00BC3492" w:rsidRPr="00F7263B">
              <w:rPr>
                <w:sz w:val="20"/>
                <w:szCs w:val="20"/>
              </w:rPr>
              <w:t>a</w:t>
            </w:r>
            <w:r w:rsidRPr="00F7263B">
              <w:rPr>
                <w:sz w:val="20"/>
                <w:szCs w:val="20"/>
              </w:rPr>
              <w:t>) conduct Performance Assessment  for the first two rounds (April-May, 2014, and September-November, 2014) and Independent Procurement audit starting with the third assessment (September –November 2015) and (</w:t>
            </w:r>
            <w:r w:rsidR="00BC3492" w:rsidRPr="00F7263B">
              <w:rPr>
                <w:sz w:val="20"/>
                <w:szCs w:val="20"/>
              </w:rPr>
              <w:t>b</w:t>
            </w:r>
            <w:r w:rsidRPr="00F7263B">
              <w:rPr>
                <w:sz w:val="20"/>
                <w:szCs w:val="20"/>
              </w:rPr>
              <w:t>) thereafter deliver procurement audit reports with management corrective measures addressing the findings of the audit.</w:t>
            </w:r>
          </w:p>
          <w:p w:rsidR="0053260E" w:rsidRPr="00F7263B" w:rsidRDefault="0053260E" w:rsidP="00537C75">
            <w:pPr>
              <w:pStyle w:val="ListParagraph"/>
              <w:autoSpaceDE w:val="0"/>
              <w:autoSpaceDN w:val="0"/>
              <w:adjustRightInd w:val="0"/>
              <w:spacing w:after="182"/>
              <w:ind w:left="360"/>
              <w:rPr>
                <w:color w:val="000000"/>
                <w:sz w:val="20"/>
                <w:szCs w:val="20"/>
              </w:rPr>
            </w:pPr>
          </w:p>
          <w:p w:rsidR="0053260E" w:rsidRPr="00F7263B" w:rsidRDefault="0053260E" w:rsidP="0053260E">
            <w:pPr>
              <w:pStyle w:val="ListParagraph"/>
              <w:numPr>
                <w:ilvl w:val="0"/>
                <w:numId w:val="85"/>
              </w:numPr>
              <w:autoSpaceDE w:val="0"/>
              <w:autoSpaceDN w:val="0"/>
              <w:adjustRightInd w:val="0"/>
              <w:spacing w:after="182"/>
              <w:rPr>
                <w:color w:val="000000"/>
                <w:sz w:val="20"/>
                <w:szCs w:val="20"/>
              </w:rPr>
            </w:pPr>
            <w:r w:rsidRPr="00F7263B">
              <w:rPr>
                <w:color w:val="000000"/>
                <w:sz w:val="20"/>
                <w:szCs w:val="20"/>
              </w:rPr>
              <w:t xml:space="preserve">Continues capacity building will be provided following the </w:t>
            </w:r>
            <w:r w:rsidR="00656ABB" w:rsidRPr="00F7263B">
              <w:rPr>
                <w:color w:val="000000"/>
                <w:sz w:val="20"/>
                <w:szCs w:val="20"/>
              </w:rPr>
              <w:t>Program action plan</w:t>
            </w:r>
            <w:r w:rsidRPr="00F7263B">
              <w:rPr>
                <w:color w:val="000000"/>
                <w:sz w:val="20"/>
                <w:szCs w:val="20"/>
              </w:rPr>
              <w:t xml:space="preserve"> (PAP);</w:t>
            </w:r>
          </w:p>
          <w:p w:rsidR="0053260E" w:rsidRPr="00F7263B" w:rsidRDefault="0053260E" w:rsidP="0053260E">
            <w:pPr>
              <w:pStyle w:val="ListParagraph"/>
              <w:numPr>
                <w:ilvl w:val="0"/>
                <w:numId w:val="85"/>
              </w:numPr>
              <w:autoSpaceDE w:val="0"/>
              <w:autoSpaceDN w:val="0"/>
              <w:adjustRightInd w:val="0"/>
              <w:spacing w:after="182"/>
              <w:rPr>
                <w:color w:val="000000"/>
                <w:sz w:val="20"/>
                <w:szCs w:val="20"/>
              </w:rPr>
            </w:pPr>
            <w:r w:rsidRPr="00F7263B">
              <w:rPr>
                <w:color w:val="000000"/>
                <w:sz w:val="20"/>
                <w:szCs w:val="20"/>
              </w:rPr>
              <w:t>All regions will institute/establish complaint management Board , following the requirement of their RPP laws;</w:t>
            </w: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lastRenderedPageBreak/>
              <w:t>MAC/</w:t>
            </w:r>
            <w:r w:rsidRPr="00F7263B">
              <w:rPr>
                <w:color w:val="000000"/>
                <w:sz w:val="20"/>
                <w:szCs w:val="20"/>
              </w:rPr>
              <w:br/>
              <w:t>DLI 1</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9</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4</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2</w:t>
            </w:r>
          </w:p>
        </w:tc>
        <w:tc>
          <w:tcPr>
            <w:tcW w:w="1440" w:type="dxa"/>
          </w:tcPr>
          <w:p w:rsidR="0053260E" w:rsidRPr="00F7263B" w:rsidRDefault="00F10485" w:rsidP="00DD5CED">
            <w:pPr>
              <w:autoSpaceDE w:val="0"/>
              <w:autoSpaceDN w:val="0"/>
              <w:adjustRightInd w:val="0"/>
              <w:spacing w:after="182"/>
              <w:rPr>
                <w:color w:val="000000"/>
                <w:sz w:val="20"/>
                <w:szCs w:val="20"/>
              </w:rPr>
            </w:pPr>
            <w:r w:rsidRPr="00F7263B">
              <w:rPr>
                <w:color w:val="000000"/>
                <w:sz w:val="20"/>
                <w:szCs w:val="20"/>
              </w:rPr>
              <w:lastRenderedPageBreak/>
              <w:t>Annually and continuousAnnually and continuous</w:t>
            </w:r>
            <w:r w:rsidR="0053260E" w:rsidRPr="00F7263B">
              <w:rPr>
                <w:color w:val="000000"/>
                <w:sz w:val="20"/>
                <w:szCs w:val="20"/>
              </w:rPr>
              <w:t xml:space="preserve">Annually and </w:t>
            </w:r>
            <w:r w:rsidR="0053260E" w:rsidRPr="00F7263B">
              <w:rPr>
                <w:color w:val="000000"/>
                <w:sz w:val="20"/>
                <w:szCs w:val="20"/>
              </w:rPr>
              <w:lastRenderedPageBreak/>
              <w:t>continuous</w:t>
            </w:r>
          </w:p>
          <w:p w:rsidR="0053260E" w:rsidRPr="00F7263B" w:rsidRDefault="0053260E"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p>
          <w:p w:rsidR="00F10485" w:rsidRPr="00F7263B" w:rsidRDefault="00F10485" w:rsidP="00DD5CED">
            <w:pPr>
              <w:autoSpaceDE w:val="0"/>
              <w:autoSpaceDN w:val="0"/>
              <w:adjustRightInd w:val="0"/>
              <w:spacing w:after="182"/>
              <w:rPr>
                <w:color w:val="000000"/>
                <w:sz w:val="20"/>
                <w:szCs w:val="20"/>
              </w:rPr>
            </w:pPr>
            <w:r w:rsidRPr="00F7263B">
              <w:rPr>
                <w:color w:val="000000"/>
                <w:sz w:val="20"/>
                <w:szCs w:val="20"/>
              </w:rPr>
              <w:t>Annually and continuous</w:t>
            </w:r>
          </w:p>
          <w:p w:rsidR="00F10485" w:rsidRPr="00F7263B" w:rsidRDefault="00F10485" w:rsidP="00DD5CED">
            <w:pPr>
              <w:autoSpaceDE w:val="0"/>
              <w:autoSpaceDN w:val="0"/>
              <w:adjustRightInd w:val="0"/>
              <w:spacing w:after="182"/>
              <w:rPr>
                <w:color w:val="000000"/>
                <w:sz w:val="20"/>
                <w:szCs w:val="20"/>
              </w:rPr>
            </w:pPr>
          </w:p>
        </w:tc>
      </w:tr>
      <w:tr w:rsidR="0053260E" w:rsidRPr="00F7263B">
        <w:tc>
          <w:tcPr>
            <w:tcW w:w="3888"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lastRenderedPageBreak/>
              <w:t>Competitiveness</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There are some government owned enterprises in sectors of supply of goods, works and services and there have been observed preference to use them or allow them to compete alongside private sector. High margin of preference of up to 18% are applied in bids evaluation and in many regional states, there are mandatory provisions to support medium and small enterprises through reservations or preferences. Though this approach has a lot of strategic benefits, it has to be balanced with the principle of fairness to the private sector competitors’ as well.</w:t>
            </w:r>
          </w:p>
        </w:tc>
        <w:tc>
          <w:tcPr>
            <w:tcW w:w="3240" w:type="dxa"/>
          </w:tcPr>
          <w:p w:rsidR="0053260E" w:rsidRPr="00F7263B" w:rsidRDefault="0053260E" w:rsidP="00DD5CED">
            <w:pPr>
              <w:contextualSpacing/>
              <w:rPr>
                <w:color w:val="000000"/>
                <w:sz w:val="20"/>
                <w:szCs w:val="20"/>
              </w:rPr>
            </w:pPr>
            <w:r w:rsidRPr="00F7263B">
              <w:rPr>
                <w:color w:val="000000"/>
                <w:sz w:val="20"/>
                <w:szCs w:val="20"/>
              </w:rPr>
              <w:t>MUDHCo will:</w:t>
            </w:r>
          </w:p>
          <w:p w:rsidR="0053260E" w:rsidRPr="00F7263B" w:rsidRDefault="0053260E" w:rsidP="0053260E">
            <w:pPr>
              <w:pStyle w:val="ListParagraph"/>
              <w:numPr>
                <w:ilvl w:val="0"/>
                <w:numId w:val="85"/>
              </w:numPr>
              <w:autoSpaceDE w:val="0"/>
              <w:autoSpaceDN w:val="0"/>
              <w:adjustRightInd w:val="0"/>
              <w:spacing w:after="182"/>
              <w:rPr>
                <w:color w:val="000000"/>
                <w:sz w:val="20"/>
                <w:szCs w:val="20"/>
              </w:rPr>
            </w:pPr>
            <w:r w:rsidRPr="00F7263B">
              <w:rPr>
                <w:color w:val="000000"/>
                <w:sz w:val="20"/>
                <w:szCs w:val="20"/>
              </w:rPr>
              <w:t xml:space="preserve">Require ULGs to justify to the BoFEDs the use of government owned enterprises where private sector suppliers exist in advance of contracting; </w:t>
            </w:r>
          </w:p>
          <w:p w:rsidR="0053260E" w:rsidRPr="00F7263B" w:rsidRDefault="0053260E" w:rsidP="0053260E">
            <w:pPr>
              <w:pStyle w:val="ListParagraph"/>
              <w:numPr>
                <w:ilvl w:val="0"/>
                <w:numId w:val="85"/>
              </w:numPr>
              <w:autoSpaceDE w:val="0"/>
              <w:autoSpaceDN w:val="0"/>
              <w:adjustRightInd w:val="0"/>
              <w:spacing w:after="182"/>
              <w:rPr>
                <w:color w:val="000000"/>
                <w:sz w:val="20"/>
                <w:szCs w:val="20"/>
              </w:rPr>
            </w:pPr>
            <w:r w:rsidRPr="00F7263B">
              <w:rPr>
                <w:color w:val="000000"/>
                <w:sz w:val="20"/>
                <w:szCs w:val="20"/>
              </w:rPr>
              <w:t>Require ULGs to exclude award to Bank debarred firms through providing regular information;</w:t>
            </w:r>
          </w:p>
          <w:p w:rsidR="0053260E" w:rsidRPr="00F7263B" w:rsidRDefault="0053260E" w:rsidP="003F32C6">
            <w:pPr>
              <w:pStyle w:val="ListParagraph"/>
              <w:autoSpaceDE w:val="0"/>
              <w:autoSpaceDN w:val="0"/>
              <w:adjustRightInd w:val="0"/>
              <w:spacing w:after="182"/>
              <w:ind w:left="360"/>
              <w:rPr>
                <w:color w:val="000000"/>
                <w:sz w:val="20"/>
                <w:szCs w:val="20"/>
              </w:rPr>
            </w:pPr>
            <w:r w:rsidRPr="00F7263B">
              <w:rPr>
                <w:color w:val="000000"/>
                <w:sz w:val="20"/>
                <w:szCs w:val="20"/>
              </w:rPr>
              <w:t>Provide guidance to ULGs on policies on support to MSEs and the level of preferences that would be acceptable across board to ensure uniformity and minimize abuse (this guidance will be part of participatory and performance agreement, PPA and Program Operati</w:t>
            </w:r>
            <w:r w:rsidR="00092CE3" w:rsidRPr="00F7263B">
              <w:rPr>
                <w:color w:val="000000"/>
                <w:sz w:val="20"/>
                <w:szCs w:val="20"/>
              </w:rPr>
              <w:t xml:space="preserve">ons </w:t>
            </w:r>
            <w:r w:rsidRPr="00F7263B">
              <w:rPr>
                <w:color w:val="000000"/>
                <w:sz w:val="20"/>
                <w:szCs w:val="20"/>
              </w:rPr>
              <w:lastRenderedPageBreak/>
              <w:t>Manual.)</w:t>
            </w:r>
          </w:p>
        </w:tc>
        <w:tc>
          <w:tcPr>
            <w:tcW w:w="1170" w:type="dxa"/>
          </w:tcPr>
          <w:p w:rsidR="0053260E" w:rsidRPr="00F7263B" w:rsidRDefault="00A9381F" w:rsidP="00DD5CED">
            <w:pPr>
              <w:autoSpaceDE w:val="0"/>
              <w:autoSpaceDN w:val="0"/>
              <w:adjustRightInd w:val="0"/>
              <w:spacing w:after="182"/>
              <w:rPr>
                <w:color w:val="000000"/>
                <w:sz w:val="20"/>
                <w:szCs w:val="20"/>
              </w:rPr>
            </w:pPr>
            <w:r w:rsidRPr="00F7263B">
              <w:rPr>
                <w:color w:val="000000"/>
                <w:sz w:val="20"/>
                <w:szCs w:val="20"/>
              </w:rPr>
              <w:lastRenderedPageBreak/>
              <w:t>Program Operational Manual</w:t>
            </w:r>
          </w:p>
        </w:tc>
        <w:tc>
          <w:tcPr>
            <w:tcW w:w="1440" w:type="dxa"/>
          </w:tcPr>
          <w:p w:rsidR="0053260E" w:rsidRPr="00F7263B" w:rsidRDefault="00A9381F" w:rsidP="00DD5CED">
            <w:pPr>
              <w:autoSpaceDE w:val="0"/>
              <w:autoSpaceDN w:val="0"/>
              <w:adjustRightInd w:val="0"/>
              <w:spacing w:after="182"/>
              <w:rPr>
                <w:color w:val="000000"/>
                <w:sz w:val="20"/>
                <w:szCs w:val="20"/>
              </w:rPr>
            </w:pPr>
            <w:r w:rsidRPr="00F7263B">
              <w:rPr>
                <w:color w:val="000000"/>
                <w:sz w:val="20"/>
                <w:szCs w:val="20"/>
              </w:rPr>
              <w:t>By Negotiatios</w:t>
            </w:r>
          </w:p>
        </w:tc>
      </w:tr>
      <w:tr w:rsidR="0053260E" w:rsidRPr="00F7263B">
        <w:tc>
          <w:tcPr>
            <w:tcW w:w="3888" w:type="dxa"/>
          </w:tcPr>
          <w:p w:rsidR="0053260E" w:rsidRPr="00F7263B" w:rsidRDefault="0053260E" w:rsidP="00DD5CED">
            <w:pPr>
              <w:autoSpaceDE w:val="0"/>
              <w:autoSpaceDN w:val="0"/>
              <w:adjustRightInd w:val="0"/>
              <w:spacing w:after="182"/>
              <w:rPr>
                <w:b/>
                <w:i/>
                <w:color w:val="000000" w:themeColor="text1"/>
                <w:sz w:val="20"/>
                <w:szCs w:val="20"/>
              </w:rPr>
            </w:pPr>
            <w:r w:rsidRPr="00F7263B">
              <w:rPr>
                <w:b/>
                <w:i/>
                <w:color w:val="000000"/>
                <w:sz w:val="20"/>
                <w:szCs w:val="20"/>
              </w:rPr>
              <w:lastRenderedPageBreak/>
              <w:t>Accountability , integrity and oversight</w:t>
            </w:r>
          </w:p>
          <w:p w:rsidR="0053260E" w:rsidRPr="00F7263B" w:rsidRDefault="0053260E" w:rsidP="00DD5CED">
            <w:pPr>
              <w:autoSpaceDE w:val="0"/>
              <w:autoSpaceDN w:val="0"/>
              <w:adjustRightInd w:val="0"/>
              <w:spacing w:after="182"/>
              <w:rPr>
                <w:color w:val="000000"/>
                <w:sz w:val="20"/>
                <w:szCs w:val="20"/>
              </w:rPr>
            </w:pPr>
            <w:r w:rsidRPr="00F7263B">
              <w:rPr>
                <w:color w:val="000000" w:themeColor="text1"/>
                <w:sz w:val="20"/>
                <w:szCs w:val="20"/>
              </w:rPr>
              <w:t xml:space="preserve">Contract management, including contracts delivery quality and cost controls, and resolution of contractual disputes are not adequate. </w:t>
            </w:r>
            <w:r w:rsidRPr="00F7263B">
              <w:rPr>
                <w:color w:val="000000"/>
                <w:sz w:val="20"/>
                <w:szCs w:val="20"/>
              </w:rPr>
              <w:t>Record keeping is poor. Many states do not have independent and effective institutional setup for handling of complaints. The regional PPAs do not have the capacity to carry out independent reviews and or procurement audits. Many Bank debarred firms are operating locally and participate in bidding processes locally.</w:t>
            </w:r>
          </w:p>
        </w:tc>
        <w:tc>
          <w:tcPr>
            <w:tcW w:w="3240" w:type="dxa"/>
          </w:tcPr>
          <w:p w:rsidR="0053260E" w:rsidRPr="00F7263B" w:rsidRDefault="0053260E" w:rsidP="0053260E">
            <w:pPr>
              <w:pStyle w:val="ListParagraph"/>
              <w:numPr>
                <w:ilvl w:val="0"/>
                <w:numId w:val="86"/>
              </w:numPr>
              <w:autoSpaceDE w:val="0"/>
              <w:autoSpaceDN w:val="0"/>
              <w:adjustRightInd w:val="0"/>
              <w:spacing w:after="182"/>
              <w:rPr>
                <w:color w:val="000000"/>
                <w:sz w:val="20"/>
                <w:szCs w:val="20"/>
              </w:rPr>
            </w:pPr>
            <w:r w:rsidRPr="00F7263B">
              <w:rPr>
                <w:color w:val="000000"/>
                <w:sz w:val="20"/>
                <w:szCs w:val="20"/>
              </w:rPr>
              <w:t>Minimum access conditions will check on the institutions and staff availability (tender committees and complaint handling mechanisms);</w:t>
            </w:r>
          </w:p>
          <w:p w:rsidR="0053260E" w:rsidRPr="00F7263B" w:rsidRDefault="0053260E" w:rsidP="0053260E">
            <w:pPr>
              <w:pStyle w:val="ListParagraph"/>
              <w:numPr>
                <w:ilvl w:val="0"/>
                <w:numId w:val="86"/>
              </w:numPr>
              <w:autoSpaceDE w:val="0"/>
              <w:autoSpaceDN w:val="0"/>
              <w:adjustRightInd w:val="0"/>
              <w:spacing w:after="182"/>
              <w:rPr>
                <w:color w:val="000000"/>
                <w:sz w:val="20"/>
                <w:szCs w:val="20"/>
              </w:rPr>
            </w:pPr>
            <w:r w:rsidRPr="00F7263B">
              <w:rPr>
                <w:color w:val="000000"/>
                <w:sz w:val="20"/>
                <w:szCs w:val="20"/>
              </w:rPr>
              <w:t>PAP will enhance the program management capacity issue;</w:t>
            </w:r>
          </w:p>
          <w:p w:rsidR="0053260E" w:rsidRPr="00F7263B" w:rsidRDefault="0053260E" w:rsidP="0053260E">
            <w:pPr>
              <w:pStyle w:val="ListParagraph"/>
              <w:numPr>
                <w:ilvl w:val="0"/>
                <w:numId w:val="86"/>
              </w:numPr>
              <w:autoSpaceDE w:val="0"/>
              <w:autoSpaceDN w:val="0"/>
              <w:adjustRightInd w:val="0"/>
              <w:spacing w:after="182"/>
              <w:rPr>
                <w:color w:val="000000"/>
                <w:sz w:val="20"/>
                <w:szCs w:val="20"/>
              </w:rPr>
            </w:pPr>
            <w:r w:rsidRPr="00F7263B">
              <w:rPr>
                <w:color w:val="000000"/>
                <w:sz w:val="20"/>
                <w:szCs w:val="20"/>
              </w:rPr>
              <w:t>The mobile support team and the intensive program management training to the ULGs staff will address the capacity issue;</w:t>
            </w:r>
          </w:p>
          <w:p w:rsidR="0053260E" w:rsidRPr="00F7263B" w:rsidRDefault="0053260E" w:rsidP="0053260E">
            <w:pPr>
              <w:pStyle w:val="ListParagraph"/>
              <w:numPr>
                <w:ilvl w:val="0"/>
                <w:numId w:val="86"/>
              </w:numPr>
              <w:autoSpaceDE w:val="0"/>
              <w:autoSpaceDN w:val="0"/>
              <w:adjustRightInd w:val="0"/>
              <w:spacing w:after="182"/>
              <w:rPr>
                <w:color w:val="000000"/>
                <w:sz w:val="20"/>
                <w:szCs w:val="20"/>
              </w:rPr>
            </w:pPr>
            <w:r w:rsidRPr="00F7263B">
              <w:rPr>
                <w:color w:val="000000"/>
                <w:sz w:val="20"/>
                <w:szCs w:val="20"/>
              </w:rPr>
              <w:t>The program will provide Regional Public Procurement Agencies with Procurement audit training;</w:t>
            </w:r>
          </w:p>
          <w:p w:rsidR="0053260E" w:rsidRPr="00F7263B" w:rsidRDefault="0053260E" w:rsidP="0053260E">
            <w:pPr>
              <w:pStyle w:val="ListParagraph"/>
              <w:numPr>
                <w:ilvl w:val="0"/>
                <w:numId w:val="86"/>
              </w:numPr>
              <w:autoSpaceDE w:val="0"/>
              <w:autoSpaceDN w:val="0"/>
              <w:adjustRightInd w:val="0"/>
              <w:spacing w:after="182"/>
              <w:rPr>
                <w:color w:val="000000"/>
                <w:sz w:val="20"/>
                <w:szCs w:val="20"/>
              </w:rPr>
            </w:pPr>
            <w:r w:rsidRPr="00F7263B">
              <w:rPr>
                <w:color w:val="000000"/>
                <w:sz w:val="20"/>
                <w:szCs w:val="20"/>
              </w:rPr>
              <w:t xml:space="preserve">Annual Performance Audit &amp; Independent procurement audits together with management corrective measures to the findings of the audit will address the residual risks; </w:t>
            </w:r>
          </w:p>
          <w:p w:rsidR="0053260E" w:rsidRPr="00F7263B" w:rsidRDefault="0053260E" w:rsidP="0053260E">
            <w:pPr>
              <w:pStyle w:val="ListParagraph"/>
              <w:numPr>
                <w:ilvl w:val="0"/>
                <w:numId w:val="86"/>
              </w:numPr>
              <w:autoSpaceDE w:val="0"/>
              <w:autoSpaceDN w:val="0"/>
              <w:adjustRightInd w:val="0"/>
              <w:spacing w:after="182"/>
              <w:rPr>
                <w:color w:val="000000"/>
                <w:sz w:val="20"/>
                <w:szCs w:val="20"/>
              </w:rPr>
            </w:pPr>
            <w:r w:rsidRPr="00F7263B">
              <w:rPr>
                <w:color w:val="000000"/>
                <w:sz w:val="20"/>
                <w:szCs w:val="20"/>
              </w:rPr>
              <w:t>The MUDHCo will provide regular information to cities regarding Bank debarred firms so that Bank debarred firms will not be awarded contracts from the program</w:t>
            </w:r>
          </w:p>
          <w:p w:rsidR="0053260E" w:rsidRPr="00F7263B" w:rsidRDefault="0053260E" w:rsidP="00DD5CED">
            <w:pPr>
              <w:pStyle w:val="ListParagraph"/>
              <w:autoSpaceDE w:val="0"/>
              <w:autoSpaceDN w:val="0"/>
              <w:adjustRightInd w:val="0"/>
              <w:spacing w:after="182"/>
              <w:ind w:left="360"/>
              <w:rPr>
                <w:color w:val="000000"/>
                <w:sz w:val="20"/>
                <w:szCs w:val="20"/>
              </w:rPr>
            </w:pPr>
          </w:p>
        </w:tc>
        <w:tc>
          <w:tcPr>
            <w:tcW w:w="1170" w:type="dxa"/>
          </w:tcPr>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MAC</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PAP</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DLI 1&amp;2</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APA/IPA</w:t>
            </w:r>
          </w:p>
        </w:tc>
        <w:tc>
          <w:tcPr>
            <w:tcW w:w="1440" w:type="dxa"/>
          </w:tcPr>
          <w:p w:rsidR="00D92306" w:rsidRPr="00F7263B" w:rsidRDefault="00D92306" w:rsidP="00D92306">
            <w:pPr>
              <w:autoSpaceDE w:val="0"/>
              <w:autoSpaceDN w:val="0"/>
              <w:adjustRightInd w:val="0"/>
              <w:spacing w:after="182"/>
              <w:rPr>
                <w:color w:val="000000"/>
                <w:sz w:val="20"/>
                <w:szCs w:val="20"/>
              </w:rPr>
            </w:pPr>
            <w:r w:rsidRPr="00F7263B">
              <w:rPr>
                <w:color w:val="000000"/>
                <w:sz w:val="20"/>
                <w:szCs w:val="20"/>
              </w:rPr>
              <w:t>Annually and continuous</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Annually and continuous</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Continues</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Within the initial two years</w:t>
            </w: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Annually and continuous</w:t>
            </w:r>
          </w:p>
          <w:p w:rsidR="0053260E" w:rsidRPr="00F7263B" w:rsidRDefault="0053260E" w:rsidP="00DD5CED">
            <w:pPr>
              <w:autoSpaceDE w:val="0"/>
              <w:autoSpaceDN w:val="0"/>
              <w:adjustRightInd w:val="0"/>
              <w:spacing w:after="182"/>
              <w:rPr>
                <w:color w:val="000000"/>
                <w:sz w:val="20"/>
                <w:szCs w:val="20"/>
              </w:rPr>
            </w:pPr>
          </w:p>
          <w:p w:rsidR="0053260E" w:rsidRPr="00F7263B" w:rsidRDefault="0053260E" w:rsidP="00DD5CED">
            <w:pPr>
              <w:autoSpaceDE w:val="0"/>
              <w:autoSpaceDN w:val="0"/>
              <w:adjustRightInd w:val="0"/>
              <w:spacing w:after="182"/>
              <w:rPr>
                <w:color w:val="000000"/>
                <w:sz w:val="20"/>
                <w:szCs w:val="20"/>
              </w:rPr>
            </w:pPr>
            <w:r w:rsidRPr="00F7263B">
              <w:rPr>
                <w:color w:val="000000"/>
                <w:sz w:val="20"/>
                <w:szCs w:val="20"/>
              </w:rPr>
              <w:t>Quarterly &amp;Continues</w:t>
            </w:r>
          </w:p>
        </w:tc>
      </w:tr>
    </w:tbl>
    <w:p w:rsidR="00713BB0" w:rsidRPr="00F7263B" w:rsidRDefault="00713BB0" w:rsidP="0068255C">
      <w:pPr>
        <w:widowControl w:val="0"/>
        <w:autoSpaceDE w:val="0"/>
        <w:autoSpaceDN w:val="0"/>
        <w:adjustRightInd w:val="0"/>
        <w:spacing w:before="240" w:after="240"/>
        <w:ind w:right="288"/>
        <w:contextualSpacing/>
        <w:jc w:val="both"/>
        <w:rPr>
          <w:sz w:val="20"/>
          <w:szCs w:val="20"/>
        </w:rPr>
      </w:pPr>
    </w:p>
    <w:p w:rsidR="004D2B36" w:rsidRPr="00F7263B" w:rsidRDefault="004D2B36" w:rsidP="00254260">
      <w:pPr>
        <w:jc w:val="both"/>
        <w:rPr>
          <w:b/>
          <w:sz w:val="20"/>
          <w:szCs w:val="20"/>
        </w:rPr>
      </w:pPr>
      <w:r w:rsidRPr="00F7263B">
        <w:rPr>
          <w:b/>
          <w:sz w:val="20"/>
          <w:szCs w:val="20"/>
        </w:rPr>
        <w:t xml:space="preserve">Proposed Fiduciary inputs to the Program </w:t>
      </w:r>
      <w:r w:rsidR="00092CE3" w:rsidRPr="00F7263B">
        <w:rPr>
          <w:b/>
          <w:sz w:val="20"/>
          <w:szCs w:val="20"/>
        </w:rPr>
        <w:t xml:space="preserve">action plan </w:t>
      </w:r>
    </w:p>
    <w:p w:rsidR="00092CE3" w:rsidRPr="00F7263B" w:rsidRDefault="00092CE3" w:rsidP="00254260">
      <w:pPr>
        <w:jc w:val="both"/>
        <w:rPr>
          <w:b/>
          <w:sz w:val="20"/>
          <w:szCs w:val="20"/>
        </w:rPr>
      </w:pPr>
    </w:p>
    <w:p w:rsidR="006E7278" w:rsidRPr="00F7263B" w:rsidRDefault="004D2B36" w:rsidP="00056FC8">
      <w:pPr>
        <w:numPr>
          <w:ilvl w:val="0"/>
          <w:numId w:val="67"/>
        </w:numPr>
        <w:autoSpaceDE w:val="0"/>
        <w:autoSpaceDN w:val="0"/>
        <w:adjustRightInd w:val="0"/>
        <w:ind w:left="0" w:firstLine="0"/>
        <w:contextualSpacing/>
        <w:jc w:val="both"/>
        <w:rPr>
          <w:sz w:val="20"/>
          <w:szCs w:val="20"/>
        </w:rPr>
      </w:pPr>
      <w:r w:rsidRPr="00F7263B">
        <w:rPr>
          <w:sz w:val="20"/>
          <w:szCs w:val="20"/>
        </w:rPr>
        <w:t>The following are inputs to the program action plan from fiduciary.</w:t>
      </w:r>
    </w:p>
    <w:p w:rsidR="004D2B36" w:rsidRPr="00F7263B" w:rsidRDefault="004D2B36" w:rsidP="004D2B36">
      <w:pPr>
        <w:autoSpaceDE w:val="0"/>
        <w:autoSpaceDN w:val="0"/>
        <w:adjustRightInd w:val="0"/>
        <w:contextualSpacing/>
        <w:jc w:val="both"/>
        <w:rPr>
          <w:sz w:val="20"/>
          <w:szCs w:val="20"/>
        </w:rPr>
      </w:pPr>
    </w:p>
    <w:tbl>
      <w:tblPr>
        <w:tblStyle w:val="TableGrid"/>
        <w:tblW w:w="10080" w:type="dxa"/>
        <w:tblInd w:w="18" w:type="dxa"/>
        <w:tblLayout w:type="fixed"/>
        <w:tblLook w:val="04A0" w:firstRow="1" w:lastRow="0" w:firstColumn="1" w:lastColumn="0" w:noHBand="0" w:noVBand="1"/>
      </w:tblPr>
      <w:tblGrid>
        <w:gridCol w:w="720"/>
        <w:gridCol w:w="4860"/>
        <w:gridCol w:w="1260"/>
        <w:gridCol w:w="810"/>
        <w:gridCol w:w="810"/>
        <w:gridCol w:w="810"/>
        <w:gridCol w:w="810"/>
      </w:tblGrid>
      <w:tr w:rsidR="0053260E" w:rsidRPr="00F7263B">
        <w:tc>
          <w:tcPr>
            <w:tcW w:w="720" w:type="dxa"/>
            <w:shd w:val="clear" w:color="auto" w:fill="auto"/>
          </w:tcPr>
          <w:p w:rsidR="0053260E" w:rsidRPr="00F7263B" w:rsidRDefault="0053260E" w:rsidP="00DD5CED">
            <w:pPr>
              <w:jc w:val="both"/>
              <w:rPr>
                <w:rFonts w:eastAsiaTheme="minorHAnsi"/>
                <w:b/>
                <w:bCs/>
                <w:sz w:val="20"/>
                <w:szCs w:val="20"/>
              </w:rPr>
            </w:pPr>
            <w:r w:rsidRPr="00F7263B">
              <w:rPr>
                <w:rFonts w:eastAsiaTheme="minorHAnsi"/>
                <w:b/>
                <w:bCs/>
                <w:sz w:val="20"/>
                <w:szCs w:val="20"/>
              </w:rPr>
              <w:t>No</w:t>
            </w:r>
          </w:p>
        </w:tc>
        <w:tc>
          <w:tcPr>
            <w:tcW w:w="4860" w:type="dxa"/>
            <w:shd w:val="clear" w:color="auto" w:fill="auto"/>
          </w:tcPr>
          <w:p w:rsidR="0053260E" w:rsidRPr="00F7263B" w:rsidRDefault="0053260E" w:rsidP="00591917">
            <w:pPr>
              <w:rPr>
                <w:rFonts w:eastAsiaTheme="minorHAnsi"/>
                <w:b/>
                <w:bCs/>
                <w:sz w:val="20"/>
                <w:szCs w:val="20"/>
              </w:rPr>
            </w:pPr>
            <w:r w:rsidRPr="00F7263B">
              <w:rPr>
                <w:rFonts w:eastAsiaTheme="minorHAnsi"/>
                <w:b/>
                <w:bCs/>
                <w:sz w:val="20"/>
                <w:szCs w:val="20"/>
              </w:rPr>
              <w:t>Action</w:t>
            </w:r>
          </w:p>
        </w:tc>
        <w:tc>
          <w:tcPr>
            <w:tcW w:w="1260" w:type="dxa"/>
            <w:shd w:val="clear" w:color="auto" w:fill="auto"/>
          </w:tcPr>
          <w:p w:rsidR="0053260E" w:rsidRPr="00F7263B" w:rsidRDefault="0053260E" w:rsidP="00DD5CED">
            <w:pPr>
              <w:jc w:val="both"/>
              <w:rPr>
                <w:rFonts w:eastAsiaTheme="minorHAnsi"/>
                <w:b/>
                <w:bCs/>
                <w:sz w:val="20"/>
                <w:szCs w:val="20"/>
              </w:rPr>
            </w:pPr>
            <w:r w:rsidRPr="00F7263B">
              <w:rPr>
                <w:rFonts w:eastAsiaTheme="minorHAnsi"/>
                <w:b/>
                <w:bCs/>
                <w:sz w:val="20"/>
                <w:szCs w:val="20"/>
              </w:rPr>
              <w:t>Pre-Start FY</w:t>
            </w:r>
          </w:p>
        </w:tc>
        <w:tc>
          <w:tcPr>
            <w:tcW w:w="810" w:type="dxa"/>
            <w:shd w:val="clear" w:color="auto" w:fill="auto"/>
          </w:tcPr>
          <w:p w:rsidR="0053260E" w:rsidRPr="00F7263B" w:rsidRDefault="0053260E" w:rsidP="00DD5CED">
            <w:pPr>
              <w:jc w:val="both"/>
              <w:rPr>
                <w:rFonts w:eastAsiaTheme="minorHAnsi"/>
                <w:b/>
                <w:bCs/>
                <w:sz w:val="20"/>
                <w:szCs w:val="20"/>
              </w:rPr>
            </w:pPr>
            <w:r w:rsidRPr="00F7263B">
              <w:rPr>
                <w:rFonts w:eastAsiaTheme="minorHAnsi"/>
                <w:b/>
                <w:bCs/>
                <w:sz w:val="20"/>
                <w:szCs w:val="20"/>
              </w:rPr>
              <w:t>FY-1</w:t>
            </w:r>
          </w:p>
        </w:tc>
        <w:tc>
          <w:tcPr>
            <w:tcW w:w="810" w:type="dxa"/>
            <w:shd w:val="clear" w:color="auto" w:fill="auto"/>
          </w:tcPr>
          <w:p w:rsidR="0053260E" w:rsidRPr="00F7263B" w:rsidRDefault="0053260E" w:rsidP="00DD5CED">
            <w:pPr>
              <w:jc w:val="both"/>
              <w:rPr>
                <w:rFonts w:eastAsiaTheme="minorHAnsi"/>
                <w:b/>
                <w:bCs/>
                <w:sz w:val="20"/>
                <w:szCs w:val="20"/>
              </w:rPr>
            </w:pPr>
            <w:r w:rsidRPr="00F7263B">
              <w:rPr>
                <w:rFonts w:eastAsiaTheme="minorHAnsi"/>
                <w:b/>
                <w:bCs/>
                <w:sz w:val="20"/>
                <w:szCs w:val="20"/>
              </w:rPr>
              <w:t>FY-2</w:t>
            </w:r>
          </w:p>
        </w:tc>
        <w:tc>
          <w:tcPr>
            <w:tcW w:w="810" w:type="dxa"/>
            <w:shd w:val="clear" w:color="auto" w:fill="auto"/>
          </w:tcPr>
          <w:p w:rsidR="0053260E" w:rsidRPr="00F7263B" w:rsidRDefault="0053260E" w:rsidP="00DD5CED">
            <w:pPr>
              <w:jc w:val="both"/>
              <w:rPr>
                <w:rFonts w:eastAsiaTheme="minorHAnsi"/>
                <w:b/>
                <w:bCs/>
                <w:sz w:val="20"/>
                <w:szCs w:val="20"/>
              </w:rPr>
            </w:pPr>
            <w:r w:rsidRPr="00F7263B">
              <w:rPr>
                <w:rFonts w:eastAsiaTheme="minorHAnsi"/>
                <w:b/>
                <w:bCs/>
                <w:sz w:val="20"/>
                <w:szCs w:val="20"/>
              </w:rPr>
              <w:t>FY-3</w:t>
            </w:r>
          </w:p>
        </w:tc>
        <w:tc>
          <w:tcPr>
            <w:tcW w:w="810" w:type="dxa"/>
            <w:shd w:val="clear" w:color="auto" w:fill="auto"/>
          </w:tcPr>
          <w:p w:rsidR="0053260E" w:rsidRPr="00F7263B" w:rsidRDefault="0053260E" w:rsidP="00DD5CED">
            <w:pPr>
              <w:jc w:val="both"/>
              <w:rPr>
                <w:rFonts w:eastAsiaTheme="minorHAnsi"/>
                <w:b/>
                <w:bCs/>
                <w:sz w:val="20"/>
                <w:szCs w:val="20"/>
              </w:rPr>
            </w:pPr>
            <w:r w:rsidRPr="00F7263B">
              <w:rPr>
                <w:rFonts w:eastAsiaTheme="minorHAnsi"/>
                <w:b/>
                <w:bCs/>
                <w:sz w:val="20"/>
                <w:szCs w:val="20"/>
              </w:rPr>
              <w:t>FY-4</w:t>
            </w: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1</w:t>
            </w:r>
          </w:p>
        </w:tc>
        <w:tc>
          <w:tcPr>
            <w:tcW w:w="4860" w:type="dxa"/>
          </w:tcPr>
          <w:p w:rsidR="0053260E" w:rsidRPr="00F7263B" w:rsidRDefault="0053260E" w:rsidP="00591917">
            <w:pPr>
              <w:autoSpaceDE w:val="0"/>
              <w:autoSpaceDN w:val="0"/>
              <w:adjustRightInd w:val="0"/>
              <w:spacing w:after="182"/>
              <w:rPr>
                <w:color w:val="000000"/>
                <w:sz w:val="20"/>
                <w:szCs w:val="20"/>
              </w:rPr>
            </w:pPr>
            <w:r w:rsidRPr="00F7263B">
              <w:rPr>
                <w:b/>
                <w:color w:val="000000"/>
                <w:sz w:val="20"/>
                <w:szCs w:val="20"/>
              </w:rPr>
              <w:t>Budgeting</w:t>
            </w:r>
            <w:r w:rsidRPr="00F7263B">
              <w:rPr>
                <w:color w:val="000000"/>
                <w:sz w:val="20"/>
                <w:szCs w:val="20"/>
              </w:rPr>
              <w:t xml:space="preserve">: </w:t>
            </w:r>
          </w:p>
          <w:p w:rsidR="0053260E" w:rsidRPr="00F7263B" w:rsidRDefault="0053260E" w:rsidP="00591917">
            <w:pPr>
              <w:autoSpaceDE w:val="0"/>
              <w:autoSpaceDN w:val="0"/>
              <w:adjustRightInd w:val="0"/>
              <w:spacing w:after="182"/>
              <w:rPr>
                <w:color w:val="000000"/>
                <w:sz w:val="20"/>
                <w:szCs w:val="20"/>
              </w:rPr>
            </w:pPr>
            <w:r w:rsidRPr="00F7263B">
              <w:rPr>
                <w:color w:val="000000"/>
                <w:sz w:val="20"/>
                <w:szCs w:val="20"/>
              </w:rPr>
              <w:t xml:space="preserve">Budget execution and analysis of variances is a challenge noted and this will be addressed through semi-annual reports. Review of reports to identify poor implementation and budget utilization will be performed. </w:t>
            </w:r>
          </w:p>
        </w:tc>
        <w:tc>
          <w:tcPr>
            <w:tcW w:w="1260" w:type="dxa"/>
            <w:shd w:val="clear" w:color="auto" w:fill="auto"/>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2</w:t>
            </w:r>
          </w:p>
        </w:tc>
        <w:tc>
          <w:tcPr>
            <w:tcW w:w="4860" w:type="dxa"/>
          </w:tcPr>
          <w:p w:rsidR="0053260E" w:rsidRPr="00F7263B" w:rsidRDefault="0053260E" w:rsidP="00591917">
            <w:pPr>
              <w:autoSpaceDE w:val="0"/>
              <w:autoSpaceDN w:val="0"/>
              <w:adjustRightInd w:val="0"/>
              <w:spacing w:after="182"/>
              <w:rPr>
                <w:b/>
                <w:color w:val="000000"/>
                <w:sz w:val="20"/>
                <w:szCs w:val="20"/>
              </w:rPr>
            </w:pPr>
            <w:r w:rsidRPr="00F7263B">
              <w:rPr>
                <w:b/>
                <w:color w:val="000000"/>
                <w:sz w:val="20"/>
                <w:szCs w:val="20"/>
              </w:rPr>
              <w:t xml:space="preserve">Accounting: </w:t>
            </w:r>
          </w:p>
          <w:p w:rsidR="0053260E" w:rsidRPr="00F7263B" w:rsidRDefault="0053260E" w:rsidP="00591917">
            <w:pPr>
              <w:autoSpaceDE w:val="0"/>
              <w:autoSpaceDN w:val="0"/>
              <w:adjustRightInd w:val="0"/>
              <w:spacing w:after="182"/>
              <w:rPr>
                <w:color w:val="000000"/>
                <w:sz w:val="20"/>
                <w:szCs w:val="20"/>
              </w:rPr>
            </w:pPr>
            <w:r w:rsidRPr="00F7263B">
              <w:rPr>
                <w:color w:val="000000"/>
                <w:sz w:val="20"/>
                <w:szCs w:val="20"/>
              </w:rPr>
              <w:t>IBEX shall be used for all cities. Fragmented use of systems will be avoided.</w:t>
            </w:r>
          </w:p>
          <w:p w:rsidR="0053260E" w:rsidRPr="00F7263B" w:rsidRDefault="0053260E" w:rsidP="00591917">
            <w:pPr>
              <w:widowControl w:val="0"/>
              <w:autoSpaceDE w:val="0"/>
              <w:autoSpaceDN w:val="0"/>
              <w:adjustRightInd w:val="0"/>
              <w:ind w:right="288"/>
              <w:contextualSpacing/>
              <w:rPr>
                <w:sz w:val="20"/>
                <w:szCs w:val="20"/>
              </w:rPr>
            </w:pPr>
            <w:r w:rsidRPr="00F7263B">
              <w:rPr>
                <w:sz w:val="20"/>
                <w:szCs w:val="20"/>
              </w:rPr>
              <w:t>CoA will be clarified by MoFED and shall be included in the Operating manual and Training will be conducted</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3</w:t>
            </w:r>
          </w:p>
        </w:tc>
        <w:tc>
          <w:tcPr>
            <w:tcW w:w="4860" w:type="dxa"/>
          </w:tcPr>
          <w:p w:rsidR="0053260E" w:rsidRPr="00F7263B" w:rsidRDefault="0053260E" w:rsidP="00591917">
            <w:pPr>
              <w:widowControl w:val="0"/>
              <w:autoSpaceDE w:val="0"/>
              <w:autoSpaceDN w:val="0"/>
              <w:adjustRightInd w:val="0"/>
              <w:ind w:right="288"/>
              <w:contextualSpacing/>
              <w:rPr>
                <w:b/>
                <w:sz w:val="20"/>
                <w:szCs w:val="20"/>
              </w:rPr>
            </w:pPr>
            <w:r w:rsidRPr="00F7263B">
              <w:rPr>
                <w:b/>
                <w:sz w:val="20"/>
                <w:szCs w:val="20"/>
              </w:rPr>
              <w:t xml:space="preserve">Staffing: </w:t>
            </w:r>
          </w:p>
          <w:p w:rsidR="0053260E" w:rsidRPr="00F7263B" w:rsidRDefault="0053260E" w:rsidP="00591917">
            <w:pPr>
              <w:widowControl w:val="0"/>
              <w:autoSpaceDE w:val="0"/>
              <w:autoSpaceDN w:val="0"/>
              <w:adjustRightInd w:val="0"/>
              <w:ind w:right="288"/>
              <w:contextualSpacing/>
              <w:rPr>
                <w:sz w:val="20"/>
                <w:szCs w:val="20"/>
              </w:rPr>
            </w:pPr>
          </w:p>
          <w:p w:rsidR="0053260E" w:rsidRPr="00F7263B" w:rsidRDefault="0053260E" w:rsidP="00591917">
            <w:pPr>
              <w:widowControl w:val="0"/>
              <w:autoSpaceDE w:val="0"/>
              <w:autoSpaceDN w:val="0"/>
              <w:adjustRightInd w:val="0"/>
              <w:ind w:right="288"/>
              <w:contextualSpacing/>
              <w:rPr>
                <w:sz w:val="20"/>
                <w:szCs w:val="20"/>
              </w:rPr>
            </w:pPr>
            <w:r w:rsidRPr="00F7263B">
              <w:rPr>
                <w:sz w:val="20"/>
                <w:szCs w:val="20"/>
              </w:rPr>
              <w:t xml:space="preserve">OFEDs staff database will be submitted in the first 6 </w:t>
            </w:r>
            <w:r w:rsidRPr="00F7263B">
              <w:rPr>
                <w:sz w:val="20"/>
                <w:szCs w:val="20"/>
              </w:rPr>
              <w:lastRenderedPageBreak/>
              <w:t xml:space="preserve">months of effectiveness, and 75% of professional staff positions will be filled within 2 yrs. </w:t>
            </w:r>
          </w:p>
          <w:p w:rsidR="0053260E" w:rsidRPr="00F7263B" w:rsidRDefault="0053260E" w:rsidP="00591917">
            <w:pPr>
              <w:widowControl w:val="0"/>
              <w:autoSpaceDE w:val="0"/>
              <w:autoSpaceDN w:val="0"/>
              <w:adjustRightInd w:val="0"/>
              <w:ind w:right="288"/>
              <w:contextualSpacing/>
              <w:rPr>
                <w:sz w:val="20"/>
                <w:szCs w:val="20"/>
              </w:rPr>
            </w:pPr>
            <w:r w:rsidRPr="00F7263B">
              <w:rPr>
                <w:sz w:val="20"/>
                <w:szCs w:val="20"/>
              </w:rPr>
              <w:t>Continuous Training shall be provided for the staff to cater for staff turnovers.</w:t>
            </w:r>
          </w:p>
          <w:p w:rsidR="0053260E" w:rsidRPr="00F7263B" w:rsidRDefault="0053260E" w:rsidP="00591917">
            <w:pPr>
              <w:autoSpaceDE w:val="0"/>
              <w:autoSpaceDN w:val="0"/>
              <w:adjustRightInd w:val="0"/>
              <w:spacing w:after="182"/>
              <w:rPr>
                <w:color w:val="000000"/>
                <w:sz w:val="20"/>
                <w:szCs w:val="20"/>
              </w:rPr>
            </w:pPr>
          </w:p>
        </w:tc>
        <w:tc>
          <w:tcPr>
            <w:tcW w:w="1260" w:type="dxa"/>
            <w:shd w:val="clear" w:color="auto" w:fill="auto"/>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lastRenderedPageBreak/>
              <w:t>4</w:t>
            </w:r>
          </w:p>
        </w:tc>
        <w:tc>
          <w:tcPr>
            <w:tcW w:w="4860" w:type="dxa"/>
          </w:tcPr>
          <w:p w:rsidR="0053260E" w:rsidRPr="00F7263B" w:rsidRDefault="0053260E" w:rsidP="00591917">
            <w:pPr>
              <w:autoSpaceDE w:val="0"/>
              <w:autoSpaceDN w:val="0"/>
              <w:adjustRightInd w:val="0"/>
              <w:spacing w:after="182"/>
              <w:rPr>
                <w:b/>
                <w:color w:val="000000"/>
                <w:sz w:val="20"/>
                <w:szCs w:val="20"/>
              </w:rPr>
            </w:pPr>
            <w:r w:rsidRPr="00F7263B">
              <w:rPr>
                <w:b/>
                <w:color w:val="000000"/>
                <w:sz w:val="20"/>
                <w:szCs w:val="20"/>
              </w:rPr>
              <w:t>Internal Controls:</w:t>
            </w:r>
          </w:p>
          <w:p w:rsidR="0053260E" w:rsidRPr="00F7263B" w:rsidRDefault="0053260E" w:rsidP="00591917">
            <w:pPr>
              <w:autoSpaceDE w:val="0"/>
              <w:autoSpaceDN w:val="0"/>
              <w:adjustRightInd w:val="0"/>
              <w:spacing w:after="182"/>
              <w:rPr>
                <w:color w:val="000000"/>
                <w:sz w:val="20"/>
                <w:szCs w:val="20"/>
              </w:rPr>
            </w:pPr>
            <w:r w:rsidRPr="00F7263B">
              <w:rPr>
                <w:color w:val="000000"/>
                <w:sz w:val="20"/>
                <w:szCs w:val="20"/>
              </w:rPr>
              <w:t xml:space="preserve">Inspection Directorate at MoFED, in collaboration with regional Inspection Directorates at BoFEDs, will oversee the conduct of internal audits at least once per year by ULGs internal auditors. </w:t>
            </w:r>
          </w:p>
        </w:tc>
        <w:tc>
          <w:tcPr>
            <w:tcW w:w="1260" w:type="dxa"/>
            <w:shd w:val="clear" w:color="auto" w:fill="auto"/>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5</w:t>
            </w:r>
          </w:p>
        </w:tc>
        <w:tc>
          <w:tcPr>
            <w:tcW w:w="4860" w:type="dxa"/>
          </w:tcPr>
          <w:p w:rsidR="0053260E" w:rsidRPr="00F7263B" w:rsidRDefault="0053260E" w:rsidP="00591917">
            <w:pPr>
              <w:autoSpaceDE w:val="0"/>
              <w:autoSpaceDN w:val="0"/>
              <w:adjustRightInd w:val="0"/>
              <w:spacing w:after="182"/>
              <w:rPr>
                <w:b/>
                <w:color w:val="000000"/>
                <w:sz w:val="20"/>
                <w:szCs w:val="20"/>
              </w:rPr>
            </w:pPr>
            <w:r w:rsidRPr="00F7263B">
              <w:rPr>
                <w:b/>
                <w:color w:val="000000"/>
                <w:sz w:val="20"/>
                <w:szCs w:val="20"/>
              </w:rPr>
              <w:t>External Audit:</w:t>
            </w:r>
          </w:p>
          <w:p w:rsidR="0053260E" w:rsidRPr="00F7263B" w:rsidRDefault="0053260E" w:rsidP="00591917">
            <w:pPr>
              <w:shd w:val="clear" w:color="auto" w:fill="FFFFFF" w:themeFill="background1"/>
              <w:autoSpaceDE w:val="0"/>
              <w:autoSpaceDN w:val="0"/>
              <w:adjustRightInd w:val="0"/>
              <w:spacing w:after="182"/>
              <w:rPr>
                <w:color w:val="000000"/>
                <w:sz w:val="20"/>
                <w:szCs w:val="20"/>
              </w:rPr>
            </w:pPr>
            <w:r w:rsidRPr="00F7263B">
              <w:rPr>
                <w:color w:val="000000"/>
                <w:sz w:val="20"/>
                <w:szCs w:val="20"/>
              </w:rPr>
              <w:t>In addition to a financial audit (which is a legal covenant), a Value for Money audit will be conducted by OFAG. The first VFM audit will commence from the second year onwards and will be submitted to the World Bank with in 6 month of the end of the EFY.</w:t>
            </w:r>
          </w:p>
          <w:p w:rsidR="0053260E" w:rsidRPr="00F7263B" w:rsidRDefault="0053260E" w:rsidP="00591917">
            <w:pPr>
              <w:autoSpaceDE w:val="0"/>
              <w:autoSpaceDN w:val="0"/>
              <w:adjustRightInd w:val="0"/>
              <w:spacing w:after="182"/>
              <w:rPr>
                <w:color w:val="000000"/>
                <w:sz w:val="20"/>
                <w:szCs w:val="20"/>
              </w:rPr>
            </w:pPr>
          </w:p>
        </w:tc>
        <w:tc>
          <w:tcPr>
            <w:tcW w:w="1260" w:type="dxa"/>
            <w:shd w:val="clear" w:color="auto" w:fill="auto"/>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6</w:t>
            </w:r>
          </w:p>
        </w:tc>
        <w:tc>
          <w:tcPr>
            <w:tcW w:w="4860" w:type="dxa"/>
          </w:tcPr>
          <w:p w:rsidR="0053260E" w:rsidRPr="00F7263B" w:rsidRDefault="0053260E" w:rsidP="00591917">
            <w:pPr>
              <w:autoSpaceDE w:val="0"/>
              <w:autoSpaceDN w:val="0"/>
              <w:adjustRightInd w:val="0"/>
              <w:spacing w:after="182"/>
              <w:rPr>
                <w:color w:val="000000"/>
                <w:sz w:val="20"/>
                <w:szCs w:val="20"/>
              </w:rPr>
            </w:pPr>
            <w:r w:rsidRPr="00F7263B">
              <w:rPr>
                <w:color w:val="000000"/>
                <w:sz w:val="20"/>
                <w:szCs w:val="20"/>
              </w:rPr>
              <w:t xml:space="preserve">Regional PPAs to enforce their legal requirements and provide reminders to Cities and organize training on the use and implementation of the procurement laws, directives, manuals, standard bidding documents and monitor the consistency of practices. </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7</w:t>
            </w:r>
          </w:p>
        </w:tc>
        <w:tc>
          <w:tcPr>
            <w:tcW w:w="4860" w:type="dxa"/>
          </w:tcPr>
          <w:p w:rsidR="0053260E" w:rsidRPr="00F7263B" w:rsidRDefault="0053260E" w:rsidP="00591917">
            <w:pPr>
              <w:autoSpaceDE w:val="0"/>
              <w:autoSpaceDN w:val="0"/>
              <w:adjustRightInd w:val="0"/>
              <w:spacing w:after="182"/>
              <w:rPr>
                <w:color w:val="000000"/>
                <w:sz w:val="20"/>
                <w:szCs w:val="20"/>
              </w:rPr>
            </w:pPr>
            <w:r w:rsidRPr="00F7263B">
              <w:rPr>
                <w:color w:val="000000"/>
                <w:sz w:val="20"/>
                <w:szCs w:val="20"/>
              </w:rPr>
              <w:t>MUDHCo will (a) Require ULGs to justify to the BoFEDs the use of government owned enterprises where private sector suppliers exist in advance of contracting;  (b) Require ULGs to exclude award to Bank debarred firms through providing regular information; and (c) Provide guidance to ULGs on policies on support to MSEs and the level of preferences that would be acceptable across board to ensure uniformity and minimize abuse (this guidance will be part of participatory and performance agreement, PPA and Program Operating Manual.)</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8</w:t>
            </w:r>
          </w:p>
        </w:tc>
        <w:tc>
          <w:tcPr>
            <w:tcW w:w="4860" w:type="dxa"/>
          </w:tcPr>
          <w:p w:rsidR="0053260E" w:rsidRPr="00F7263B" w:rsidRDefault="0053260E" w:rsidP="00591917">
            <w:pPr>
              <w:rPr>
                <w:sz w:val="20"/>
                <w:szCs w:val="20"/>
              </w:rPr>
            </w:pPr>
            <w:r w:rsidRPr="00F7263B">
              <w:rPr>
                <w:sz w:val="20"/>
                <w:szCs w:val="20"/>
              </w:rPr>
              <w:t xml:space="preserve">BoFED will undertake audit capacity building of the regional </w:t>
            </w:r>
            <w:r w:rsidR="00BC3492" w:rsidRPr="00F7263B">
              <w:rPr>
                <w:sz w:val="20"/>
                <w:szCs w:val="20"/>
              </w:rPr>
              <w:t>public procurement agencies</w:t>
            </w:r>
            <w:r w:rsidRPr="00F7263B">
              <w:rPr>
                <w:sz w:val="20"/>
                <w:szCs w:val="20"/>
              </w:rPr>
              <w:t>.</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9</w:t>
            </w:r>
          </w:p>
        </w:tc>
        <w:tc>
          <w:tcPr>
            <w:tcW w:w="4860" w:type="dxa"/>
          </w:tcPr>
          <w:p w:rsidR="0053260E" w:rsidRPr="00F7263B" w:rsidRDefault="0053260E" w:rsidP="00591917">
            <w:pPr>
              <w:rPr>
                <w:sz w:val="20"/>
                <w:szCs w:val="20"/>
              </w:rPr>
            </w:pPr>
            <w:r w:rsidRPr="00F7263B">
              <w:rPr>
                <w:sz w:val="20"/>
                <w:szCs w:val="20"/>
              </w:rPr>
              <w:t>Each participating city’s mayors issue instructions and make all procurement legal documents including SBDs available to the staff and enforce and oversight its applications</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10</w:t>
            </w:r>
          </w:p>
        </w:tc>
        <w:tc>
          <w:tcPr>
            <w:tcW w:w="4860" w:type="dxa"/>
          </w:tcPr>
          <w:p w:rsidR="0053260E" w:rsidRPr="00F7263B" w:rsidRDefault="0053260E" w:rsidP="00591917">
            <w:pPr>
              <w:rPr>
                <w:sz w:val="20"/>
                <w:szCs w:val="20"/>
              </w:rPr>
            </w:pPr>
            <w:r w:rsidRPr="00F7263B">
              <w:rPr>
                <w:sz w:val="20"/>
                <w:szCs w:val="20"/>
              </w:rPr>
              <w:t>The weakness in the existing Procurement complaints handling mechanism may be improved through: (</w:t>
            </w:r>
            <w:r w:rsidR="00BC3492" w:rsidRPr="00F7263B">
              <w:rPr>
                <w:sz w:val="20"/>
                <w:szCs w:val="20"/>
              </w:rPr>
              <w:t>a</w:t>
            </w:r>
            <w:r w:rsidRPr="00F7263B">
              <w:rPr>
                <w:sz w:val="20"/>
                <w:szCs w:val="20"/>
              </w:rPr>
              <w:t>) The RPPAs will conduct business outreaches and sensitize the business community regarding the available procurement complaints redressing mechanism; (</w:t>
            </w:r>
            <w:r w:rsidR="00BC3492" w:rsidRPr="00F7263B">
              <w:rPr>
                <w:sz w:val="20"/>
                <w:szCs w:val="20"/>
              </w:rPr>
              <w:t>b</w:t>
            </w:r>
            <w:r w:rsidRPr="00F7263B">
              <w:rPr>
                <w:sz w:val="20"/>
                <w:szCs w:val="20"/>
              </w:rPr>
              <w:t>) BoFEDs will review the independence and options for improving the complaint handling mechanism</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t>11</w:t>
            </w:r>
          </w:p>
        </w:tc>
        <w:tc>
          <w:tcPr>
            <w:tcW w:w="4860" w:type="dxa"/>
          </w:tcPr>
          <w:p w:rsidR="0053260E" w:rsidRPr="00F7263B" w:rsidRDefault="0053260E" w:rsidP="00591917">
            <w:pPr>
              <w:rPr>
                <w:sz w:val="20"/>
                <w:szCs w:val="20"/>
              </w:rPr>
            </w:pPr>
            <w:r w:rsidRPr="00F7263B">
              <w:rPr>
                <w:sz w:val="20"/>
                <w:szCs w:val="20"/>
              </w:rPr>
              <w:t xml:space="preserve">The gap identified with the capacity of FEACC </w:t>
            </w:r>
            <w:r w:rsidR="00BC3492" w:rsidRPr="00F7263B">
              <w:rPr>
                <w:sz w:val="20"/>
                <w:szCs w:val="20"/>
              </w:rPr>
              <w:t>and</w:t>
            </w:r>
            <w:r w:rsidRPr="00F7263B">
              <w:rPr>
                <w:sz w:val="20"/>
                <w:szCs w:val="20"/>
              </w:rPr>
              <w:t xml:space="preserve"> REACC may be improved through: (</w:t>
            </w:r>
            <w:r w:rsidR="00BC3492" w:rsidRPr="00F7263B">
              <w:rPr>
                <w:sz w:val="20"/>
                <w:szCs w:val="20"/>
              </w:rPr>
              <w:t>a</w:t>
            </w:r>
            <w:r w:rsidRPr="00F7263B">
              <w:rPr>
                <w:sz w:val="20"/>
                <w:szCs w:val="20"/>
              </w:rPr>
              <w:t xml:space="preserve">) providing the FEACC and REACC staffs training and capacity building </w:t>
            </w:r>
            <w:r w:rsidRPr="00F7263B">
              <w:rPr>
                <w:sz w:val="20"/>
                <w:szCs w:val="20"/>
              </w:rPr>
              <w:lastRenderedPageBreak/>
              <w:t>on public procurement and contracts management and (</w:t>
            </w:r>
            <w:r w:rsidR="00BC3492" w:rsidRPr="00F7263B">
              <w:rPr>
                <w:sz w:val="20"/>
                <w:szCs w:val="20"/>
              </w:rPr>
              <w:t>b</w:t>
            </w:r>
            <w:r w:rsidRPr="00F7263B">
              <w:rPr>
                <w:sz w:val="20"/>
                <w:szCs w:val="20"/>
              </w:rPr>
              <w:t xml:space="preserve">) the FEACC and REACC use specialized experts to review and investigate </w:t>
            </w:r>
            <w:r w:rsidR="008A15C9" w:rsidRPr="00F7263B">
              <w:rPr>
                <w:sz w:val="20"/>
                <w:szCs w:val="20"/>
              </w:rPr>
              <w:t>fraud and corruption</w:t>
            </w:r>
            <w:r w:rsidRPr="00F7263B">
              <w:rPr>
                <w:sz w:val="20"/>
                <w:szCs w:val="20"/>
              </w:rPr>
              <w:t xml:space="preserve"> suspicious procurement and contract issues before they take actions on cases reported, and (</w:t>
            </w:r>
            <w:r w:rsidR="00BC3492" w:rsidRPr="00F7263B">
              <w:rPr>
                <w:sz w:val="20"/>
                <w:szCs w:val="20"/>
              </w:rPr>
              <w:t>c</w:t>
            </w:r>
            <w:r w:rsidRPr="00F7263B">
              <w:rPr>
                <w:sz w:val="20"/>
                <w:szCs w:val="20"/>
              </w:rPr>
              <w:t>) provide training on complaint handling mechanisms and reporting for staff of REACCs and Ethics units in the ULGs</w:t>
            </w:r>
            <w:r w:rsidR="00BC3492" w:rsidRPr="00F7263B">
              <w:rPr>
                <w:sz w:val="20"/>
                <w:szCs w:val="20"/>
              </w:rPr>
              <w:t>.</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r>
      <w:tr w:rsidR="0053260E" w:rsidRPr="00F7263B">
        <w:tc>
          <w:tcPr>
            <w:tcW w:w="720" w:type="dxa"/>
          </w:tcPr>
          <w:p w:rsidR="0053260E" w:rsidRPr="00F7263B" w:rsidRDefault="0053260E" w:rsidP="00DD5CED">
            <w:pPr>
              <w:jc w:val="both"/>
              <w:rPr>
                <w:rFonts w:eastAsiaTheme="minorHAnsi"/>
                <w:bCs/>
                <w:sz w:val="20"/>
                <w:szCs w:val="20"/>
              </w:rPr>
            </w:pPr>
            <w:r w:rsidRPr="00F7263B">
              <w:rPr>
                <w:rFonts w:eastAsiaTheme="minorHAnsi"/>
                <w:bCs/>
                <w:sz w:val="20"/>
                <w:szCs w:val="20"/>
              </w:rPr>
              <w:lastRenderedPageBreak/>
              <w:t>12</w:t>
            </w:r>
          </w:p>
        </w:tc>
        <w:tc>
          <w:tcPr>
            <w:tcW w:w="4860" w:type="dxa"/>
          </w:tcPr>
          <w:p w:rsidR="0053260E" w:rsidRPr="00F7263B" w:rsidRDefault="0053260E" w:rsidP="00591917">
            <w:pPr>
              <w:rPr>
                <w:sz w:val="20"/>
                <w:szCs w:val="20"/>
              </w:rPr>
            </w:pPr>
            <w:r w:rsidRPr="00F7263B">
              <w:rPr>
                <w:sz w:val="20"/>
                <w:szCs w:val="20"/>
              </w:rPr>
              <w:t xml:space="preserve">A consultant may be recruited by the Program  to prepare a contract administration manual to the participating cities and provide the necessary training on it (the Contract administration manual will be based on the Governments own systems) </w:t>
            </w:r>
          </w:p>
        </w:tc>
        <w:tc>
          <w:tcPr>
            <w:tcW w:w="126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shd w:val="clear" w:color="auto" w:fill="CCC0D9" w:themeFill="accent4" w:themeFillTint="66"/>
          </w:tcPr>
          <w:p w:rsidR="0053260E" w:rsidRPr="00F7263B" w:rsidRDefault="0053260E" w:rsidP="00DD5CED">
            <w:pPr>
              <w:jc w:val="both"/>
              <w:rPr>
                <w:rFonts w:eastAsiaTheme="minorHAnsi"/>
                <w:bCs/>
                <w:sz w:val="20"/>
                <w:szCs w:val="20"/>
                <w:highlight w:val="yellow"/>
              </w:rPr>
            </w:pPr>
          </w:p>
        </w:tc>
        <w:tc>
          <w:tcPr>
            <w:tcW w:w="810" w:type="dxa"/>
          </w:tcPr>
          <w:p w:rsidR="0053260E" w:rsidRPr="00F7263B" w:rsidRDefault="0053260E" w:rsidP="00DD5CED">
            <w:pPr>
              <w:jc w:val="both"/>
              <w:rPr>
                <w:rFonts w:eastAsiaTheme="minorHAnsi"/>
                <w:bCs/>
                <w:sz w:val="20"/>
                <w:szCs w:val="20"/>
                <w:highlight w:val="yellow"/>
              </w:rPr>
            </w:pPr>
          </w:p>
        </w:tc>
      </w:tr>
    </w:tbl>
    <w:p w:rsidR="0053260E" w:rsidRPr="00F7263B" w:rsidRDefault="0053260E" w:rsidP="004D2B36">
      <w:pPr>
        <w:autoSpaceDE w:val="0"/>
        <w:autoSpaceDN w:val="0"/>
        <w:adjustRightInd w:val="0"/>
        <w:contextualSpacing/>
        <w:jc w:val="both"/>
        <w:rPr>
          <w:sz w:val="20"/>
          <w:szCs w:val="20"/>
        </w:rPr>
      </w:pPr>
    </w:p>
    <w:p w:rsidR="001D48BE" w:rsidRPr="00F7263B" w:rsidRDefault="001D48BE">
      <w:pPr>
        <w:spacing w:after="200" w:line="276" w:lineRule="auto"/>
        <w:rPr>
          <w:rFonts w:eastAsia="Times New Roman" w:cs="Times New Roman"/>
          <w:b/>
          <w:bCs/>
          <w:sz w:val="20"/>
          <w:szCs w:val="20"/>
        </w:rPr>
        <w:sectPr w:rsidR="001D48BE" w:rsidRPr="00F7263B">
          <w:pgSz w:w="12240" w:h="15840"/>
          <w:pgMar w:top="1440" w:right="1440" w:bottom="1440" w:left="1440" w:header="720" w:footer="720" w:gutter="0"/>
          <w:cols w:space="720"/>
          <w:docGrid w:linePitch="360"/>
        </w:sectPr>
      </w:pPr>
      <w:bookmarkStart w:id="98" w:name="_Toc374060181"/>
    </w:p>
    <w:p w:rsidR="00AE45E6" w:rsidRPr="00F7263B" w:rsidRDefault="001D48BE" w:rsidP="001D48BE">
      <w:pPr>
        <w:pStyle w:val="Caption"/>
        <w:jc w:val="center"/>
      </w:pPr>
      <w:bookmarkStart w:id="99" w:name="_Toc380087832"/>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6</w:t>
      </w:r>
      <w:r w:rsidR="00B845BE" w:rsidRPr="00F7263B">
        <w:fldChar w:fldCharType="end"/>
      </w:r>
      <w:r w:rsidR="007111E3" w:rsidRPr="00F7263B">
        <w:t>:</w:t>
      </w:r>
      <w:r w:rsidR="0004779C" w:rsidRPr="00F7263B">
        <w:t xml:space="preserve">Summary </w:t>
      </w:r>
      <w:r w:rsidR="001D2940" w:rsidRPr="00F7263B">
        <w:t>Environmental and Social Systems Assessment</w:t>
      </w:r>
      <w:bookmarkEnd w:id="98"/>
      <w:bookmarkEnd w:id="99"/>
    </w:p>
    <w:p w:rsidR="00721E0D" w:rsidRPr="00F7263B" w:rsidRDefault="00721E0D" w:rsidP="00556F1B">
      <w:pPr>
        <w:jc w:val="both"/>
        <w:rPr>
          <w:rFonts w:cs="Times New Roman"/>
          <w:b/>
          <w:sz w:val="20"/>
          <w:szCs w:val="20"/>
        </w:rPr>
      </w:pPr>
    </w:p>
    <w:p w:rsidR="006E7278" w:rsidRPr="00F7263B" w:rsidRDefault="005574D5" w:rsidP="00827BD7">
      <w:pPr>
        <w:pStyle w:val="ListParagraph"/>
        <w:numPr>
          <w:ilvl w:val="0"/>
          <w:numId w:val="22"/>
        </w:numPr>
        <w:autoSpaceDE w:val="0"/>
        <w:autoSpaceDN w:val="0"/>
        <w:adjustRightInd w:val="0"/>
        <w:ind w:left="0" w:firstLine="0"/>
        <w:jc w:val="both"/>
        <w:rPr>
          <w:rFonts w:cs="Times New Roman"/>
          <w:sz w:val="20"/>
          <w:szCs w:val="20"/>
        </w:rPr>
      </w:pPr>
      <w:r w:rsidRPr="00F7263B">
        <w:rPr>
          <w:rFonts w:cs="Times New Roman"/>
          <w:b/>
          <w:sz w:val="20"/>
          <w:szCs w:val="20"/>
        </w:rPr>
        <w:t>In accordance with the requirements outlined in the OP9.0, an Environment and Social Systems Assessment (ESSA) has been undertaken</w:t>
      </w:r>
      <w:r w:rsidR="00FE7169" w:rsidRPr="00F7263B">
        <w:rPr>
          <w:rFonts w:cs="Times New Roman"/>
          <w:sz w:val="20"/>
          <w:szCs w:val="20"/>
        </w:rPr>
        <w:t xml:space="preserve">. </w:t>
      </w:r>
      <w:r w:rsidRPr="00F7263B">
        <w:rPr>
          <w:rFonts w:cs="Times New Roman"/>
          <w:sz w:val="20"/>
          <w:szCs w:val="20"/>
        </w:rPr>
        <w:t xml:space="preserve">This included a comprehensive review of systems and procedures followed by </w:t>
      </w:r>
      <w:r w:rsidR="00821460" w:rsidRPr="00F7263B">
        <w:rPr>
          <w:rFonts w:cs="Times New Roman"/>
          <w:sz w:val="20"/>
          <w:szCs w:val="20"/>
        </w:rPr>
        <w:t>MUDHCo</w:t>
      </w:r>
      <w:r w:rsidRPr="00F7263B">
        <w:rPr>
          <w:rFonts w:cs="Times New Roman"/>
          <w:sz w:val="20"/>
          <w:szCs w:val="20"/>
        </w:rPr>
        <w:t>, regional, and city governments to address social and environmental issues associated with the ULGDP II. The assessment team also visited sub-projects in 14 representative cities that have been developed under the ULGDP.  A public consultation to discuss the findings was held December 4, 2013. The ESSA report provides an assessment of the extent to which the existing program procedures for social and environment conform to the core principals of environmental and social sustainability, outlined in OP9.0 (Core Principle 1: General Principle of Environmental and Social Management; Core Principle 2: Natural Habitats and Physical Cultural Resources; Core Principle 3: Public and Worker Safety; Core Principle 4: Land Acquisition; Core Principle 5: Indigenous Peoples and Vulnerable Groups; and Core Principle 6: Social Conflict).  It also recommends an action plan to address shortfalls. The ESSA in particular examined the potential environmental and social effects of the proposed Program, describes Ethiopia’s existing environmental and social management system relevant to urban sector,  presents an assessment of institutional capacity of participating cities, including institutions responsible for implementation of environment and social management, presents analyses of Ethiopia’s systems against the six core principles of environment and social sustainability named above, recommends measures to strengthen the system performance, and presents a summary of public consultation on ESSA findings and recommendation that are integrated into the ULGDP II design.</w:t>
      </w:r>
    </w:p>
    <w:p w:rsidR="005574D5" w:rsidRPr="00F7263B" w:rsidRDefault="005574D5" w:rsidP="00556F1B">
      <w:pPr>
        <w:pStyle w:val="ListParagraph"/>
        <w:autoSpaceDE w:val="0"/>
        <w:autoSpaceDN w:val="0"/>
        <w:adjustRightInd w:val="0"/>
        <w:ind w:left="0"/>
        <w:jc w:val="both"/>
        <w:rPr>
          <w:rFonts w:cs="Times New Roman"/>
          <w:sz w:val="20"/>
          <w:szCs w:val="20"/>
        </w:rPr>
      </w:pPr>
    </w:p>
    <w:p w:rsidR="006E7278" w:rsidRPr="00F7263B" w:rsidRDefault="005574D5" w:rsidP="00827BD7">
      <w:pPr>
        <w:pStyle w:val="ListParagraph"/>
        <w:numPr>
          <w:ilvl w:val="0"/>
          <w:numId w:val="22"/>
        </w:numPr>
        <w:autoSpaceDE w:val="0"/>
        <w:autoSpaceDN w:val="0"/>
        <w:adjustRightInd w:val="0"/>
        <w:ind w:left="0" w:firstLine="0"/>
        <w:jc w:val="both"/>
        <w:rPr>
          <w:rFonts w:cs="Times New Roman"/>
          <w:sz w:val="20"/>
          <w:szCs w:val="20"/>
          <w:lang w:val="en-GB"/>
        </w:rPr>
      </w:pPr>
      <w:r w:rsidRPr="00F7263B">
        <w:rPr>
          <w:rFonts w:cs="Times New Roman"/>
          <w:b/>
          <w:sz w:val="20"/>
          <w:szCs w:val="20"/>
        </w:rPr>
        <w:t>Activities to be financed under the ULGDP II will be same as those being financed under the ULGDP</w:t>
      </w:r>
      <w:r w:rsidRPr="00F7263B">
        <w:rPr>
          <w:rFonts w:cs="Times New Roman"/>
          <w:sz w:val="20"/>
          <w:szCs w:val="20"/>
        </w:rPr>
        <w:t>.  These include core urban infrastructure investments in roads, water supply, sanitation, solid waste, public parks and greenery, and street lighting.  Each city’s capital investment plan (CIP) will exclude all activities that are category “A” type of activities, as part of a well-defined investment menu under ULG responsibility to maximum gains and minimize the risks.</w:t>
      </w:r>
    </w:p>
    <w:p w:rsidR="005574D5" w:rsidRPr="00F7263B" w:rsidRDefault="005574D5" w:rsidP="00556F1B">
      <w:pPr>
        <w:pStyle w:val="ListParagraph"/>
        <w:autoSpaceDE w:val="0"/>
        <w:autoSpaceDN w:val="0"/>
        <w:adjustRightInd w:val="0"/>
        <w:ind w:left="0"/>
        <w:jc w:val="both"/>
        <w:rPr>
          <w:rFonts w:cs="Times New Roman"/>
          <w:sz w:val="20"/>
          <w:szCs w:val="20"/>
        </w:rPr>
      </w:pPr>
    </w:p>
    <w:p w:rsidR="006E7278" w:rsidRPr="00F7263B" w:rsidRDefault="005574D5" w:rsidP="00827BD7">
      <w:pPr>
        <w:pStyle w:val="ListParagraph"/>
        <w:numPr>
          <w:ilvl w:val="0"/>
          <w:numId w:val="22"/>
        </w:numPr>
        <w:autoSpaceDE w:val="0"/>
        <w:autoSpaceDN w:val="0"/>
        <w:adjustRightInd w:val="0"/>
        <w:ind w:left="0" w:firstLine="0"/>
        <w:jc w:val="both"/>
        <w:rPr>
          <w:rFonts w:cs="Times New Roman"/>
          <w:sz w:val="20"/>
          <w:szCs w:val="20"/>
          <w:lang w:val="en-GB"/>
        </w:rPr>
      </w:pPr>
      <w:r w:rsidRPr="00F7263B">
        <w:rPr>
          <w:rFonts w:cs="Times New Roman"/>
          <w:b/>
          <w:sz w:val="20"/>
          <w:szCs w:val="20"/>
        </w:rPr>
        <w:t>The ESSA confirms that Ethiopia has adequate legal framework for environmental and social management in the urban sector</w:t>
      </w:r>
      <w:r w:rsidRPr="00F7263B">
        <w:rPr>
          <w:rFonts w:cs="Times New Roman"/>
          <w:sz w:val="20"/>
          <w:szCs w:val="20"/>
        </w:rPr>
        <w:t xml:space="preserve">.  Specifically, the countryhas a robust set of environment and social regulations,a functioning court system, and accountability provisions integrated into system. However, the quality implementation and the effectiveness of existing provisions of the environment and social regulations are very uneven. An assessment of environmental and social regulations, policies and procedures, including institutional capacity and practices indicate a </w:t>
      </w:r>
      <w:r w:rsidRPr="00F7263B">
        <w:rPr>
          <w:rFonts w:cs="Times New Roman"/>
          <w:b/>
          <w:sz w:val="20"/>
          <w:szCs w:val="20"/>
        </w:rPr>
        <w:t>moderate level of environment and social risks</w:t>
      </w:r>
      <w:r w:rsidRPr="00F7263B">
        <w:rPr>
          <w:rFonts w:cs="Times New Roman"/>
          <w:sz w:val="20"/>
          <w:szCs w:val="20"/>
        </w:rPr>
        <w:t xml:space="preserve"> associated with the program design and implementation. Many of the risks relate to implementation stage, including lack of application of standard procedures for risk screening and implementation of mitigation measures among ULGs, lack of coordination among various agencies, and lack of technical capacity and resources. Given a significant variation in the capacity of participating ULGs for environment and social management of risks, the ESSA identified the following three key areas for strengthening:</w:t>
      </w:r>
    </w:p>
    <w:p w:rsidR="005574D5" w:rsidRPr="00F7263B" w:rsidRDefault="005574D5" w:rsidP="00556F1B">
      <w:pPr>
        <w:pStyle w:val="NoSpacing"/>
        <w:ind w:left="360"/>
        <w:jc w:val="both"/>
        <w:rPr>
          <w:rFonts w:ascii="Times New Roman" w:hAnsi="Times New Roman" w:cs="Times New Roman"/>
          <w:sz w:val="20"/>
          <w:szCs w:val="20"/>
          <w:lang w:val="en-GB"/>
        </w:rPr>
      </w:pPr>
    </w:p>
    <w:p w:rsidR="005574D5" w:rsidRPr="00F7263B" w:rsidRDefault="005574D5" w:rsidP="00D92D63">
      <w:pPr>
        <w:pStyle w:val="NoSpacing"/>
        <w:numPr>
          <w:ilvl w:val="0"/>
          <w:numId w:val="20"/>
        </w:numPr>
        <w:jc w:val="both"/>
        <w:rPr>
          <w:rFonts w:ascii="Times New Roman" w:hAnsi="Times New Roman" w:cs="Times New Roman"/>
          <w:sz w:val="20"/>
          <w:szCs w:val="20"/>
          <w:lang w:val="en-GB"/>
        </w:rPr>
      </w:pPr>
      <w:r w:rsidRPr="00F7263B">
        <w:rPr>
          <w:rFonts w:ascii="Times New Roman" w:hAnsi="Times New Roman" w:cs="Times New Roman"/>
          <w:i/>
          <w:sz w:val="20"/>
          <w:szCs w:val="20"/>
          <w:lang w:val="en-GB"/>
        </w:rPr>
        <w:t>Defining an environmental and social management system at city level.</w:t>
      </w:r>
      <w:r w:rsidRPr="00F7263B">
        <w:rPr>
          <w:rFonts w:ascii="Times New Roman" w:hAnsi="Times New Roman" w:cs="Times New Roman"/>
          <w:sz w:val="20"/>
          <w:szCs w:val="20"/>
        </w:rPr>
        <w:t xml:space="preserve">  Under the ULGDP II, as a minimum condition, ULGs must demonstrate that they have established a functional system for environmental and social management that outlines specific roles and responsibilities for environmental and social risk screening, due diligence and regulatory requirements, consultation and coordination with other local and regional agencies, technical tools for implementation and monitoring, a staffing and capacity building plan, and the like. After the first year, ULGs will be required to demonstrate that all projects are screened for impacts and mitigation measures defined, and that all projects have environmental approvals from the REPAs prior to initiating works. </w:t>
      </w:r>
      <w:r w:rsidRPr="00F7263B">
        <w:rPr>
          <w:rFonts w:ascii="Times New Roman" w:hAnsi="Times New Roman" w:cs="Times New Roman"/>
          <w:bCs/>
          <w:sz w:val="20"/>
          <w:szCs w:val="20"/>
        </w:rPr>
        <w:t xml:space="preserve">Experiences from the ULGDP indicate that environment and social development specialists at </w:t>
      </w:r>
      <w:r w:rsidR="00821460" w:rsidRPr="00F7263B">
        <w:rPr>
          <w:rFonts w:ascii="Times New Roman" w:hAnsi="Times New Roman" w:cs="Times New Roman"/>
          <w:bCs/>
          <w:sz w:val="20"/>
          <w:szCs w:val="20"/>
        </w:rPr>
        <w:t>MUDHCo</w:t>
      </w:r>
      <w:r w:rsidRPr="00F7263B">
        <w:rPr>
          <w:rFonts w:ascii="Times New Roman" w:hAnsi="Times New Roman" w:cs="Times New Roman"/>
          <w:bCs/>
          <w:sz w:val="20"/>
          <w:szCs w:val="20"/>
        </w:rPr>
        <w:t xml:space="preserve"> have been satisfactorily managing environmental and social risks for cities.  However, operational capacity at city and regional levels needs to be strengthened to ensure that procedures—screening of subprojects for environmental risks, preparation and implementation of Environment and Social Management Plan (ESMP), and monitoring under ULGDP II—are adhered to.  This is especially important to support the 26 cities that will join the Program.  </w:t>
      </w:r>
    </w:p>
    <w:p w:rsidR="005574D5" w:rsidRPr="00F7263B" w:rsidRDefault="005574D5" w:rsidP="00556F1B">
      <w:pPr>
        <w:pStyle w:val="NoSpacing"/>
        <w:ind w:left="720"/>
        <w:jc w:val="both"/>
        <w:rPr>
          <w:rFonts w:ascii="Times New Roman" w:hAnsi="Times New Roman" w:cs="Times New Roman"/>
          <w:sz w:val="20"/>
          <w:szCs w:val="20"/>
          <w:lang w:val="en-GB"/>
        </w:rPr>
      </w:pPr>
    </w:p>
    <w:p w:rsidR="005574D5" w:rsidRPr="00F7263B" w:rsidRDefault="005574D5" w:rsidP="00D92D63">
      <w:pPr>
        <w:pStyle w:val="NoSpacing"/>
        <w:numPr>
          <w:ilvl w:val="0"/>
          <w:numId w:val="20"/>
        </w:numPr>
        <w:jc w:val="both"/>
        <w:rPr>
          <w:rFonts w:ascii="Times New Roman" w:hAnsi="Times New Roman" w:cs="Times New Roman"/>
          <w:sz w:val="20"/>
          <w:szCs w:val="20"/>
          <w:lang w:val="en-GB"/>
        </w:rPr>
      </w:pPr>
      <w:r w:rsidRPr="00F7263B">
        <w:rPr>
          <w:rFonts w:ascii="Times New Roman" w:hAnsi="Times New Roman" w:cs="Times New Roman"/>
          <w:i/>
          <w:sz w:val="20"/>
          <w:szCs w:val="20"/>
          <w:lang w:val="en-GB"/>
        </w:rPr>
        <w:t>Technical guidance and capacity building.</w:t>
      </w:r>
      <w:r w:rsidRPr="00F7263B">
        <w:rPr>
          <w:rFonts w:ascii="Times New Roman" w:hAnsi="Times New Roman" w:cs="Times New Roman"/>
          <w:sz w:val="20"/>
          <w:szCs w:val="20"/>
          <w:lang w:val="en-GB"/>
        </w:rPr>
        <w:t>U</w:t>
      </w:r>
      <w:r w:rsidRPr="00F7263B">
        <w:rPr>
          <w:rFonts w:ascii="Times New Roman" w:hAnsi="Times New Roman" w:cs="Times New Roman"/>
          <w:sz w:val="20"/>
          <w:szCs w:val="20"/>
        </w:rPr>
        <w:t xml:space="preserve">LGs can benefit significantly from sector specific technical guidelines that integrate environmental and social requirements for activities such as road construction, waste management, management of slaughter houses, provision of water supply, and others. The </w:t>
      </w:r>
      <w:r w:rsidR="00821460" w:rsidRPr="00F7263B">
        <w:rPr>
          <w:rFonts w:ascii="Times New Roman" w:hAnsi="Times New Roman" w:cs="Times New Roman"/>
          <w:sz w:val="20"/>
          <w:szCs w:val="20"/>
        </w:rPr>
        <w:t>MUDHCo</w:t>
      </w:r>
      <w:r w:rsidRPr="00F7263B">
        <w:rPr>
          <w:rFonts w:ascii="Times New Roman" w:hAnsi="Times New Roman" w:cs="Times New Roman"/>
          <w:sz w:val="20"/>
          <w:szCs w:val="20"/>
        </w:rPr>
        <w:t xml:space="preserve"> is compiling such guidelines to be shared with the ULGs. Participating ULGs have learned from the </w:t>
      </w:r>
      <w:r w:rsidRPr="00F7263B">
        <w:rPr>
          <w:rFonts w:ascii="Times New Roman" w:hAnsi="Times New Roman" w:cs="Times New Roman"/>
          <w:sz w:val="20"/>
          <w:szCs w:val="20"/>
        </w:rPr>
        <w:lastRenderedPageBreak/>
        <w:t>experience implementing the</w:t>
      </w:r>
      <w:r w:rsidR="005012F9" w:rsidRPr="00F7263B">
        <w:rPr>
          <w:rFonts w:ascii="Times New Roman" w:hAnsi="Times New Roman" w:cs="Times New Roman"/>
          <w:sz w:val="20"/>
          <w:szCs w:val="20"/>
        </w:rPr>
        <w:t xml:space="preserve"> environmental and social management f</w:t>
      </w:r>
      <w:r w:rsidRPr="00F7263B">
        <w:rPr>
          <w:rFonts w:ascii="Times New Roman" w:hAnsi="Times New Roman" w:cs="Times New Roman"/>
          <w:sz w:val="20"/>
          <w:szCs w:val="20"/>
        </w:rPr>
        <w:t>ramework developed under the ULGDP, the areas that require strengthening through a robust capacity building plan. Also</w:t>
      </w:r>
      <w:r w:rsidRPr="00F7263B">
        <w:rPr>
          <w:rFonts w:ascii="Times New Roman" w:hAnsi="Times New Roman" w:cs="Times New Roman"/>
          <w:bCs/>
          <w:sz w:val="20"/>
          <w:szCs w:val="20"/>
        </w:rPr>
        <w:t xml:space="preserve">, it is important that regions ensure that ULGs are assisted from the planning through implementation and results monitoring, including independent monitoring and verification against a baseline so that future progress can be monitored and assessed against a baseline.  </w:t>
      </w:r>
    </w:p>
    <w:p w:rsidR="005574D5" w:rsidRPr="00F7263B" w:rsidRDefault="005574D5" w:rsidP="00556F1B">
      <w:pPr>
        <w:pStyle w:val="NoSpacing"/>
        <w:jc w:val="both"/>
        <w:rPr>
          <w:rFonts w:ascii="Times New Roman" w:hAnsi="Times New Roman" w:cs="Times New Roman"/>
          <w:sz w:val="20"/>
          <w:szCs w:val="20"/>
          <w:lang w:val="en-GB"/>
        </w:rPr>
      </w:pPr>
    </w:p>
    <w:p w:rsidR="005574D5" w:rsidRPr="00F7263B" w:rsidRDefault="005574D5" w:rsidP="00D92D63">
      <w:pPr>
        <w:pStyle w:val="NoSpacing"/>
        <w:numPr>
          <w:ilvl w:val="0"/>
          <w:numId w:val="20"/>
        </w:numPr>
        <w:jc w:val="both"/>
        <w:rPr>
          <w:rFonts w:ascii="Times New Roman" w:hAnsi="Times New Roman" w:cs="Times New Roman"/>
          <w:sz w:val="20"/>
          <w:szCs w:val="20"/>
          <w:lang w:val="en-GB"/>
        </w:rPr>
      </w:pPr>
      <w:r w:rsidRPr="00F7263B">
        <w:rPr>
          <w:rFonts w:ascii="Times New Roman" w:hAnsi="Times New Roman" w:cs="Times New Roman"/>
          <w:i/>
          <w:sz w:val="20"/>
          <w:szCs w:val="20"/>
          <w:lang w:val="en-GB"/>
        </w:rPr>
        <w:t xml:space="preserve">Addressing resource constraints. </w:t>
      </w:r>
      <w:r w:rsidRPr="00F7263B">
        <w:rPr>
          <w:rFonts w:ascii="Times New Roman" w:hAnsi="Times New Roman" w:cs="Times New Roman"/>
          <w:sz w:val="20"/>
          <w:szCs w:val="20"/>
          <w:lang w:val="en-GB"/>
        </w:rPr>
        <w:t xml:space="preserve">This area includes measures to overcome constraints with respect to human and financial resources, through the Program incentive structure, as well as capacity building and training. </w:t>
      </w:r>
      <w:r w:rsidRPr="00F7263B">
        <w:rPr>
          <w:rFonts w:ascii="Times New Roman" w:hAnsi="Times New Roman" w:cs="Times New Roman"/>
          <w:sz w:val="20"/>
          <w:szCs w:val="20"/>
        </w:rPr>
        <w:t>A capacity building and training program will be key to ensure that staff within ULGs clearly understand</w:t>
      </w:r>
      <w:r w:rsidR="002430A3" w:rsidRPr="00F7263B">
        <w:rPr>
          <w:rFonts w:ascii="Times New Roman" w:hAnsi="Times New Roman" w:cs="Times New Roman"/>
          <w:sz w:val="20"/>
          <w:szCs w:val="20"/>
        </w:rPr>
        <w:t>s</w:t>
      </w:r>
      <w:r w:rsidRPr="00F7263B">
        <w:rPr>
          <w:rFonts w:ascii="Times New Roman" w:hAnsi="Times New Roman" w:cs="Times New Roman"/>
          <w:sz w:val="20"/>
          <w:szCs w:val="20"/>
        </w:rPr>
        <w:t xml:space="preserve"> their roles, have the capacity to fulfill them, and clearly understand how outcomes will be evaluated through the annual performance assessment.</w:t>
      </w:r>
    </w:p>
    <w:p w:rsidR="005574D5" w:rsidRPr="00F7263B" w:rsidRDefault="005574D5" w:rsidP="00556F1B">
      <w:pPr>
        <w:pStyle w:val="NoSpacing"/>
        <w:jc w:val="both"/>
        <w:rPr>
          <w:rFonts w:ascii="Times New Roman" w:hAnsi="Times New Roman" w:cs="Times New Roman"/>
          <w:bCs/>
          <w:sz w:val="20"/>
          <w:szCs w:val="20"/>
        </w:rPr>
      </w:pPr>
    </w:p>
    <w:p w:rsidR="006E7278" w:rsidRPr="00F7263B" w:rsidRDefault="00452390" w:rsidP="00A21FC7">
      <w:pPr>
        <w:pStyle w:val="ListParagraph"/>
        <w:numPr>
          <w:ilvl w:val="0"/>
          <w:numId w:val="22"/>
        </w:numPr>
        <w:autoSpaceDE w:val="0"/>
        <w:autoSpaceDN w:val="0"/>
        <w:adjustRightInd w:val="0"/>
        <w:ind w:left="0" w:firstLine="0"/>
        <w:jc w:val="both"/>
        <w:rPr>
          <w:rFonts w:cs="Times New Roman"/>
          <w:sz w:val="20"/>
          <w:szCs w:val="20"/>
        </w:rPr>
      </w:pPr>
      <w:r w:rsidRPr="00F7263B">
        <w:rPr>
          <w:rFonts w:cs="Times New Roman"/>
          <w:b/>
          <w:sz w:val="20"/>
          <w:szCs w:val="20"/>
        </w:rPr>
        <w:t>The institutional arrangements for program implementation will be strengthened based on the experiences from the ULGDP</w:t>
      </w:r>
      <w:r w:rsidRPr="00F7263B">
        <w:rPr>
          <w:rFonts w:cs="Times New Roman"/>
          <w:sz w:val="20"/>
          <w:szCs w:val="20"/>
        </w:rPr>
        <w:t xml:space="preserve">. There will be a clear division of tasks and responsibilities between federal, regional, and local governments, consistent with existing legal provisions, regulations and guidelines. At the federal level, the </w:t>
      </w:r>
      <w:r w:rsidR="00821460" w:rsidRPr="00F7263B">
        <w:rPr>
          <w:rFonts w:cs="Times New Roman"/>
          <w:sz w:val="20"/>
          <w:szCs w:val="20"/>
        </w:rPr>
        <w:t>MUDHCo</w:t>
      </w:r>
      <w:r w:rsidRPr="00F7263B">
        <w:rPr>
          <w:rFonts w:cs="Times New Roman"/>
          <w:sz w:val="20"/>
          <w:szCs w:val="20"/>
        </w:rPr>
        <w:t xml:space="preserve"> will have a core team of environment and social specialists to be responsible for coordination and capacity building of ULGs and regions. At the regional level, the BUDs assisted by REPAs will be responsible for environmental and social aspects of the program.  At the local level, the OUDs staffed with environment and social development specialists will be responsible for effective environment and social management.The division of tasks is presented in the ULGDP II</w:t>
      </w:r>
      <w:r w:rsidR="007414BF" w:rsidRPr="00F7263B">
        <w:rPr>
          <w:rFonts w:cs="Times New Roman"/>
          <w:sz w:val="20"/>
          <w:szCs w:val="20"/>
        </w:rPr>
        <w:t>Operational Manual</w:t>
      </w:r>
      <w:r w:rsidRPr="00F7263B">
        <w:rPr>
          <w:rFonts w:cs="Times New Roman"/>
          <w:sz w:val="20"/>
          <w:szCs w:val="20"/>
        </w:rPr>
        <w:t xml:space="preserve">, which will be updated prior to the start of the Program. </w:t>
      </w:r>
    </w:p>
    <w:p w:rsidR="00452390" w:rsidRPr="00F7263B" w:rsidRDefault="00452390" w:rsidP="00452390">
      <w:pPr>
        <w:pStyle w:val="NoSpacing"/>
        <w:jc w:val="both"/>
        <w:rPr>
          <w:rFonts w:ascii="Times New Roman" w:hAnsi="Times New Roman" w:cs="Times New Roman"/>
          <w:bCs/>
          <w:sz w:val="20"/>
          <w:szCs w:val="20"/>
        </w:rPr>
      </w:pPr>
    </w:p>
    <w:p w:rsidR="006E7278" w:rsidRPr="00F7263B" w:rsidRDefault="00452390" w:rsidP="00A21FC7">
      <w:pPr>
        <w:pStyle w:val="ListParagraph"/>
        <w:numPr>
          <w:ilvl w:val="0"/>
          <w:numId w:val="22"/>
        </w:numPr>
        <w:autoSpaceDE w:val="0"/>
        <w:autoSpaceDN w:val="0"/>
        <w:adjustRightInd w:val="0"/>
        <w:ind w:left="0" w:firstLine="0"/>
        <w:jc w:val="both"/>
        <w:rPr>
          <w:rFonts w:cs="Times New Roman"/>
          <w:sz w:val="20"/>
          <w:szCs w:val="20"/>
        </w:rPr>
      </w:pPr>
      <w:r w:rsidRPr="00F7263B">
        <w:rPr>
          <w:rFonts w:cs="Times New Roman"/>
          <w:b/>
          <w:sz w:val="20"/>
          <w:szCs w:val="20"/>
        </w:rPr>
        <w:t xml:space="preserve">A public consultation meeting was organized by the Bank team in </w:t>
      </w:r>
      <w:r w:rsidRPr="00F7263B">
        <w:rPr>
          <w:rFonts w:cs="Times New Roman"/>
          <w:sz w:val="20"/>
          <w:szCs w:val="20"/>
        </w:rPr>
        <w:t>partnership</w:t>
      </w:r>
      <w:r w:rsidRPr="00F7263B">
        <w:rPr>
          <w:rFonts w:cs="Times New Roman"/>
          <w:b/>
          <w:sz w:val="20"/>
          <w:szCs w:val="20"/>
        </w:rPr>
        <w:t xml:space="preserve"> with </w:t>
      </w:r>
      <w:r w:rsidR="00276BC8" w:rsidRPr="00F7263B">
        <w:rPr>
          <w:rFonts w:cs="Times New Roman"/>
          <w:b/>
          <w:sz w:val="20"/>
          <w:szCs w:val="20"/>
        </w:rPr>
        <w:t>MUDHCo</w:t>
      </w:r>
      <w:r w:rsidRPr="00F7263B">
        <w:rPr>
          <w:rFonts w:cs="Times New Roman"/>
          <w:b/>
          <w:sz w:val="20"/>
          <w:szCs w:val="20"/>
        </w:rPr>
        <w:t xml:space="preserve"> at Ethiopian Management Institute campus in Bishoftu on December 4, 2013 to discuss with various stakeholders the key findings and proposed recommendations.</w:t>
      </w:r>
      <w:r w:rsidRPr="00F7263B">
        <w:rPr>
          <w:rFonts w:cs="Times New Roman"/>
          <w:sz w:val="20"/>
          <w:szCs w:val="20"/>
        </w:rPr>
        <w:t xml:space="preserve"> The public consultation meeting was attended by more than 100 stakeholders from various participating cities from 9 regions, who actively participated and contributed to the consultation objectives. Presentations were made by the Bank team on program details; ESSA process, findings and recommendations, supported by </w:t>
      </w:r>
      <w:r w:rsidR="00276BC8" w:rsidRPr="00F7263B">
        <w:rPr>
          <w:rFonts w:cs="Times New Roman"/>
          <w:sz w:val="20"/>
          <w:szCs w:val="20"/>
        </w:rPr>
        <w:t>MUDHCo</w:t>
      </w:r>
      <w:r w:rsidRPr="00F7263B">
        <w:rPr>
          <w:rFonts w:cs="Times New Roman"/>
          <w:sz w:val="20"/>
          <w:szCs w:val="20"/>
        </w:rPr>
        <w:t xml:space="preserve"> own assessment of ESSA process and lessons from existing ULGD project. Key points raised by participants pertained to - design of the program; process required for access funding; areas to improve environmental and social management at ULGs and regional EPA level; issues pertaining to dealing with encroachers and squatters; issues of  EIA screening and scoping requirements; challenges in implementation monitoring and reporting; environment and social management capacity of REPA and ULGs; lack of capacity in new participating ULGs; issues in dealing deal with vulnerable population. The meeting participants provided broad support to the program, including ESSA's key findings and approach towards capacity building, going forward. The meeting endorsed the recommended approach taken to integrate the environment and social sustainability requirements into the program Disbursement Linked Indicators (DLIs); and focus on incentives for improved performance with respect to environment and social management at ULG level, regions and </w:t>
      </w:r>
      <w:r w:rsidR="00276BC8" w:rsidRPr="00F7263B">
        <w:rPr>
          <w:rFonts w:cs="Times New Roman"/>
          <w:sz w:val="20"/>
          <w:szCs w:val="20"/>
        </w:rPr>
        <w:t>MUDHCo</w:t>
      </w:r>
      <w:r w:rsidRPr="00F7263B">
        <w:rPr>
          <w:rFonts w:cs="Times New Roman"/>
          <w:sz w:val="20"/>
          <w:szCs w:val="20"/>
        </w:rPr>
        <w:t xml:space="preserve">. The Bank team, agreed to consider comments received during public consultation meeting, while revising the ESSA, as well as, any additional written comments received until December 20, 2013. A revised ESSA will be re-disclosed through </w:t>
      </w:r>
      <w:r w:rsidR="00276BC8" w:rsidRPr="00F7263B">
        <w:rPr>
          <w:rFonts w:cs="Times New Roman"/>
          <w:sz w:val="20"/>
          <w:szCs w:val="20"/>
        </w:rPr>
        <w:t>MUDHCo</w:t>
      </w:r>
      <w:r w:rsidRPr="00F7263B">
        <w:rPr>
          <w:rFonts w:cs="Times New Roman"/>
          <w:sz w:val="20"/>
          <w:szCs w:val="20"/>
        </w:rPr>
        <w:t xml:space="preserve"> website and Banks' Info shop by January 5, 2014. </w:t>
      </w:r>
    </w:p>
    <w:p w:rsidR="00452390" w:rsidRPr="00F7263B" w:rsidRDefault="00452390" w:rsidP="00452390">
      <w:pPr>
        <w:pStyle w:val="ListParagraph"/>
        <w:autoSpaceDE w:val="0"/>
        <w:autoSpaceDN w:val="0"/>
        <w:adjustRightInd w:val="0"/>
        <w:ind w:left="0"/>
        <w:jc w:val="both"/>
        <w:rPr>
          <w:rFonts w:cs="Times New Roman"/>
          <w:sz w:val="20"/>
          <w:szCs w:val="20"/>
        </w:rPr>
      </w:pPr>
    </w:p>
    <w:p w:rsidR="006E7278" w:rsidRPr="00F7263B" w:rsidRDefault="00452390" w:rsidP="00A21FC7">
      <w:pPr>
        <w:pStyle w:val="ListParagraph"/>
        <w:numPr>
          <w:ilvl w:val="0"/>
          <w:numId w:val="22"/>
        </w:numPr>
        <w:autoSpaceDE w:val="0"/>
        <w:autoSpaceDN w:val="0"/>
        <w:adjustRightInd w:val="0"/>
        <w:ind w:left="0" w:firstLine="0"/>
        <w:jc w:val="both"/>
        <w:rPr>
          <w:rFonts w:cs="Times New Roman"/>
          <w:sz w:val="20"/>
          <w:szCs w:val="20"/>
        </w:rPr>
      </w:pPr>
      <w:r w:rsidRPr="00F7263B">
        <w:rPr>
          <w:rFonts w:cs="Times New Roman"/>
          <w:sz w:val="20"/>
          <w:szCs w:val="20"/>
        </w:rPr>
        <w:t>The ULGDP II is addressing environmental and social challenges and gaps by including features in its Program design. For example, the following are included in the minimum access conditions:</w:t>
      </w:r>
    </w:p>
    <w:p w:rsidR="00A21FC7" w:rsidRPr="00F7263B" w:rsidRDefault="00A21FC7" w:rsidP="00A21FC7">
      <w:pPr>
        <w:pStyle w:val="ListParagraph"/>
        <w:rPr>
          <w:rFonts w:cs="Times New Roman"/>
          <w:sz w:val="20"/>
          <w:szCs w:val="20"/>
        </w:rPr>
      </w:pPr>
    </w:p>
    <w:p w:rsidR="005574D5" w:rsidRPr="00F7263B" w:rsidRDefault="005574D5" w:rsidP="00D92D63">
      <w:pPr>
        <w:pStyle w:val="NoSpacing"/>
        <w:numPr>
          <w:ilvl w:val="0"/>
          <w:numId w:val="20"/>
        </w:numPr>
        <w:jc w:val="both"/>
        <w:rPr>
          <w:rFonts w:ascii="Times New Roman" w:hAnsi="Times New Roman" w:cs="Times New Roman"/>
          <w:sz w:val="20"/>
          <w:szCs w:val="20"/>
        </w:rPr>
      </w:pPr>
      <w:r w:rsidRPr="00F7263B">
        <w:rPr>
          <w:rFonts w:ascii="Times New Roman" w:hAnsi="Times New Roman" w:cs="Times New Roman"/>
          <w:b/>
          <w:sz w:val="20"/>
          <w:szCs w:val="20"/>
        </w:rPr>
        <w:t>Prior agreement and advance planning for environmental and social risk screening</w:t>
      </w:r>
      <w:r w:rsidRPr="00F7263B">
        <w:rPr>
          <w:rFonts w:ascii="Times New Roman" w:hAnsi="Times New Roman" w:cs="Times New Roman"/>
          <w:sz w:val="20"/>
          <w:szCs w:val="20"/>
        </w:rPr>
        <w:t xml:space="preserve">. A Participatory Performance Agreement (PPA) and an approved </w:t>
      </w:r>
      <w:r w:rsidR="00452390" w:rsidRPr="00F7263B">
        <w:rPr>
          <w:rFonts w:ascii="Times New Roman" w:hAnsi="Times New Roman" w:cs="Times New Roman"/>
          <w:sz w:val="20"/>
          <w:szCs w:val="20"/>
        </w:rPr>
        <w:t>city level ESMS document</w:t>
      </w:r>
      <w:r w:rsidRPr="00F7263B">
        <w:rPr>
          <w:rFonts w:ascii="Times New Roman" w:hAnsi="Times New Roman" w:cs="Times New Roman"/>
          <w:sz w:val="20"/>
          <w:szCs w:val="20"/>
        </w:rPr>
        <w:t xml:space="preserve">will allow timely environment and social risk-screening and monitoring before endorsing environmentally and socially sensitive investments. </w:t>
      </w:r>
    </w:p>
    <w:p w:rsidR="005574D5" w:rsidRPr="00F7263B" w:rsidRDefault="005574D5" w:rsidP="00D92D63">
      <w:pPr>
        <w:pStyle w:val="NoSpacing"/>
        <w:numPr>
          <w:ilvl w:val="0"/>
          <w:numId w:val="20"/>
        </w:numPr>
        <w:jc w:val="both"/>
        <w:rPr>
          <w:rFonts w:ascii="Times New Roman" w:hAnsi="Times New Roman" w:cs="Times New Roman"/>
          <w:sz w:val="20"/>
          <w:szCs w:val="20"/>
        </w:rPr>
      </w:pPr>
      <w:r w:rsidRPr="00F7263B">
        <w:rPr>
          <w:rFonts w:ascii="Times New Roman" w:hAnsi="Times New Roman" w:cs="Times New Roman"/>
          <w:b/>
          <w:sz w:val="20"/>
          <w:szCs w:val="20"/>
        </w:rPr>
        <w:t>Institutional capacity and system</w:t>
      </w:r>
      <w:r w:rsidRPr="00F7263B">
        <w:rPr>
          <w:rFonts w:ascii="Times New Roman" w:hAnsi="Times New Roman" w:cs="Times New Roman"/>
          <w:sz w:val="20"/>
          <w:szCs w:val="20"/>
        </w:rPr>
        <w:t xml:space="preserve">.  Key positions, including environment and social development specialists, will be in place at </w:t>
      </w:r>
      <w:r w:rsidR="00821460" w:rsidRPr="00F7263B">
        <w:rPr>
          <w:rFonts w:ascii="Times New Roman" w:hAnsi="Times New Roman" w:cs="Times New Roman"/>
          <w:sz w:val="20"/>
          <w:szCs w:val="20"/>
        </w:rPr>
        <w:t>MUDHCo</w:t>
      </w:r>
      <w:r w:rsidRPr="00F7263B">
        <w:rPr>
          <w:rFonts w:ascii="Times New Roman" w:hAnsi="Times New Roman" w:cs="Times New Roman"/>
          <w:sz w:val="20"/>
          <w:szCs w:val="20"/>
        </w:rPr>
        <w:t xml:space="preserve">, regional governments, and ULGs. This will ensure that there is a mechanism and capacity to screen environmental and social risks of the CIP prior to implementation. The city level Environmental and Social Management System (ESMS) will include procedures for due diligence; institutional procedures for grievance management and environmental, managing resettlement/land-take processes and environmental social mitigation and monitoring plan. </w:t>
      </w:r>
    </w:p>
    <w:p w:rsidR="00872E51" w:rsidRPr="00F7263B" w:rsidRDefault="00872E51" w:rsidP="00872E51">
      <w:pPr>
        <w:pStyle w:val="NoSpacing"/>
        <w:ind w:left="720"/>
        <w:jc w:val="both"/>
        <w:rPr>
          <w:rFonts w:ascii="Times New Roman" w:hAnsi="Times New Roman" w:cs="Times New Roman"/>
          <w:sz w:val="20"/>
          <w:szCs w:val="20"/>
        </w:rPr>
      </w:pPr>
    </w:p>
    <w:p w:rsidR="006E7278" w:rsidRPr="00F7263B" w:rsidRDefault="005574D5" w:rsidP="00056FC8">
      <w:pPr>
        <w:pStyle w:val="NoSpacing"/>
        <w:numPr>
          <w:ilvl w:val="0"/>
          <w:numId w:val="20"/>
        </w:numPr>
        <w:jc w:val="both"/>
        <w:rPr>
          <w:rFonts w:ascii="Times New Roman" w:hAnsi="Times New Roman" w:cs="Times New Roman"/>
          <w:sz w:val="20"/>
          <w:szCs w:val="20"/>
        </w:rPr>
      </w:pPr>
      <w:r w:rsidRPr="00F7263B">
        <w:rPr>
          <w:rFonts w:ascii="Times New Roman" w:hAnsi="Times New Roman" w:cs="Times New Roman"/>
          <w:b/>
          <w:sz w:val="20"/>
          <w:szCs w:val="20"/>
        </w:rPr>
        <w:t>Grievance and redress system</w:t>
      </w:r>
      <w:r w:rsidRPr="00F7263B">
        <w:rPr>
          <w:rFonts w:ascii="Times New Roman" w:hAnsi="Times New Roman" w:cs="Times New Roman"/>
          <w:sz w:val="20"/>
          <w:szCs w:val="20"/>
        </w:rPr>
        <w:t xml:space="preserve">.  A grievance redress mechanism committee will be in place, with members who represent the interest of potentially affected people.  The committee will receive, review, and </w:t>
      </w:r>
      <w:r w:rsidRPr="00F7263B">
        <w:rPr>
          <w:rFonts w:ascii="Times New Roman" w:hAnsi="Times New Roman" w:cs="Times New Roman"/>
          <w:sz w:val="20"/>
          <w:szCs w:val="20"/>
        </w:rPr>
        <w:lastRenderedPageBreak/>
        <w:t>address complaints related to environmental degradation, environmental health impacts on people, and loss of</w:t>
      </w:r>
      <w:r w:rsidR="00056FC8" w:rsidRPr="00F7263B">
        <w:rPr>
          <w:rFonts w:ascii="Times New Roman" w:hAnsi="Times New Roman" w:cs="Times New Roman"/>
          <w:sz w:val="20"/>
          <w:szCs w:val="20"/>
        </w:rPr>
        <w:t xml:space="preserve"> livelihood, income, or assets.</w:t>
      </w:r>
    </w:p>
    <w:p w:rsidR="005574D5" w:rsidRPr="00F7263B" w:rsidRDefault="005574D5" w:rsidP="00556F1B">
      <w:pPr>
        <w:pStyle w:val="NoSpacing"/>
        <w:jc w:val="both"/>
        <w:rPr>
          <w:rFonts w:ascii="Times New Roman" w:hAnsi="Times New Roman" w:cs="Times New Roman"/>
          <w:sz w:val="20"/>
          <w:szCs w:val="20"/>
        </w:rPr>
      </w:pPr>
    </w:p>
    <w:p w:rsidR="006E7278" w:rsidRPr="00F7263B" w:rsidRDefault="005574D5" w:rsidP="00827BD7">
      <w:pPr>
        <w:pStyle w:val="ListParagraph"/>
        <w:numPr>
          <w:ilvl w:val="0"/>
          <w:numId w:val="22"/>
        </w:numPr>
        <w:autoSpaceDE w:val="0"/>
        <w:autoSpaceDN w:val="0"/>
        <w:adjustRightInd w:val="0"/>
        <w:ind w:left="0" w:firstLine="0"/>
        <w:jc w:val="both"/>
        <w:rPr>
          <w:rFonts w:cs="Times New Roman"/>
          <w:sz w:val="20"/>
          <w:szCs w:val="20"/>
        </w:rPr>
      </w:pPr>
      <w:r w:rsidRPr="00F7263B">
        <w:rPr>
          <w:rFonts w:cs="Times New Roman"/>
          <w:b/>
          <w:sz w:val="20"/>
          <w:szCs w:val="20"/>
        </w:rPr>
        <w:t>Pre-requisite for environmentally and socially sensitive investments</w:t>
      </w:r>
      <w:r w:rsidRPr="00F7263B">
        <w:rPr>
          <w:rFonts w:cs="Times New Roman"/>
          <w:sz w:val="20"/>
          <w:szCs w:val="20"/>
        </w:rPr>
        <w:t xml:space="preserve">.  For any investments in landfill sites, regardless of size, the ULGs will demonstrate a sound and efficient system of waste segregation, recycling, collection, transportation, and treatment before they proceed with the project </w:t>
      </w:r>
    </w:p>
    <w:p w:rsidR="001936E7" w:rsidRPr="00F7263B" w:rsidRDefault="001936E7" w:rsidP="001936E7">
      <w:pPr>
        <w:pStyle w:val="ListParagraph"/>
        <w:autoSpaceDE w:val="0"/>
        <w:autoSpaceDN w:val="0"/>
        <w:adjustRightInd w:val="0"/>
        <w:ind w:left="0"/>
        <w:jc w:val="both"/>
        <w:rPr>
          <w:rFonts w:cs="Times New Roman"/>
          <w:sz w:val="20"/>
          <w:szCs w:val="20"/>
        </w:rPr>
      </w:pPr>
    </w:p>
    <w:p w:rsidR="006E7278" w:rsidRPr="00F7263B" w:rsidRDefault="005574D5" w:rsidP="00827BD7">
      <w:pPr>
        <w:pStyle w:val="ListParagraph"/>
        <w:numPr>
          <w:ilvl w:val="0"/>
          <w:numId w:val="22"/>
        </w:numPr>
        <w:autoSpaceDE w:val="0"/>
        <w:autoSpaceDN w:val="0"/>
        <w:adjustRightInd w:val="0"/>
        <w:ind w:left="0" w:firstLine="0"/>
        <w:jc w:val="both"/>
        <w:rPr>
          <w:rFonts w:cs="Times New Roman"/>
          <w:sz w:val="20"/>
          <w:szCs w:val="20"/>
        </w:rPr>
      </w:pPr>
      <w:r w:rsidRPr="00F7263B">
        <w:rPr>
          <w:rFonts w:cs="Times New Roman"/>
          <w:b/>
          <w:sz w:val="20"/>
          <w:szCs w:val="20"/>
        </w:rPr>
        <w:t>Evidence of implementation</w:t>
      </w:r>
      <w:r w:rsidRPr="00F7263B">
        <w:rPr>
          <w:rFonts w:cs="Times New Roman"/>
          <w:sz w:val="20"/>
          <w:szCs w:val="20"/>
        </w:rPr>
        <w:t>.  The ULGs will be required to generate evidence (for independent verification) that all capital projects in the previous fiscal year were screened against the set of environment and social criteria in the planning stage, including preparation and approval by REPAs the environmental management plans and resettlement action plans.</w:t>
      </w:r>
    </w:p>
    <w:p w:rsidR="001936E7" w:rsidRPr="00F7263B" w:rsidRDefault="001936E7" w:rsidP="001936E7">
      <w:pPr>
        <w:pStyle w:val="ListParagraph"/>
        <w:rPr>
          <w:rFonts w:cs="Times New Roman"/>
          <w:b/>
          <w:sz w:val="20"/>
          <w:szCs w:val="20"/>
        </w:rPr>
      </w:pPr>
    </w:p>
    <w:p w:rsidR="006E7278" w:rsidRPr="00F7263B" w:rsidRDefault="005574D5" w:rsidP="00827BD7">
      <w:pPr>
        <w:pStyle w:val="ListParagraph"/>
        <w:numPr>
          <w:ilvl w:val="0"/>
          <w:numId w:val="22"/>
        </w:numPr>
        <w:autoSpaceDE w:val="0"/>
        <w:autoSpaceDN w:val="0"/>
        <w:adjustRightInd w:val="0"/>
        <w:ind w:left="0" w:firstLine="0"/>
        <w:jc w:val="both"/>
        <w:rPr>
          <w:rFonts w:cs="Times New Roman"/>
          <w:sz w:val="20"/>
          <w:szCs w:val="20"/>
        </w:rPr>
      </w:pPr>
      <w:r w:rsidRPr="00F7263B">
        <w:rPr>
          <w:rFonts w:cs="Times New Roman"/>
          <w:b/>
          <w:sz w:val="20"/>
          <w:szCs w:val="20"/>
        </w:rPr>
        <w:t>Incentive to ULGs for being environmental responsible and socially inclusive</w:t>
      </w:r>
      <w:r w:rsidRPr="00F7263B">
        <w:rPr>
          <w:rFonts w:cs="Times New Roman"/>
          <w:sz w:val="20"/>
          <w:szCs w:val="20"/>
        </w:rPr>
        <w:t>.  Regional governments will be able to access Program funds by monitoring verification of a functioning environment and social management system of all ULGs under their jurisdiction.</w:t>
      </w:r>
    </w:p>
    <w:p w:rsidR="005574D5" w:rsidRPr="00F7263B" w:rsidRDefault="005574D5" w:rsidP="00556F1B">
      <w:pPr>
        <w:pStyle w:val="NoSpacing"/>
        <w:ind w:left="360"/>
        <w:jc w:val="both"/>
        <w:rPr>
          <w:rFonts w:ascii="Times New Roman" w:hAnsi="Times New Roman" w:cs="Times New Roman"/>
          <w:sz w:val="20"/>
          <w:szCs w:val="20"/>
        </w:rPr>
      </w:pPr>
    </w:p>
    <w:p w:rsidR="00CE32C1" w:rsidRPr="00F7263B" w:rsidRDefault="00CE32C1" w:rsidP="00556F1B">
      <w:pPr>
        <w:jc w:val="both"/>
        <w:rPr>
          <w:rFonts w:cs="Times New Roman"/>
          <w:sz w:val="20"/>
          <w:szCs w:val="20"/>
        </w:rPr>
        <w:sectPr w:rsidR="00CE32C1" w:rsidRPr="00F7263B">
          <w:pgSz w:w="12240" w:h="15840"/>
          <w:pgMar w:top="1440" w:right="1440" w:bottom="1440" w:left="1440" w:header="720" w:footer="720" w:gutter="0"/>
          <w:cols w:space="720"/>
          <w:docGrid w:linePitch="360"/>
        </w:sectPr>
      </w:pPr>
    </w:p>
    <w:p w:rsidR="00721E0D" w:rsidRPr="00F7263B" w:rsidRDefault="001D48BE" w:rsidP="001D48BE">
      <w:pPr>
        <w:pStyle w:val="Caption"/>
        <w:jc w:val="center"/>
      </w:pPr>
      <w:bookmarkStart w:id="100" w:name="_Toc374060182"/>
      <w:bookmarkStart w:id="101" w:name="_Toc380087833"/>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7</w:t>
      </w:r>
      <w:r w:rsidR="00B845BE" w:rsidRPr="00F7263B">
        <w:fldChar w:fldCharType="end"/>
      </w:r>
      <w:r w:rsidR="00721E0D" w:rsidRPr="00F7263B">
        <w:t>: Integrated Risk Assessment</w:t>
      </w:r>
      <w:bookmarkEnd w:id="100"/>
      <w:bookmarkEnd w:id="101"/>
    </w:p>
    <w:p w:rsidR="00721E0D" w:rsidRPr="00F7263B" w:rsidRDefault="00721E0D" w:rsidP="00556F1B">
      <w:pPr>
        <w:jc w:val="both"/>
        <w:rPr>
          <w:rFonts w:cs="Times New Roman"/>
          <w:sz w:val="20"/>
          <w:szCs w:val="20"/>
        </w:rPr>
      </w:pPr>
    </w:p>
    <w:p w:rsidR="00721E0D" w:rsidRPr="00F7263B" w:rsidRDefault="00721E0D" w:rsidP="0070208A">
      <w:pPr>
        <w:jc w:val="center"/>
        <w:rPr>
          <w:rFonts w:cs="Times New Roman"/>
          <w:b/>
          <w:sz w:val="20"/>
          <w:szCs w:val="20"/>
        </w:rPr>
      </w:pPr>
      <w:r w:rsidRPr="00F7263B">
        <w:rPr>
          <w:rFonts w:cs="Times New Roman"/>
          <w:b/>
          <w:sz w:val="20"/>
          <w:szCs w:val="20"/>
        </w:rPr>
        <w:t>Ethiopia: Second Urban Local Government Development Program</w:t>
      </w:r>
    </w:p>
    <w:p w:rsidR="00721E0D" w:rsidRPr="00F7263B" w:rsidRDefault="00721E0D" w:rsidP="00556F1B">
      <w:pPr>
        <w:jc w:val="both"/>
        <w:rPr>
          <w:rFonts w:cs="Times New Roman"/>
          <w:sz w:val="20"/>
          <w:szCs w:val="20"/>
        </w:rPr>
      </w:pPr>
    </w:p>
    <w:p w:rsidR="00587AB1" w:rsidRPr="00F7263B" w:rsidRDefault="00721E0D" w:rsidP="0070208A">
      <w:pPr>
        <w:jc w:val="center"/>
        <w:rPr>
          <w:rFonts w:cs="Times New Roman"/>
          <w:b/>
          <w:sz w:val="20"/>
          <w:szCs w:val="20"/>
        </w:rPr>
      </w:pPr>
      <w:r w:rsidRPr="00F7263B">
        <w:rPr>
          <w:rFonts w:cs="Times New Roman"/>
          <w:b/>
          <w:sz w:val="20"/>
          <w:szCs w:val="20"/>
        </w:rPr>
        <w:t xml:space="preserve">Stage: </w:t>
      </w:r>
      <w:r w:rsidR="00EB2858" w:rsidRPr="00F7263B">
        <w:rPr>
          <w:rFonts w:cs="Times New Roman"/>
          <w:b/>
          <w:sz w:val="20"/>
          <w:szCs w:val="20"/>
        </w:rPr>
        <w:t>Negotiations</w:t>
      </w:r>
    </w:p>
    <w:tbl>
      <w:tblPr>
        <w:tblpPr w:leftFromText="180" w:rightFromText="180" w:vertAnchor="text" w:horzAnchor="margin" w:tblpY="256"/>
        <w:tblW w:w="12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0"/>
        <w:gridCol w:w="1170"/>
        <w:gridCol w:w="90"/>
        <w:gridCol w:w="18"/>
        <w:gridCol w:w="154"/>
        <w:gridCol w:w="188"/>
        <w:gridCol w:w="270"/>
        <w:gridCol w:w="1170"/>
        <w:gridCol w:w="18"/>
        <w:gridCol w:w="702"/>
        <w:gridCol w:w="507"/>
        <w:gridCol w:w="1383"/>
        <w:gridCol w:w="90"/>
        <w:gridCol w:w="18"/>
        <w:gridCol w:w="1782"/>
      </w:tblGrid>
      <w:tr w:rsidR="00721E0D" w:rsidRPr="00F7263B">
        <w:tc>
          <w:tcPr>
            <w:tcW w:w="12870" w:type="dxa"/>
            <w:gridSpan w:val="15"/>
            <w:shd w:val="clear" w:color="auto" w:fill="auto"/>
            <w:vAlign w:val="center"/>
          </w:tcPr>
          <w:p w:rsidR="00721E0D" w:rsidRPr="00F7263B" w:rsidRDefault="00721E0D" w:rsidP="00556F1B">
            <w:pPr>
              <w:pStyle w:val="NoSpacing"/>
              <w:numPr>
                <w:ilvl w:val="0"/>
                <w:numId w:val="2"/>
              </w:numPr>
              <w:jc w:val="both"/>
              <w:rPr>
                <w:rFonts w:ascii="Times New Roman" w:hAnsi="Times New Roman" w:cs="Times New Roman"/>
                <w:b/>
                <w:sz w:val="20"/>
                <w:szCs w:val="20"/>
              </w:rPr>
            </w:pPr>
            <w:r w:rsidRPr="00F7263B">
              <w:rPr>
                <w:rFonts w:ascii="Times New Roman" w:hAnsi="Times New Roman" w:cs="Times New Roman"/>
                <w:b/>
                <w:sz w:val="20"/>
                <w:szCs w:val="20"/>
              </w:rPr>
              <w:t xml:space="preserve">PROGRAM RISKS </w:t>
            </w:r>
          </w:p>
        </w:tc>
      </w:tr>
      <w:tr w:rsidR="00721E0D" w:rsidRPr="00F7263B">
        <w:tc>
          <w:tcPr>
            <w:tcW w:w="5310" w:type="dxa"/>
            <w:shd w:val="pct5" w:color="auto" w:fill="auto"/>
            <w:vAlign w:val="center"/>
          </w:tcPr>
          <w:p w:rsidR="00721E0D" w:rsidRPr="00F7263B" w:rsidRDefault="00721E0D" w:rsidP="00556F1B">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2.1     Technical Risk</w:t>
            </w:r>
          </w:p>
        </w:tc>
        <w:tc>
          <w:tcPr>
            <w:tcW w:w="1170" w:type="dxa"/>
            <w:tcBorders>
              <w:right w:val="single" w:sz="4" w:space="0" w:color="auto"/>
            </w:tcBorders>
            <w:shd w:val="pct5" w:color="auto" w:fill="auto"/>
          </w:tcPr>
          <w:p w:rsidR="00721E0D" w:rsidRPr="00F7263B" w:rsidRDefault="00721E0D" w:rsidP="00556F1B">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Rating:</w:t>
            </w:r>
          </w:p>
        </w:tc>
        <w:tc>
          <w:tcPr>
            <w:tcW w:w="6390" w:type="dxa"/>
            <w:gridSpan w:val="13"/>
            <w:tcBorders>
              <w:left w:val="single" w:sz="4" w:space="0" w:color="auto"/>
            </w:tcBorders>
            <w:shd w:val="pct5" w:color="auto" w:fill="auto"/>
            <w:vAlign w:val="center"/>
          </w:tcPr>
          <w:p w:rsidR="00721E0D" w:rsidRPr="00F7263B" w:rsidRDefault="00721E0D" w:rsidP="00556F1B">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Substantial</w:t>
            </w:r>
          </w:p>
        </w:tc>
      </w:tr>
      <w:tr w:rsidR="00721E0D"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val="restart"/>
            <w:tcBorders>
              <w:top w:val="single" w:sz="4" w:space="0" w:color="000000"/>
              <w:left w:val="single" w:sz="4" w:space="0" w:color="000000"/>
              <w:right w:val="single" w:sz="4" w:space="0" w:color="000000"/>
            </w:tcBorders>
            <w:shd w:val="clear" w:color="auto" w:fill="auto"/>
          </w:tcPr>
          <w:p w:rsidR="00721E0D" w:rsidRPr="00F7263B" w:rsidRDefault="00721E0D" w:rsidP="00523893">
            <w:pPr>
              <w:pStyle w:val="NoSpacing"/>
              <w:rPr>
                <w:rFonts w:ascii="Times New Roman" w:hAnsi="Times New Roman" w:cs="Times New Roman"/>
                <w:sz w:val="20"/>
                <w:szCs w:val="20"/>
              </w:rPr>
            </w:pPr>
            <w:r w:rsidRPr="00F7263B">
              <w:rPr>
                <w:rFonts w:ascii="Times New Roman" w:hAnsi="Times New Roman" w:cs="Times New Roman"/>
                <w:b/>
                <w:sz w:val="20"/>
                <w:szCs w:val="20"/>
              </w:rPr>
              <w:t>Description :</w:t>
            </w:r>
            <w:r w:rsidRPr="00F7263B">
              <w:rPr>
                <w:rFonts w:ascii="Times New Roman" w:hAnsi="Times New Roman" w:cs="Times New Roman"/>
                <w:sz w:val="20"/>
                <w:szCs w:val="20"/>
              </w:rPr>
              <w:t xml:space="preserve">Cities may lack the human resources to comprehensively build their administrative capacities in all areas of urban management.  Thus, they may fail to mobilize sufficient resources to meet their funding obligations for the Program, they may fail to adequately account for the funds, they may fall short of involving the public in planning and budgeting, they may mismanage works contracts, or they may neglect operations and maintenance.  </w:t>
            </w:r>
          </w:p>
          <w:p w:rsidR="00B423B9" w:rsidRPr="00F7263B" w:rsidRDefault="00B423B9" w:rsidP="00523893">
            <w:pPr>
              <w:pStyle w:val="NoSpacing"/>
              <w:rPr>
                <w:rFonts w:ascii="Times New Roman" w:hAnsi="Times New Roman" w:cs="Times New Roman"/>
                <w:sz w:val="20"/>
                <w:szCs w:val="20"/>
              </w:rPr>
            </w:pPr>
          </w:p>
          <w:p w:rsidR="00B423B9" w:rsidRPr="00F7263B" w:rsidRDefault="00B423B9" w:rsidP="00872E51">
            <w:pPr>
              <w:pStyle w:val="NoSpacing"/>
              <w:rPr>
                <w:rFonts w:ascii="Times New Roman" w:hAnsi="Times New Roman" w:cs="Times New Roman"/>
                <w:b/>
                <w:sz w:val="20"/>
                <w:szCs w:val="20"/>
              </w:rPr>
            </w:pPr>
            <w:r w:rsidRPr="00F7263B">
              <w:rPr>
                <w:rFonts w:ascii="Times New Roman" w:hAnsi="Times New Roman" w:cs="Times New Roman"/>
                <w:sz w:val="20"/>
                <w:szCs w:val="20"/>
              </w:rPr>
              <w:t>Regional governments may lack</w:t>
            </w:r>
            <w:r w:rsidR="00FF7824" w:rsidRPr="00F7263B">
              <w:rPr>
                <w:rFonts w:ascii="Times New Roman" w:hAnsi="Times New Roman" w:cs="Times New Roman"/>
                <w:sz w:val="20"/>
                <w:szCs w:val="20"/>
              </w:rPr>
              <w:t xml:space="preserve"> capacity and </w:t>
            </w:r>
            <w:r w:rsidR="00A9451F" w:rsidRPr="00F7263B">
              <w:rPr>
                <w:rFonts w:ascii="Times New Roman" w:hAnsi="Times New Roman" w:cs="Times New Roman"/>
                <w:sz w:val="20"/>
                <w:szCs w:val="20"/>
              </w:rPr>
              <w:t xml:space="preserve">sufficient </w:t>
            </w:r>
            <w:r w:rsidR="00FF7824" w:rsidRPr="00F7263B">
              <w:rPr>
                <w:rFonts w:ascii="Times New Roman" w:hAnsi="Times New Roman" w:cs="Times New Roman"/>
                <w:sz w:val="20"/>
                <w:szCs w:val="20"/>
              </w:rPr>
              <w:t xml:space="preserve">incentives to undertake </w:t>
            </w:r>
            <w:r w:rsidR="00872E51" w:rsidRPr="00F7263B">
              <w:rPr>
                <w:rFonts w:ascii="Times New Roman" w:hAnsi="Times New Roman" w:cs="Times New Roman"/>
                <w:sz w:val="20"/>
                <w:szCs w:val="20"/>
              </w:rPr>
              <w:t xml:space="preserve"> expanded</w:t>
            </w:r>
            <w:r w:rsidR="00FF7824" w:rsidRPr="00F7263B">
              <w:rPr>
                <w:rFonts w:ascii="Times New Roman" w:hAnsi="Times New Roman" w:cs="Times New Roman"/>
                <w:sz w:val="20"/>
                <w:szCs w:val="20"/>
              </w:rPr>
              <w:t>responsibilities in providing oversight and capacity building functions to ULGs.</w:t>
            </w:r>
          </w:p>
        </w:tc>
        <w:tc>
          <w:tcPr>
            <w:tcW w:w="7560" w:type="dxa"/>
            <w:gridSpan w:val="14"/>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721E0D" w:rsidRPr="00F7263B" w:rsidRDefault="00721E0D" w:rsidP="00523893">
            <w:pPr>
              <w:pStyle w:val="NoSpacing"/>
              <w:tabs>
                <w:tab w:val="left" w:pos="372"/>
              </w:tabs>
              <w:rPr>
                <w:rFonts w:ascii="Times New Roman" w:hAnsi="Times New Roman" w:cs="Times New Roman"/>
                <w:sz w:val="20"/>
                <w:szCs w:val="20"/>
              </w:rPr>
            </w:pPr>
            <w:r w:rsidRPr="00F7263B">
              <w:rPr>
                <w:rFonts w:ascii="Times New Roman" w:hAnsi="Times New Roman" w:cs="Times New Roman"/>
                <w:b/>
                <w:sz w:val="20"/>
                <w:szCs w:val="20"/>
              </w:rPr>
              <w:t>Risk Management :</w:t>
            </w:r>
            <w:r w:rsidRPr="00F7263B">
              <w:rPr>
                <w:rFonts w:ascii="Times New Roman" w:hAnsi="Times New Roman" w:cs="Times New Roman"/>
                <w:sz w:val="20"/>
                <w:szCs w:val="20"/>
              </w:rPr>
              <w:t xml:space="preserve">Considerable capacity building support will be provided under the Program to entities at all levels of government through the federal and regional teams.  </w:t>
            </w:r>
          </w:p>
          <w:p w:rsidR="00280346" w:rsidRPr="00F7263B" w:rsidRDefault="00721E0D" w:rsidP="00523893">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 xml:space="preserve">Funds will be disbursed to the </w:t>
            </w:r>
            <w:r w:rsidR="00821460" w:rsidRPr="00F7263B">
              <w:rPr>
                <w:rFonts w:ascii="Times New Roman" w:hAnsi="Times New Roman" w:cs="Times New Roman"/>
                <w:sz w:val="20"/>
                <w:szCs w:val="20"/>
              </w:rPr>
              <w:t>MUDHCo</w:t>
            </w:r>
            <w:r w:rsidRPr="00F7263B">
              <w:rPr>
                <w:rFonts w:ascii="Times New Roman" w:hAnsi="Times New Roman" w:cs="Times New Roman"/>
                <w:sz w:val="20"/>
                <w:szCs w:val="20"/>
              </w:rPr>
              <w:t>, regional governments, and ULGs on the basis of performance, providing a strong incentive to perform well.</w:t>
            </w:r>
          </w:p>
          <w:p w:rsidR="00280346" w:rsidRPr="00F7263B" w:rsidRDefault="00280346" w:rsidP="00523893">
            <w:pPr>
              <w:pStyle w:val="NoSpacing"/>
              <w:tabs>
                <w:tab w:val="left" w:pos="372"/>
              </w:tabs>
              <w:rPr>
                <w:rFonts w:ascii="Times New Roman" w:hAnsi="Times New Roman" w:cs="Times New Roman"/>
                <w:sz w:val="20"/>
                <w:szCs w:val="20"/>
              </w:rPr>
            </w:pPr>
          </w:p>
          <w:p w:rsidR="00280346" w:rsidRPr="00F7263B" w:rsidRDefault="00280346" w:rsidP="00523893">
            <w:pPr>
              <w:pStyle w:val="NoSpacing"/>
              <w:tabs>
                <w:tab w:val="left" w:pos="372"/>
              </w:tabs>
              <w:rPr>
                <w:rFonts w:ascii="Times New Roman" w:hAnsi="Times New Roman" w:cs="Times New Roman"/>
                <w:sz w:val="20"/>
                <w:szCs w:val="20"/>
              </w:rPr>
            </w:pPr>
          </w:p>
          <w:p w:rsidR="00280346" w:rsidRPr="00F7263B" w:rsidRDefault="00280346" w:rsidP="00523893">
            <w:pPr>
              <w:pStyle w:val="NoSpacing"/>
              <w:tabs>
                <w:tab w:val="left" w:pos="372"/>
              </w:tabs>
              <w:rPr>
                <w:rFonts w:ascii="Times New Roman" w:hAnsi="Times New Roman" w:cs="Times New Roman"/>
                <w:sz w:val="20"/>
                <w:szCs w:val="20"/>
              </w:rPr>
            </w:pPr>
          </w:p>
          <w:p w:rsidR="00280346" w:rsidRPr="00F7263B" w:rsidRDefault="00280346" w:rsidP="00523893">
            <w:pPr>
              <w:pStyle w:val="NoSpacing"/>
              <w:tabs>
                <w:tab w:val="left" w:pos="372"/>
              </w:tabs>
              <w:rPr>
                <w:rFonts w:ascii="Times New Roman" w:hAnsi="Times New Roman" w:cs="Times New Roman"/>
                <w:sz w:val="20"/>
                <w:szCs w:val="20"/>
              </w:rPr>
            </w:pPr>
          </w:p>
          <w:p w:rsidR="00280346" w:rsidRPr="00F7263B" w:rsidRDefault="00280346" w:rsidP="00523893">
            <w:pPr>
              <w:pStyle w:val="NoSpacing"/>
              <w:tabs>
                <w:tab w:val="left" w:pos="372"/>
              </w:tabs>
              <w:rPr>
                <w:rFonts w:ascii="Times New Roman" w:hAnsi="Times New Roman" w:cs="Times New Roman"/>
                <w:sz w:val="20"/>
                <w:szCs w:val="20"/>
              </w:rPr>
            </w:pPr>
          </w:p>
          <w:p w:rsidR="00872E51" w:rsidRPr="00F7263B" w:rsidRDefault="00A9451F" w:rsidP="00872E51">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 xml:space="preserve">The DLI amounts allocated for regional governments are designed to ensure sufficient incentive (much greater than the estimated costs to carry out the tasks) for them to </w:t>
            </w:r>
            <w:r w:rsidR="00280346" w:rsidRPr="00F7263B">
              <w:rPr>
                <w:rFonts w:ascii="Times New Roman" w:hAnsi="Times New Roman" w:cs="Times New Roman"/>
                <w:sz w:val="20"/>
                <w:szCs w:val="20"/>
              </w:rPr>
              <w:t>deliver the intended results</w:t>
            </w:r>
            <w:r w:rsidRPr="00F7263B">
              <w:rPr>
                <w:rFonts w:ascii="Times New Roman" w:hAnsi="Times New Roman" w:cs="Times New Roman"/>
                <w:sz w:val="20"/>
                <w:szCs w:val="20"/>
              </w:rPr>
              <w:t xml:space="preserve">. </w:t>
            </w:r>
            <w:r w:rsidR="00B423B9" w:rsidRPr="00F7263B">
              <w:rPr>
                <w:rFonts w:ascii="Times New Roman" w:hAnsi="Times New Roman" w:cs="Times New Roman"/>
                <w:sz w:val="20"/>
                <w:szCs w:val="20"/>
              </w:rPr>
              <w:t>In addition, t</w:t>
            </w:r>
            <w:r w:rsidR="00FF7824" w:rsidRPr="00F7263B">
              <w:rPr>
                <w:rFonts w:ascii="Times New Roman" w:hAnsi="Times New Roman" w:cs="Times New Roman"/>
                <w:sz w:val="20"/>
                <w:szCs w:val="20"/>
              </w:rPr>
              <w:t>he four Developing Regional States (DRS) which may encounter the greatest challenges in capacity</w:t>
            </w:r>
            <w:r w:rsidR="00B423B9" w:rsidRPr="00F7263B">
              <w:rPr>
                <w:rFonts w:ascii="Times New Roman" w:hAnsi="Times New Roman" w:cs="Times New Roman"/>
                <w:sz w:val="20"/>
                <w:szCs w:val="20"/>
              </w:rPr>
              <w:t>,</w:t>
            </w:r>
            <w:r w:rsidR="00FF7824" w:rsidRPr="00F7263B">
              <w:rPr>
                <w:rFonts w:ascii="Times New Roman" w:hAnsi="Times New Roman" w:cs="Times New Roman"/>
                <w:sz w:val="20"/>
                <w:szCs w:val="20"/>
              </w:rPr>
              <w:t xml:space="preserve"> account for approximately 6% of the total population under the program and thus poses relatively less risk to program overall.</w:t>
            </w:r>
            <w:r w:rsidR="00872E51" w:rsidRPr="00F7263B">
              <w:rPr>
                <w:rFonts w:ascii="Times New Roman" w:hAnsi="Times New Roman" w:cs="Times New Roman"/>
                <w:sz w:val="20"/>
                <w:szCs w:val="20"/>
              </w:rPr>
              <w:t>The 4 regional governments (with relatively better capacity), with the assistance from MUDHCo will put in place mobile teams to enhance their capacity to carry out their mandate with respect to cities.</w:t>
            </w:r>
          </w:p>
          <w:p w:rsidR="00721E0D" w:rsidRPr="00F7263B" w:rsidRDefault="00721E0D" w:rsidP="00523893">
            <w:pPr>
              <w:pStyle w:val="NoSpacing"/>
              <w:tabs>
                <w:tab w:val="left" w:pos="372"/>
              </w:tabs>
              <w:rPr>
                <w:rFonts w:ascii="Times New Roman" w:hAnsi="Times New Roman" w:cs="Times New Roman"/>
                <w:sz w:val="20"/>
                <w:szCs w:val="20"/>
              </w:rPr>
            </w:pPr>
          </w:p>
          <w:p w:rsidR="00B423B9" w:rsidRPr="00F7263B" w:rsidRDefault="00B423B9" w:rsidP="00523893">
            <w:pPr>
              <w:pStyle w:val="NoSpacing"/>
              <w:tabs>
                <w:tab w:val="left" w:pos="372"/>
              </w:tabs>
              <w:rPr>
                <w:rFonts w:ascii="Times New Roman" w:hAnsi="Times New Roman" w:cs="Times New Roman"/>
                <w:b/>
                <w:sz w:val="20"/>
                <w:szCs w:val="20"/>
              </w:rPr>
            </w:pPr>
          </w:p>
        </w:tc>
      </w:tr>
      <w:tr w:rsidR="00721E0D"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tcBorders>
              <w:left w:val="single" w:sz="4" w:space="0" w:color="000000"/>
              <w:right w:val="single" w:sz="4" w:space="0" w:color="000000"/>
            </w:tcBorders>
            <w:shd w:val="clear" w:color="auto" w:fill="auto"/>
          </w:tcPr>
          <w:p w:rsidR="00721E0D" w:rsidRPr="00F7263B" w:rsidRDefault="00721E0D" w:rsidP="00556F1B">
            <w:pPr>
              <w:pStyle w:val="NoSpacing"/>
              <w:jc w:val="both"/>
              <w:rPr>
                <w:rFonts w:ascii="Times New Roman" w:hAnsi="Times New Roman" w:cs="Times New Roman"/>
                <w:b/>
                <w:sz w:val="20"/>
                <w:szCs w:val="20"/>
              </w:rPr>
            </w:pPr>
          </w:p>
        </w:tc>
        <w:tc>
          <w:tcPr>
            <w:tcW w:w="162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721E0D" w:rsidRPr="00F7263B" w:rsidRDefault="00721E0D" w:rsidP="00556F1B">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 xml:space="preserve">Resp: </w:t>
            </w:r>
            <w:r w:rsidRPr="00F7263B">
              <w:rPr>
                <w:rFonts w:ascii="Times New Roman" w:hAnsi="Times New Roman" w:cs="Times New Roman"/>
                <w:sz w:val="20"/>
                <w:szCs w:val="20"/>
              </w:rPr>
              <w:t>Government at all levels</w:t>
            </w:r>
          </w:p>
        </w:tc>
        <w:tc>
          <w:tcPr>
            <w:tcW w:w="144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21E0D" w:rsidRPr="00F7263B" w:rsidRDefault="00721E0D" w:rsidP="00556F1B">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Stage:</w:t>
            </w:r>
            <w:r w:rsidRPr="00F7263B">
              <w:rPr>
                <w:rFonts w:ascii="Times New Roman" w:hAnsi="Times New Roman" w:cs="Times New Roman"/>
                <w:sz w:val="20"/>
                <w:szCs w:val="20"/>
              </w:rPr>
              <w:t>All</w:t>
            </w:r>
          </w:p>
        </w:tc>
        <w:tc>
          <w:tcPr>
            <w:tcW w:w="270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721E0D" w:rsidRPr="00F7263B" w:rsidRDefault="00721E0D" w:rsidP="00556F1B">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Due Date :</w:t>
            </w:r>
            <w:r w:rsidRPr="00F7263B">
              <w:rPr>
                <w:rFonts w:ascii="Times New Roman" w:hAnsi="Times New Roman" w:cs="Times New Roman"/>
                <w:sz w:val="20"/>
                <w:szCs w:val="20"/>
              </w:rPr>
              <w:t>Continuous</w:t>
            </w:r>
          </w:p>
        </w:tc>
        <w:tc>
          <w:tcPr>
            <w:tcW w:w="180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721E0D" w:rsidRPr="00F7263B" w:rsidRDefault="00721E0D" w:rsidP="00556F1B">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Status:</w:t>
            </w:r>
            <w:r w:rsidRPr="00F7263B">
              <w:rPr>
                <w:rFonts w:ascii="Times New Roman" w:hAnsi="Times New Roman" w:cs="Times New Roman"/>
                <w:sz w:val="20"/>
                <w:szCs w:val="20"/>
              </w:rPr>
              <w:t>Ongoing</w:t>
            </w:r>
          </w:p>
        </w:tc>
      </w:tr>
      <w:tr w:rsidR="0053260E" w:rsidRPr="00F7263B">
        <w:tc>
          <w:tcPr>
            <w:tcW w:w="5310" w:type="dxa"/>
            <w:shd w:val="pct5" w:color="auto" w:fill="auto"/>
            <w:vAlign w:val="center"/>
          </w:tcPr>
          <w:p w:rsidR="0053260E" w:rsidRPr="00F7263B" w:rsidRDefault="0053260E" w:rsidP="0053260E">
            <w:pPr>
              <w:pStyle w:val="NoSpacing"/>
              <w:numPr>
                <w:ilvl w:val="1"/>
                <w:numId w:val="4"/>
              </w:numPr>
              <w:jc w:val="both"/>
              <w:rPr>
                <w:rFonts w:ascii="Times New Roman" w:hAnsi="Times New Roman" w:cs="Times New Roman"/>
                <w:b/>
                <w:sz w:val="20"/>
                <w:szCs w:val="20"/>
              </w:rPr>
            </w:pPr>
            <w:r w:rsidRPr="00F7263B">
              <w:rPr>
                <w:rFonts w:ascii="Times New Roman" w:hAnsi="Times New Roman" w:cs="Times New Roman"/>
                <w:b/>
                <w:sz w:val="20"/>
                <w:szCs w:val="20"/>
              </w:rPr>
              <w:t xml:space="preserve">   Fiduciary Risk</w:t>
            </w:r>
          </w:p>
        </w:tc>
        <w:tc>
          <w:tcPr>
            <w:tcW w:w="1170" w:type="dxa"/>
            <w:tcBorders>
              <w:right w:val="single" w:sz="4" w:space="0" w:color="auto"/>
            </w:tcBorders>
            <w:shd w:val="pct5" w:color="auto" w:fill="auto"/>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Rating:</w:t>
            </w:r>
          </w:p>
        </w:tc>
        <w:tc>
          <w:tcPr>
            <w:tcW w:w="6390" w:type="dxa"/>
            <w:gridSpan w:val="13"/>
            <w:tcBorders>
              <w:left w:val="single" w:sz="4" w:space="0" w:color="auto"/>
            </w:tcBorders>
            <w:shd w:val="pct5" w:color="auto" w:fill="auto"/>
            <w:vAlign w:val="center"/>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Substantial</w:t>
            </w:r>
          </w:p>
        </w:tc>
      </w:tr>
      <w:tr w:rsidR="0053260E" w:rsidRPr="00F7263B">
        <w:tc>
          <w:tcPr>
            <w:tcW w:w="12870" w:type="dxa"/>
            <w:gridSpan w:val="15"/>
            <w:shd w:val="clear" w:color="auto" w:fill="auto"/>
            <w:vAlign w:val="center"/>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sz w:val="20"/>
                <w:szCs w:val="20"/>
              </w:rPr>
              <w:t>The fiduciary risk comprises the Financial management Procurement and Fraud and corruption. The details of the risks and mitigation measures are described below</w:t>
            </w:r>
          </w:p>
        </w:tc>
      </w:tr>
      <w:tr w:rsidR="0053260E" w:rsidRPr="00F7263B">
        <w:tc>
          <w:tcPr>
            <w:tcW w:w="5310" w:type="dxa"/>
            <w:shd w:val="pct5" w:color="auto" w:fill="auto"/>
            <w:vAlign w:val="center"/>
          </w:tcPr>
          <w:p w:rsidR="00713BB0" w:rsidRPr="00F7263B" w:rsidRDefault="0053260E" w:rsidP="0068255C">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Financial Management</w:t>
            </w:r>
          </w:p>
        </w:tc>
        <w:tc>
          <w:tcPr>
            <w:tcW w:w="1170" w:type="dxa"/>
            <w:tcBorders>
              <w:right w:val="single" w:sz="4" w:space="0" w:color="auto"/>
            </w:tcBorders>
            <w:shd w:val="pct5" w:color="auto" w:fill="auto"/>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Rating:</w:t>
            </w:r>
          </w:p>
        </w:tc>
        <w:tc>
          <w:tcPr>
            <w:tcW w:w="6390" w:type="dxa"/>
            <w:gridSpan w:val="13"/>
            <w:tcBorders>
              <w:left w:val="single" w:sz="4" w:space="0" w:color="auto"/>
            </w:tcBorders>
            <w:shd w:val="pct5" w:color="auto" w:fill="auto"/>
            <w:vAlign w:val="center"/>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Substantial</w:t>
            </w: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val="restart"/>
            <w:tcBorders>
              <w:top w:val="single" w:sz="4" w:space="0" w:color="000000"/>
              <w:left w:val="single" w:sz="4" w:space="0" w:color="000000"/>
              <w:right w:val="single" w:sz="4" w:space="0" w:color="000000"/>
            </w:tcBorders>
            <w:shd w:val="clear" w:color="auto" w:fill="auto"/>
          </w:tcPr>
          <w:p w:rsidR="0053260E" w:rsidRPr="00F7263B" w:rsidRDefault="0053260E" w:rsidP="0053260E">
            <w:pPr>
              <w:pStyle w:val="NoSpacing"/>
              <w:rPr>
                <w:sz w:val="20"/>
                <w:szCs w:val="20"/>
              </w:rPr>
            </w:pPr>
            <w:r w:rsidRPr="00F7263B">
              <w:rPr>
                <w:rFonts w:ascii="Times New Roman" w:hAnsi="Times New Roman" w:cs="Times New Roman"/>
                <w:b/>
                <w:sz w:val="20"/>
                <w:szCs w:val="20"/>
              </w:rPr>
              <w:t xml:space="preserve">Description: </w:t>
            </w:r>
            <w:r w:rsidRPr="00F7263B">
              <w:rPr>
                <w:rFonts w:ascii="Times New Roman" w:hAnsi="Times New Roman" w:cs="Times New Roman"/>
                <w:sz w:val="20"/>
                <w:szCs w:val="20"/>
              </w:rPr>
              <w:t>PFM:Clear accounting for ULGDP II funds may be a challenge, as cities may continue to use manual accounting procedures rather than IBEX.  Data quality and variability in figures between the city level, region level and MoFED has been an area of concern under the ULGDP.</w:t>
            </w:r>
          </w:p>
          <w:p w:rsidR="0053260E" w:rsidRPr="00F7263B" w:rsidRDefault="0053260E" w:rsidP="0053260E">
            <w:pPr>
              <w:pStyle w:val="NoSpacing"/>
              <w:rPr>
                <w:rFonts w:ascii="Times New Roman" w:hAnsi="Times New Roman" w:cs="Times New Roman"/>
                <w:sz w:val="20"/>
                <w:szCs w:val="20"/>
              </w:rPr>
            </w:pPr>
            <w:r w:rsidRPr="00F7263B">
              <w:rPr>
                <w:rFonts w:ascii="Times New Roman" w:hAnsi="Times New Roman" w:cs="Times New Roman"/>
                <w:sz w:val="20"/>
                <w:szCs w:val="20"/>
              </w:rPr>
              <w:t xml:space="preserve">Budget monitoring and internal controls have been weak at </w:t>
            </w:r>
            <w:r w:rsidRPr="00F7263B">
              <w:rPr>
                <w:rFonts w:ascii="Times New Roman" w:hAnsi="Times New Roman" w:cs="Times New Roman"/>
                <w:sz w:val="20"/>
                <w:szCs w:val="20"/>
              </w:rPr>
              <w:lastRenderedPageBreak/>
              <w:t>ULGs.</w:t>
            </w:r>
          </w:p>
          <w:p w:rsidR="0053260E" w:rsidRPr="00F7263B" w:rsidRDefault="0053260E" w:rsidP="0053260E">
            <w:pPr>
              <w:pStyle w:val="NoSpacing"/>
              <w:rPr>
                <w:rFonts w:ascii="Times New Roman" w:hAnsi="Times New Roman" w:cs="Times New Roman"/>
                <w:sz w:val="20"/>
                <w:szCs w:val="20"/>
              </w:rPr>
            </w:pPr>
          </w:p>
          <w:p w:rsidR="0053260E" w:rsidRPr="00F7263B" w:rsidRDefault="0053260E" w:rsidP="0053260E">
            <w:pPr>
              <w:pStyle w:val="NoSpacing"/>
              <w:rPr>
                <w:rFonts w:ascii="Times New Roman" w:hAnsi="Times New Roman" w:cs="Times New Roman"/>
                <w:sz w:val="20"/>
                <w:szCs w:val="20"/>
              </w:rPr>
            </w:pPr>
          </w:p>
          <w:p w:rsidR="0053260E" w:rsidRPr="00F7263B" w:rsidRDefault="0053260E" w:rsidP="0053260E">
            <w:pPr>
              <w:pStyle w:val="NoSpacing"/>
              <w:rPr>
                <w:rFonts w:ascii="Times New Roman" w:hAnsi="Times New Roman" w:cs="Times New Roman"/>
                <w:b/>
                <w:sz w:val="20"/>
                <w:szCs w:val="20"/>
              </w:rPr>
            </w:pPr>
          </w:p>
        </w:tc>
        <w:tc>
          <w:tcPr>
            <w:tcW w:w="7560" w:type="dxa"/>
            <w:gridSpan w:val="14"/>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b/>
                <w:sz w:val="20"/>
                <w:szCs w:val="20"/>
              </w:rPr>
              <w:lastRenderedPageBreak/>
              <w:t>Risk Management :</w:t>
            </w:r>
            <w:r w:rsidRPr="00F7263B">
              <w:rPr>
                <w:rFonts w:ascii="Times New Roman" w:hAnsi="Times New Roman" w:cs="Times New Roman"/>
                <w:sz w:val="20"/>
                <w:szCs w:val="20"/>
              </w:rPr>
              <w:t>PFM:The overall PFM reform program of Ethiopia—Expenditure Management and Control Program—is focused directly on addressing systemic weaknesses in PFM, procurement, and accountability at all three levels of government along with other interventions.</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 xml:space="preserve">A disbursement-linked indicator will be provided in the Financing Agreement to address transparency aspects of the Program. </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lastRenderedPageBreak/>
              <w:t xml:space="preserve">Specific actions have been proposed for implementation support and technical assistance that will support the achievement of DLI. </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A detailed Action Plan will include specific risk mitigation measures.</w:t>
            </w:r>
          </w:p>
          <w:p w:rsidR="0053260E" w:rsidRPr="00F7263B" w:rsidRDefault="0053260E" w:rsidP="0053260E">
            <w:pPr>
              <w:pStyle w:val="NoSpacing"/>
              <w:tabs>
                <w:tab w:val="left" w:pos="372"/>
              </w:tabs>
              <w:rPr>
                <w:rFonts w:ascii="Times New Roman" w:hAnsi="Times New Roman" w:cs="Times New Roman"/>
                <w:b/>
                <w:sz w:val="20"/>
                <w:szCs w:val="20"/>
              </w:rPr>
            </w:pP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tcBorders>
              <w:left w:val="single" w:sz="4" w:space="0" w:color="000000"/>
              <w:right w:val="single" w:sz="4" w:space="0" w:color="000000"/>
            </w:tcBorders>
            <w:shd w:val="clear" w:color="auto" w:fill="auto"/>
          </w:tcPr>
          <w:p w:rsidR="0053260E" w:rsidRPr="00F7263B" w:rsidRDefault="0053260E" w:rsidP="0053260E">
            <w:pPr>
              <w:pStyle w:val="NoSpacing"/>
              <w:jc w:val="both"/>
              <w:rPr>
                <w:rFonts w:ascii="Times New Roman" w:hAnsi="Times New Roman" w:cs="Times New Roman"/>
                <w:b/>
                <w:sz w:val="20"/>
                <w:szCs w:val="20"/>
              </w:rPr>
            </w:pPr>
          </w:p>
        </w:tc>
        <w:tc>
          <w:tcPr>
            <w:tcW w:w="162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 xml:space="preserve">Resp: </w:t>
            </w:r>
            <w:r w:rsidRPr="00F7263B">
              <w:rPr>
                <w:rFonts w:ascii="Times New Roman" w:hAnsi="Times New Roman" w:cs="Times New Roman"/>
                <w:sz w:val="20"/>
                <w:szCs w:val="20"/>
              </w:rPr>
              <w:t>Government at all levels</w:t>
            </w:r>
          </w:p>
        </w:tc>
        <w:tc>
          <w:tcPr>
            <w:tcW w:w="144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Stage:</w:t>
            </w:r>
            <w:r w:rsidRPr="00F7263B">
              <w:rPr>
                <w:rFonts w:ascii="Times New Roman" w:hAnsi="Times New Roman" w:cs="Times New Roman"/>
                <w:sz w:val="20"/>
                <w:szCs w:val="20"/>
              </w:rPr>
              <w:t>All</w:t>
            </w:r>
          </w:p>
        </w:tc>
        <w:tc>
          <w:tcPr>
            <w:tcW w:w="270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Due Date :</w:t>
            </w:r>
            <w:r w:rsidRPr="00F7263B">
              <w:rPr>
                <w:rFonts w:ascii="Times New Roman" w:hAnsi="Times New Roman" w:cs="Times New Roman"/>
                <w:sz w:val="20"/>
                <w:szCs w:val="20"/>
              </w:rPr>
              <w:t>Continuou</w:t>
            </w:r>
            <w:r w:rsidRPr="00F7263B">
              <w:rPr>
                <w:rFonts w:ascii="Times New Roman" w:hAnsi="Times New Roman" w:cs="Times New Roman"/>
                <w:b/>
                <w:sz w:val="20"/>
                <w:szCs w:val="20"/>
              </w:rPr>
              <w:t>s</w:t>
            </w:r>
          </w:p>
        </w:tc>
        <w:tc>
          <w:tcPr>
            <w:tcW w:w="180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Status:</w:t>
            </w:r>
            <w:r w:rsidRPr="00F7263B">
              <w:rPr>
                <w:rFonts w:ascii="Times New Roman" w:hAnsi="Times New Roman" w:cs="Times New Roman"/>
                <w:sz w:val="20"/>
                <w:szCs w:val="20"/>
              </w:rPr>
              <w:t>Ongoing</w:t>
            </w:r>
          </w:p>
        </w:tc>
      </w:tr>
      <w:tr w:rsidR="0053260E" w:rsidRPr="00F7263B">
        <w:tc>
          <w:tcPr>
            <w:tcW w:w="5310" w:type="dxa"/>
            <w:shd w:val="clear" w:color="auto" w:fill="F2F2F2" w:themeFill="background1" w:themeFillShade="F2"/>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Procurement</w:t>
            </w:r>
          </w:p>
        </w:tc>
        <w:tc>
          <w:tcPr>
            <w:tcW w:w="1170" w:type="dxa"/>
            <w:tcBorders>
              <w:right w:val="single" w:sz="4" w:space="0" w:color="auto"/>
            </w:tcBorders>
            <w:shd w:val="clear" w:color="auto" w:fill="F2F2F2" w:themeFill="background1" w:themeFillShade="F2"/>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 xml:space="preserve">Rating </w:t>
            </w:r>
          </w:p>
        </w:tc>
        <w:tc>
          <w:tcPr>
            <w:tcW w:w="6390" w:type="dxa"/>
            <w:gridSpan w:val="13"/>
            <w:tcBorders>
              <w:left w:val="single" w:sz="4" w:space="0" w:color="auto"/>
            </w:tcBorders>
            <w:shd w:val="clear" w:color="auto" w:fill="F2F2F2" w:themeFill="background1" w:themeFillShade="F2"/>
            <w:vAlign w:val="center"/>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High</w:t>
            </w:r>
          </w:p>
        </w:tc>
      </w:tr>
      <w:tr w:rsidR="0053260E" w:rsidRPr="00F7263B">
        <w:tc>
          <w:tcPr>
            <w:tcW w:w="5310" w:type="dxa"/>
            <w:vMerge w:val="restart"/>
            <w:shd w:val="clear" w:color="auto" w:fill="FFFFFF" w:themeFill="background1"/>
          </w:tcPr>
          <w:p w:rsidR="0053260E" w:rsidRPr="00F7263B" w:rsidRDefault="005E3326" w:rsidP="005E3326">
            <w:pPr>
              <w:pStyle w:val="NoSpacing"/>
              <w:rPr>
                <w:rFonts w:ascii="Times New Roman" w:hAnsi="Times New Roman" w:cs="Times New Roman"/>
                <w:sz w:val="20"/>
                <w:szCs w:val="20"/>
              </w:rPr>
            </w:pPr>
            <w:r w:rsidRPr="00F7263B">
              <w:rPr>
                <w:rFonts w:ascii="Times New Roman" w:hAnsi="Times New Roman" w:cs="Times New Roman"/>
                <w:b/>
                <w:sz w:val="20"/>
                <w:szCs w:val="20"/>
              </w:rPr>
              <w:t>Description:</w:t>
            </w:r>
            <w:r w:rsidR="0053260E" w:rsidRPr="00F7263B">
              <w:rPr>
                <w:rFonts w:ascii="Times New Roman" w:hAnsi="Times New Roman" w:cs="Times New Roman"/>
                <w:sz w:val="20"/>
                <w:szCs w:val="20"/>
              </w:rPr>
              <w:t xml:space="preserve">The procurement assessment carried out for Program preparation revealed that cities participating in the ULGDP II </w:t>
            </w:r>
            <w:r w:rsidRPr="00F7263B">
              <w:rPr>
                <w:rFonts w:ascii="Times New Roman" w:hAnsi="Times New Roman" w:cs="Times New Roman"/>
                <w:sz w:val="20"/>
                <w:szCs w:val="20"/>
              </w:rPr>
              <w:t xml:space="preserve">do not </w:t>
            </w:r>
            <w:r w:rsidR="0053260E" w:rsidRPr="00F7263B">
              <w:rPr>
                <w:rFonts w:ascii="Times New Roman" w:hAnsi="Times New Roman" w:cs="Times New Roman"/>
                <w:sz w:val="20"/>
                <w:szCs w:val="20"/>
              </w:rPr>
              <w:t xml:space="preserve">generally </w:t>
            </w:r>
            <w:r w:rsidRPr="00F7263B">
              <w:rPr>
                <w:rFonts w:ascii="Times New Roman" w:hAnsi="Times New Roman" w:cs="Times New Roman"/>
                <w:sz w:val="20"/>
                <w:szCs w:val="20"/>
              </w:rPr>
              <w:t>adhere</w:t>
            </w:r>
            <w:r w:rsidR="0053260E" w:rsidRPr="00F7263B">
              <w:rPr>
                <w:rFonts w:ascii="Times New Roman" w:hAnsi="Times New Roman" w:cs="Times New Roman"/>
                <w:sz w:val="20"/>
                <w:szCs w:val="20"/>
              </w:rPr>
              <w:t xml:space="preserve"> to the </w:t>
            </w:r>
            <w:r w:rsidRPr="00F7263B">
              <w:rPr>
                <w:rFonts w:ascii="Times New Roman" w:hAnsi="Times New Roman" w:cs="Times New Roman"/>
                <w:sz w:val="20"/>
                <w:szCs w:val="20"/>
              </w:rPr>
              <w:t xml:space="preserve">legal </w:t>
            </w:r>
            <w:r w:rsidR="0053260E" w:rsidRPr="00F7263B">
              <w:rPr>
                <w:rFonts w:ascii="Times New Roman" w:hAnsi="Times New Roman" w:cs="Times New Roman"/>
                <w:sz w:val="20"/>
                <w:szCs w:val="20"/>
              </w:rPr>
              <w:t xml:space="preserve">procurement procedures.  </w:t>
            </w:r>
            <w:r w:rsidRPr="00F7263B">
              <w:rPr>
                <w:rFonts w:ascii="Times New Roman" w:hAnsi="Times New Roman" w:cs="Times New Roman"/>
                <w:sz w:val="20"/>
                <w:szCs w:val="20"/>
              </w:rPr>
              <w:t xml:space="preserve">All regions do have acceptable procurement legal framework. </w:t>
            </w:r>
            <w:r w:rsidR="0053260E" w:rsidRPr="00F7263B">
              <w:rPr>
                <w:rFonts w:ascii="Times New Roman" w:hAnsi="Times New Roman" w:cs="Times New Roman"/>
                <w:sz w:val="20"/>
                <w:szCs w:val="20"/>
              </w:rPr>
              <w:t>However, with respect to government’s own financing, all cities exhibit poor performance in the implementation of Regional Government Procurement Proclamations.</w:t>
            </w:r>
          </w:p>
        </w:tc>
        <w:tc>
          <w:tcPr>
            <w:tcW w:w="1890" w:type="dxa"/>
            <w:gridSpan w:val="6"/>
            <w:shd w:val="clear" w:color="auto" w:fill="FFFFFF" w:themeFill="background1"/>
            <w:vAlign w:val="center"/>
          </w:tcPr>
          <w:p w:rsidR="0053260E" w:rsidRPr="00F7263B" w:rsidRDefault="0053260E" w:rsidP="0053260E">
            <w:pPr>
              <w:pStyle w:val="NoSpacing"/>
              <w:tabs>
                <w:tab w:val="left" w:pos="372"/>
              </w:tabs>
              <w:rPr>
                <w:rFonts w:ascii="Times New Roman" w:hAnsi="Times New Roman" w:cs="Times New Roman"/>
                <w:b/>
                <w:sz w:val="20"/>
                <w:szCs w:val="20"/>
              </w:rPr>
            </w:pPr>
            <w:r w:rsidRPr="00F7263B">
              <w:rPr>
                <w:rFonts w:ascii="Times New Roman" w:hAnsi="Times New Roman" w:cs="Times New Roman"/>
                <w:b/>
                <w:sz w:val="20"/>
                <w:szCs w:val="20"/>
              </w:rPr>
              <w:t xml:space="preserve">Resp: </w:t>
            </w:r>
            <w:r w:rsidRPr="00F7263B">
              <w:rPr>
                <w:rFonts w:ascii="Times New Roman" w:hAnsi="Times New Roman" w:cs="Times New Roman"/>
                <w:sz w:val="20"/>
                <w:szCs w:val="20"/>
              </w:rPr>
              <w:t>Government at all levels</w:t>
            </w:r>
          </w:p>
        </w:tc>
        <w:tc>
          <w:tcPr>
            <w:tcW w:w="1890" w:type="dxa"/>
            <w:gridSpan w:val="3"/>
            <w:shd w:val="clear" w:color="auto" w:fill="FFFFFF" w:themeFill="background1"/>
            <w:vAlign w:val="center"/>
          </w:tcPr>
          <w:p w:rsidR="0053260E" w:rsidRPr="00F7263B" w:rsidRDefault="0053260E" w:rsidP="0053260E">
            <w:pPr>
              <w:pStyle w:val="NoSpacing"/>
              <w:tabs>
                <w:tab w:val="left" w:pos="372"/>
              </w:tabs>
              <w:rPr>
                <w:rFonts w:ascii="Times New Roman" w:hAnsi="Times New Roman" w:cs="Times New Roman"/>
                <w:b/>
                <w:sz w:val="20"/>
                <w:szCs w:val="20"/>
              </w:rPr>
            </w:pPr>
            <w:r w:rsidRPr="00F7263B">
              <w:rPr>
                <w:rFonts w:ascii="Times New Roman" w:hAnsi="Times New Roman" w:cs="Times New Roman"/>
                <w:b/>
                <w:sz w:val="20"/>
                <w:szCs w:val="20"/>
              </w:rPr>
              <w:t>Stage:</w:t>
            </w:r>
            <w:r w:rsidRPr="00F7263B">
              <w:rPr>
                <w:rFonts w:ascii="Times New Roman" w:hAnsi="Times New Roman" w:cs="Times New Roman"/>
                <w:sz w:val="20"/>
                <w:szCs w:val="20"/>
              </w:rPr>
              <w:t>All</w:t>
            </w:r>
          </w:p>
        </w:tc>
        <w:tc>
          <w:tcPr>
            <w:tcW w:w="1890" w:type="dxa"/>
            <w:gridSpan w:val="2"/>
            <w:shd w:val="clear" w:color="auto" w:fill="FFFFFF" w:themeFill="background1"/>
            <w:vAlign w:val="center"/>
          </w:tcPr>
          <w:p w:rsidR="0053260E" w:rsidRPr="00F7263B" w:rsidRDefault="0053260E" w:rsidP="0053260E">
            <w:pPr>
              <w:pStyle w:val="NoSpacing"/>
              <w:tabs>
                <w:tab w:val="left" w:pos="372"/>
              </w:tabs>
              <w:rPr>
                <w:rFonts w:ascii="Times New Roman" w:hAnsi="Times New Roman" w:cs="Times New Roman"/>
                <w:b/>
                <w:sz w:val="20"/>
                <w:szCs w:val="20"/>
              </w:rPr>
            </w:pPr>
            <w:r w:rsidRPr="00F7263B">
              <w:rPr>
                <w:rFonts w:ascii="Times New Roman" w:hAnsi="Times New Roman" w:cs="Times New Roman"/>
                <w:b/>
                <w:sz w:val="20"/>
                <w:szCs w:val="20"/>
              </w:rPr>
              <w:t>Due Date :</w:t>
            </w:r>
            <w:r w:rsidRPr="00F7263B">
              <w:rPr>
                <w:rFonts w:ascii="Times New Roman" w:hAnsi="Times New Roman" w:cs="Times New Roman"/>
                <w:sz w:val="20"/>
                <w:szCs w:val="20"/>
              </w:rPr>
              <w:t>Continuous</w:t>
            </w:r>
          </w:p>
        </w:tc>
        <w:tc>
          <w:tcPr>
            <w:tcW w:w="1890" w:type="dxa"/>
            <w:gridSpan w:val="3"/>
            <w:shd w:val="clear" w:color="auto" w:fill="FFFFFF" w:themeFill="background1"/>
            <w:vAlign w:val="center"/>
          </w:tcPr>
          <w:p w:rsidR="0053260E" w:rsidRPr="00F7263B" w:rsidRDefault="0053260E" w:rsidP="0053260E">
            <w:pPr>
              <w:pStyle w:val="NoSpacing"/>
              <w:tabs>
                <w:tab w:val="left" w:pos="372"/>
              </w:tabs>
              <w:rPr>
                <w:rFonts w:ascii="Times New Roman" w:hAnsi="Times New Roman" w:cs="Times New Roman"/>
                <w:b/>
                <w:sz w:val="20"/>
                <w:szCs w:val="20"/>
              </w:rPr>
            </w:pPr>
            <w:r w:rsidRPr="00F7263B">
              <w:rPr>
                <w:rFonts w:ascii="Times New Roman" w:hAnsi="Times New Roman" w:cs="Times New Roman"/>
                <w:b/>
                <w:sz w:val="20"/>
                <w:szCs w:val="20"/>
              </w:rPr>
              <w:t>Status:</w:t>
            </w:r>
            <w:r w:rsidRPr="00F7263B">
              <w:rPr>
                <w:rFonts w:ascii="Times New Roman" w:hAnsi="Times New Roman" w:cs="Times New Roman"/>
                <w:sz w:val="20"/>
                <w:szCs w:val="20"/>
              </w:rPr>
              <w:t>Ongoing</w:t>
            </w:r>
          </w:p>
        </w:tc>
      </w:tr>
      <w:tr w:rsidR="0053260E" w:rsidRPr="00F7263B">
        <w:trPr>
          <w:trHeight w:val="345"/>
        </w:trPr>
        <w:tc>
          <w:tcPr>
            <w:tcW w:w="5310" w:type="dxa"/>
            <w:vMerge/>
            <w:shd w:val="clear" w:color="auto" w:fill="FFFFFF" w:themeFill="background1"/>
          </w:tcPr>
          <w:p w:rsidR="0053260E" w:rsidRPr="00F7263B" w:rsidRDefault="0053260E" w:rsidP="0053260E">
            <w:pPr>
              <w:pStyle w:val="NoSpacing"/>
              <w:rPr>
                <w:rFonts w:ascii="Times New Roman" w:hAnsi="Times New Roman" w:cs="Times New Roman"/>
                <w:b/>
                <w:sz w:val="20"/>
                <w:szCs w:val="20"/>
              </w:rPr>
            </w:pPr>
          </w:p>
        </w:tc>
        <w:tc>
          <w:tcPr>
            <w:tcW w:w="7560" w:type="dxa"/>
            <w:gridSpan w:val="14"/>
            <w:tcBorders>
              <w:top w:val="single" w:sz="4" w:space="0" w:color="000000"/>
              <w:bottom w:val="single" w:sz="4" w:space="0" w:color="A6A6A6" w:themeColor="background1" w:themeShade="A6"/>
              <w:right w:val="single" w:sz="4" w:space="0" w:color="000000"/>
            </w:tcBorders>
            <w:shd w:val="clear" w:color="auto" w:fill="FFFFFF" w:themeFill="background1"/>
            <w:vAlign w:val="center"/>
          </w:tcPr>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b/>
                <w:sz w:val="20"/>
                <w:szCs w:val="20"/>
              </w:rPr>
              <w:t>Risk Management :</w:t>
            </w:r>
            <w:r w:rsidRPr="00F7263B">
              <w:rPr>
                <w:rFonts w:ascii="Times New Roman" w:hAnsi="Times New Roman" w:cs="Times New Roman"/>
                <w:sz w:val="20"/>
                <w:szCs w:val="20"/>
              </w:rPr>
              <w:t>A minimum condition to access Program funds is that ULGs have appointed procurement staff to their Program coordination teams.</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 xml:space="preserve">Procurement performance is a key results area in the </w:t>
            </w:r>
            <w:r w:rsidR="005E3326" w:rsidRPr="00F7263B">
              <w:rPr>
                <w:rFonts w:ascii="Times New Roman" w:hAnsi="Times New Roman" w:cs="Times New Roman"/>
                <w:sz w:val="20"/>
                <w:szCs w:val="20"/>
              </w:rPr>
              <w:t>annual performance</w:t>
            </w:r>
            <w:r w:rsidRPr="00F7263B">
              <w:rPr>
                <w:rFonts w:ascii="Times New Roman" w:hAnsi="Times New Roman" w:cs="Times New Roman"/>
                <w:sz w:val="20"/>
                <w:szCs w:val="20"/>
              </w:rPr>
              <w:t xml:space="preserve">assessment, and well-performing will be rewarded.  </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An annual procurement assessment</w:t>
            </w:r>
            <w:r w:rsidR="005E3326" w:rsidRPr="00F7263B">
              <w:rPr>
                <w:rFonts w:ascii="Times New Roman" w:hAnsi="Times New Roman" w:cs="Times New Roman"/>
                <w:sz w:val="20"/>
                <w:szCs w:val="20"/>
              </w:rPr>
              <w:t>/audit</w:t>
            </w:r>
            <w:r w:rsidRPr="00F7263B">
              <w:rPr>
                <w:rFonts w:ascii="Times New Roman" w:hAnsi="Times New Roman" w:cs="Times New Roman"/>
                <w:sz w:val="20"/>
                <w:szCs w:val="20"/>
              </w:rPr>
              <w:t xml:space="preserve"> will be conducted starting the second year of the Program by the Regional Public Procurement Oversight Agency</w:t>
            </w:r>
            <w:r w:rsidR="005E3326" w:rsidRPr="00F7263B">
              <w:rPr>
                <w:rFonts w:ascii="Times New Roman" w:hAnsi="Times New Roman" w:cs="Times New Roman"/>
                <w:sz w:val="20"/>
                <w:szCs w:val="20"/>
              </w:rPr>
              <w:t xml:space="preserve"> or independent consultants</w:t>
            </w:r>
            <w:r w:rsidRPr="00F7263B">
              <w:rPr>
                <w:rFonts w:ascii="Times New Roman" w:hAnsi="Times New Roman" w:cs="Times New Roman"/>
                <w:sz w:val="20"/>
                <w:szCs w:val="20"/>
              </w:rPr>
              <w:t>.  The results will serve as an input to the annual performance assessment.</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Considerable capacity building support for procurement will be supported under the ULGDP II.  Both the federal and regional mobile teams will have procurement specialists.  The urban management course offered by the ECSU (or another institute) will include a module on procurement.</w:t>
            </w: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shd w:val="clear" w:color="auto" w:fill="D9D9D9" w:themeFill="background1" w:themeFillShade="D9"/>
          </w:tcPr>
          <w:p w:rsidR="0053260E" w:rsidRPr="00F7263B" w:rsidRDefault="0053260E" w:rsidP="0053260E">
            <w:pPr>
              <w:pStyle w:val="NoSpacing"/>
              <w:jc w:val="both"/>
              <w:rPr>
                <w:rFonts w:ascii="Times New Roman" w:hAnsi="Times New Roman" w:cs="Times New Roman"/>
                <w:b/>
                <w:sz w:val="20"/>
                <w:szCs w:val="20"/>
              </w:rPr>
            </w:pPr>
          </w:p>
        </w:tc>
        <w:tc>
          <w:tcPr>
            <w:tcW w:w="1620" w:type="dxa"/>
            <w:gridSpan w:val="5"/>
            <w:tcBorders>
              <w:top w:val="single" w:sz="4" w:space="0" w:color="A6A6A6" w:themeColor="background1" w:themeShade="A6"/>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Resp:</w:t>
            </w:r>
            <w:r w:rsidRPr="00F7263B">
              <w:rPr>
                <w:rFonts w:ascii="Times New Roman" w:hAnsi="Times New Roman" w:cs="Times New Roman"/>
                <w:sz w:val="20"/>
                <w:szCs w:val="20"/>
              </w:rPr>
              <w:t>Government at all levels</w:t>
            </w:r>
          </w:p>
        </w:tc>
        <w:tc>
          <w:tcPr>
            <w:tcW w:w="144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Stage:</w:t>
            </w:r>
            <w:r w:rsidRPr="00F7263B">
              <w:rPr>
                <w:rFonts w:ascii="Times New Roman" w:hAnsi="Times New Roman" w:cs="Times New Roman"/>
                <w:sz w:val="20"/>
                <w:szCs w:val="20"/>
              </w:rPr>
              <w:t>All</w:t>
            </w:r>
          </w:p>
        </w:tc>
        <w:tc>
          <w:tcPr>
            <w:tcW w:w="270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Due Date :</w:t>
            </w:r>
            <w:r w:rsidRPr="00F7263B">
              <w:rPr>
                <w:rFonts w:ascii="Times New Roman" w:hAnsi="Times New Roman" w:cs="Times New Roman"/>
                <w:sz w:val="20"/>
                <w:szCs w:val="20"/>
              </w:rPr>
              <w:t>Continuous</w:t>
            </w:r>
          </w:p>
        </w:tc>
        <w:tc>
          <w:tcPr>
            <w:tcW w:w="180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Status:</w:t>
            </w:r>
            <w:r w:rsidRPr="00F7263B">
              <w:rPr>
                <w:rFonts w:ascii="Times New Roman" w:hAnsi="Times New Roman" w:cs="Times New Roman"/>
                <w:sz w:val="20"/>
                <w:szCs w:val="20"/>
              </w:rPr>
              <w:t>Ongoing</w:t>
            </w:r>
          </w:p>
        </w:tc>
      </w:tr>
      <w:tr w:rsidR="0053260E" w:rsidRPr="00F7263B">
        <w:tc>
          <w:tcPr>
            <w:tcW w:w="5310" w:type="dxa"/>
            <w:tcBorders>
              <w:bottom w:val="single" w:sz="4" w:space="0" w:color="auto"/>
            </w:tcBorders>
            <w:shd w:val="clear" w:color="auto" w:fill="F2F2F2" w:themeFill="background1" w:themeFillShade="F2"/>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Fraud and corruption</w:t>
            </w:r>
          </w:p>
        </w:tc>
        <w:tc>
          <w:tcPr>
            <w:tcW w:w="1260" w:type="dxa"/>
            <w:gridSpan w:val="2"/>
            <w:tcBorders>
              <w:bottom w:val="single" w:sz="4" w:space="0" w:color="auto"/>
              <w:right w:val="single" w:sz="4" w:space="0" w:color="auto"/>
            </w:tcBorders>
            <w:shd w:val="clear" w:color="auto" w:fill="F2F2F2" w:themeFill="background1" w:themeFillShade="F2"/>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 xml:space="preserve">Rating </w:t>
            </w:r>
          </w:p>
        </w:tc>
        <w:tc>
          <w:tcPr>
            <w:tcW w:w="6300" w:type="dxa"/>
            <w:gridSpan w:val="12"/>
            <w:tcBorders>
              <w:left w:val="single" w:sz="4" w:space="0" w:color="auto"/>
              <w:bottom w:val="single" w:sz="4" w:space="0" w:color="auto"/>
            </w:tcBorders>
            <w:shd w:val="clear" w:color="auto" w:fill="F2F2F2" w:themeFill="background1" w:themeFillShade="F2"/>
            <w:vAlign w:val="center"/>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Moderate</w:t>
            </w:r>
          </w:p>
        </w:tc>
      </w:tr>
      <w:tr w:rsidR="0053260E" w:rsidRPr="00F7263B">
        <w:tc>
          <w:tcPr>
            <w:tcW w:w="5310" w:type="dxa"/>
            <w:vMerge w:val="restart"/>
            <w:shd w:val="clear" w:color="auto" w:fill="auto"/>
          </w:tcPr>
          <w:p w:rsidR="0053260E" w:rsidRPr="00F7263B" w:rsidRDefault="0053260E" w:rsidP="0053260E">
            <w:pPr>
              <w:pStyle w:val="NoSpacing"/>
              <w:rPr>
                <w:rFonts w:ascii="Times New Roman" w:eastAsiaTheme="minorHAnsi" w:hAnsi="Times New Roman" w:cs="Times New Roman"/>
                <w:color w:val="000000"/>
                <w:sz w:val="20"/>
                <w:szCs w:val="20"/>
              </w:rPr>
            </w:pPr>
            <w:r w:rsidRPr="00F7263B">
              <w:rPr>
                <w:rFonts w:ascii="Times New Roman" w:hAnsi="Times New Roman" w:cs="Times New Roman"/>
                <w:b/>
                <w:sz w:val="20"/>
                <w:szCs w:val="20"/>
              </w:rPr>
              <w:t>Description :</w:t>
            </w:r>
            <w:r w:rsidRPr="00F7263B">
              <w:rPr>
                <w:rFonts w:ascii="Times New Roman" w:eastAsiaTheme="minorHAnsi" w:hAnsi="Times New Roman" w:cs="Times New Roman"/>
                <w:color w:val="000000"/>
                <w:sz w:val="20"/>
                <w:szCs w:val="20"/>
              </w:rPr>
              <w:t>The program’s main fraud and corruption risks are manifested in the infrastructure development /construction sector, revenue collection, land management, procurement and FM, licensing and issuance of permits. Their impact on the program infrastructure development, service delivery, capacity building in decentralized ULGs is moderate.</w:t>
            </w:r>
          </w:p>
          <w:p w:rsidR="0053260E" w:rsidRPr="00F7263B" w:rsidRDefault="0053260E" w:rsidP="0053260E">
            <w:pPr>
              <w:pStyle w:val="NoSpacing"/>
              <w:rPr>
                <w:rFonts w:ascii="Times New Roman" w:eastAsiaTheme="minorHAnsi" w:hAnsi="Times New Roman" w:cs="Times New Roman"/>
                <w:color w:val="000000"/>
                <w:sz w:val="20"/>
                <w:szCs w:val="20"/>
              </w:rPr>
            </w:pPr>
          </w:p>
          <w:p w:rsidR="0053260E" w:rsidRPr="00F7263B" w:rsidRDefault="0053260E" w:rsidP="0053260E">
            <w:pPr>
              <w:pStyle w:val="NoSpacing"/>
              <w:rPr>
                <w:rFonts w:ascii="Times New Roman" w:hAnsi="Times New Roman" w:cs="Times New Roman"/>
                <w:b/>
                <w:sz w:val="20"/>
                <w:szCs w:val="20"/>
              </w:rPr>
            </w:pPr>
          </w:p>
        </w:tc>
        <w:tc>
          <w:tcPr>
            <w:tcW w:w="7560" w:type="dxa"/>
            <w:gridSpan w:val="14"/>
            <w:tcBorders>
              <w:bottom w:val="single" w:sz="4" w:space="0" w:color="auto"/>
            </w:tcBorders>
            <w:shd w:val="clear" w:color="auto" w:fill="auto"/>
            <w:vAlign w:val="center"/>
          </w:tcPr>
          <w:p w:rsidR="0053260E" w:rsidRPr="00F7263B" w:rsidRDefault="0053260E" w:rsidP="0053260E">
            <w:pPr>
              <w:pStyle w:val="NoSpacing"/>
              <w:rPr>
                <w:rFonts w:ascii="Times New Roman" w:hAnsi="Times New Roman" w:cs="Times New Roman"/>
                <w:color w:val="000000"/>
                <w:sz w:val="20"/>
                <w:szCs w:val="20"/>
              </w:rPr>
            </w:pPr>
            <w:r w:rsidRPr="00F7263B">
              <w:rPr>
                <w:rFonts w:ascii="Times New Roman" w:hAnsi="Times New Roman" w:cs="Times New Roman"/>
                <w:b/>
                <w:sz w:val="20"/>
                <w:szCs w:val="20"/>
              </w:rPr>
              <w:t>Risk Management :</w:t>
            </w:r>
            <w:r w:rsidRPr="00F7263B">
              <w:rPr>
                <w:rFonts w:ascii="Times New Roman" w:hAnsi="Times New Roman" w:cs="Times New Roman"/>
                <w:color w:val="000000"/>
                <w:sz w:val="20"/>
                <w:szCs w:val="20"/>
              </w:rPr>
              <w:t xml:space="preserve">The World Bank's Institutional Integrity </w:t>
            </w:r>
            <w:r w:rsidRPr="00F7263B">
              <w:rPr>
                <w:rFonts w:ascii="Times New Roman" w:hAnsi="Times New Roman" w:cs="Times New Roman"/>
                <w:sz w:val="20"/>
                <w:szCs w:val="20"/>
              </w:rPr>
              <w:t>Unit</w:t>
            </w:r>
            <w:r w:rsidRPr="00F7263B">
              <w:rPr>
                <w:rFonts w:ascii="Times New Roman" w:hAnsi="Times New Roman" w:cs="Times New Roman"/>
                <w:color w:val="000000"/>
                <w:sz w:val="20"/>
                <w:szCs w:val="20"/>
              </w:rPr>
              <w:t xml:space="preserve"> (INT) has a good working relationship with the </w:t>
            </w:r>
            <w:r w:rsidRPr="00F7263B">
              <w:rPr>
                <w:rFonts w:ascii="Times New Roman" w:eastAsia="Times New Roman" w:hAnsi="Times New Roman" w:cs="Times New Roman"/>
                <w:color w:val="000000"/>
                <w:sz w:val="20"/>
                <w:szCs w:val="20"/>
              </w:rPr>
              <w:t xml:space="preserve"> Federal Ethics and Anti-Corruption Commission</w:t>
            </w:r>
            <w:r w:rsidRPr="00F7263B">
              <w:rPr>
                <w:rFonts w:ascii="Times New Roman" w:hAnsi="Times New Roman" w:cs="Times New Roman"/>
                <w:color w:val="000000"/>
                <w:sz w:val="20"/>
                <w:szCs w:val="20"/>
              </w:rPr>
              <w:t xml:space="preserve">(FEACC) documented in a Memorandum of </w:t>
            </w:r>
            <w:r w:rsidRPr="00F7263B">
              <w:rPr>
                <w:rFonts w:ascii="Times New Roman" w:hAnsi="Times New Roman" w:cs="Times New Roman"/>
                <w:sz w:val="20"/>
                <w:szCs w:val="20"/>
              </w:rPr>
              <w:t>Understanding</w:t>
            </w:r>
            <w:r w:rsidRPr="00F7263B">
              <w:rPr>
                <w:rFonts w:ascii="Times New Roman" w:hAnsi="Times New Roman" w:cs="Times New Roman"/>
                <w:color w:val="000000"/>
                <w:sz w:val="20"/>
                <w:szCs w:val="20"/>
              </w:rPr>
              <w:t xml:space="preserve"> (MOU) signed between them on October 3, 2011. The MOU provides a framework for cooperation and sharing of information, where appropriate, taking into consideration the legal and policy framework and mandate of each organization. Thus far, the working relationship between INT and FEACC based on the MOU has been cooperative and productive. The MOU will provide the Bank and INT with a foundation for expanding the existing working relationship to cover future cooperative investigations under the PforR Program when needed, and for helping to ensure that the Government of Ethiopia and the FEACC can implement their commitments under the Anti-Corruption Guidelines.</w:t>
            </w:r>
          </w:p>
          <w:p w:rsidR="0053260E" w:rsidRPr="00F7263B" w:rsidRDefault="0053260E" w:rsidP="0053260E">
            <w:pPr>
              <w:pStyle w:val="NoSpacing"/>
              <w:rPr>
                <w:rFonts w:ascii="Times New Roman" w:hAnsi="Times New Roman" w:cs="Times New Roman"/>
                <w:color w:val="000000"/>
                <w:sz w:val="20"/>
                <w:szCs w:val="20"/>
              </w:rPr>
            </w:pPr>
          </w:p>
          <w:p w:rsidR="0053260E" w:rsidRPr="00F7263B" w:rsidRDefault="0053260E" w:rsidP="0053260E">
            <w:pPr>
              <w:pStyle w:val="NoSpacing"/>
              <w:rPr>
                <w:rFonts w:ascii="Times New Roman" w:hAnsi="Times New Roman" w:cs="Times New Roman"/>
                <w:b/>
                <w:sz w:val="20"/>
                <w:szCs w:val="20"/>
              </w:rPr>
            </w:pPr>
            <w:r w:rsidRPr="00F7263B">
              <w:rPr>
                <w:rFonts w:ascii="Times New Roman" w:hAnsi="Times New Roman" w:cs="Times New Roman"/>
                <w:color w:val="000000"/>
                <w:sz w:val="20"/>
                <w:szCs w:val="20"/>
              </w:rPr>
              <w:t>The ULGDP II will support an ethics specialist as part of the federal mobile team.</w:t>
            </w:r>
          </w:p>
        </w:tc>
      </w:tr>
      <w:tr w:rsidR="0053260E" w:rsidRPr="00F7263B">
        <w:tc>
          <w:tcPr>
            <w:tcW w:w="5310" w:type="dxa"/>
            <w:vMerge/>
            <w:tcBorders>
              <w:bottom w:val="single" w:sz="4" w:space="0" w:color="auto"/>
            </w:tcBorders>
            <w:shd w:val="clear" w:color="auto" w:fill="auto"/>
          </w:tcPr>
          <w:p w:rsidR="0053260E" w:rsidRPr="00F7263B" w:rsidRDefault="0053260E" w:rsidP="0053260E">
            <w:pPr>
              <w:pStyle w:val="NoSpacing"/>
              <w:jc w:val="both"/>
              <w:rPr>
                <w:rFonts w:ascii="Times New Roman" w:hAnsi="Times New Roman" w:cs="Times New Roman"/>
                <w:sz w:val="20"/>
                <w:szCs w:val="20"/>
              </w:rPr>
            </w:pPr>
          </w:p>
        </w:tc>
        <w:tc>
          <w:tcPr>
            <w:tcW w:w="1890" w:type="dxa"/>
            <w:gridSpan w:val="6"/>
            <w:tcBorders>
              <w:bottom w:val="single" w:sz="4" w:space="0" w:color="auto"/>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 xml:space="preserve">Resp: </w:t>
            </w:r>
            <w:r w:rsidRPr="00F7263B">
              <w:rPr>
                <w:rFonts w:ascii="Times New Roman" w:hAnsi="Times New Roman" w:cs="Times New Roman"/>
                <w:sz w:val="20"/>
                <w:szCs w:val="20"/>
              </w:rPr>
              <w:t>Government at all levels</w:t>
            </w:r>
          </w:p>
        </w:tc>
        <w:tc>
          <w:tcPr>
            <w:tcW w:w="1890" w:type="dxa"/>
            <w:gridSpan w:val="3"/>
            <w:tcBorders>
              <w:bottom w:val="single" w:sz="4" w:space="0" w:color="auto"/>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Stage:</w:t>
            </w:r>
            <w:r w:rsidRPr="00F7263B">
              <w:rPr>
                <w:rFonts w:ascii="Times New Roman" w:hAnsi="Times New Roman" w:cs="Times New Roman"/>
                <w:sz w:val="20"/>
                <w:szCs w:val="20"/>
              </w:rPr>
              <w:t>All</w:t>
            </w:r>
          </w:p>
        </w:tc>
        <w:tc>
          <w:tcPr>
            <w:tcW w:w="1890" w:type="dxa"/>
            <w:gridSpan w:val="2"/>
            <w:tcBorders>
              <w:bottom w:val="single" w:sz="4" w:space="0" w:color="auto"/>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Due Date :</w:t>
            </w:r>
            <w:r w:rsidRPr="00F7263B">
              <w:rPr>
                <w:rFonts w:ascii="Times New Roman" w:hAnsi="Times New Roman" w:cs="Times New Roman"/>
                <w:sz w:val="20"/>
                <w:szCs w:val="20"/>
              </w:rPr>
              <w:t>Continuous</w:t>
            </w:r>
          </w:p>
        </w:tc>
        <w:tc>
          <w:tcPr>
            <w:tcW w:w="1890" w:type="dxa"/>
            <w:gridSpan w:val="3"/>
            <w:tcBorders>
              <w:bottom w:val="single" w:sz="4" w:space="0" w:color="auto"/>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Status:</w:t>
            </w:r>
            <w:r w:rsidRPr="00F7263B">
              <w:rPr>
                <w:rFonts w:ascii="Times New Roman" w:hAnsi="Times New Roman" w:cs="Times New Roman"/>
                <w:sz w:val="20"/>
                <w:szCs w:val="20"/>
              </w:rPr>
              <w:t>Ongoing</w:t>
            </w: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tcBorders>
              <w:top w:val="single" w:sz="4" w:space="0" w:color="000000"/>
              <w:left w:val="single" w:sz="4" w:space="0" w:color="000000"/>
              <w:right w:val="single" w:sz="4" w:space="0" w:color="000000"/>
            </w:tcBorders>
            <w:shd w:val="clear" w:color="auto" w:fill="D9D9D9" w:themeFill="background1" w:themeFillShade="D9"/>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lastRenderedPageBreak/>
              <w:t>2.3 Environment and Social</w:t>
            </w:r>
          </w:p>
        </w:tc>
        <w:tc>
          <w:tcPr>
            <w:tcW w:w="7560" w:type="dxa"/>
            <w:gridSpan w:val="14"/>
            <w:tcBorders>
              <w:top w:val="single" w:sz="4" w:space="0" w:color="000000"/>
              <w:left w:val="single" w:sz="4" w:space="0" w:color="000000"/>
              <w:bottom w:val="single" w:sz="4" w:space="0" w:color="A6A6A6" w:themeColor="background1" w:themeShade="A6"/>
              <w:right w:val="single" w:sz="4" w:space="0" w:color="000000"/>
            </w:tcBorders>
            <w:shd w:val="clear" w:color="auto" w:fill="D9D9D9" w:themeFill="background1" w:themeFillShade="D9"/>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Rating:  Moderate</w:t>
            </w: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val="restart"/>
            <w:tcBorders>
              <w:top w:val="single" w:sz="4" w:space="0" w:color="000000"/>
              <w:left w:val="single" w:sz="4" w:space="0" w:color="000000"/>
              <w:right w:val="single" w:sz="4" w:space="0" w:color="000000"/>
            </w:tcBorders>
            <w:shd w:val="clear" w:color="auto" w:fill="auto"/>
          </w:tcPr>
          <w:p w:rsidR="0053260E" w:rsidRPr="00F7263B" w:rsidRDefault="0053260E" w:rsidP="0053260E">
            <w:pPr>
              <w:pStyle w:val="NoSpacing"/>
              <w:rPr>
                <w:rFonts w:ascii="Times New Roman" w:hAnsi="Times New Roman" w:cs="Times New Roman"/>
                <w:b/>
                <w:sz w:val="20"/>
                <w:szCs w:val="20"/>
              </w:rPr>
            </w:pPr>
            <w:r w:rsidRPr="00F7263B">
              <w:rPr>
                <w:rFonts w:ascii="Times New Roman" w:hAnsi="Times New Roman" w:cs="Times New Roman"/>
                <w:b/>
                <w:sz w:val="20"/>
                <w:szCs w:val="20"/>
              </w:rPr>
              <w:t xml:space="preserve">Description: </w:t>
            </w:r>
            <w:r w:rsidRPr="00F7263B">
              <w:rPr>
                <w:rFonts w:ascii="Times New Roman" w:hAnsi="Times New Roman" w:cs="Times New Roman"/>
                <w:sz w:val="20"/>
                <w:szCs w:val="20"/>
              </w:rPr>
              <w:t>Ethiopia has adequate legal framework for environmental and social management in urban sector, including a robust set of environment and social regulations, a court system, and accountability provisions integrated into the system. However, the quality of implementation and effectiveness of existing provisions are highly uneven.  Risks relate primarily to lack of application of standard procedures for risk screening and implementation of mitigation measures at local level, lack of coordination among agencies, and lack of technical capacity and resources.</w:t>
            </w:r>
          </w:p>
        </w:tc>
        <w:tc>
          <w:tcPr>
            <w:tcW w:w="7560" w:type="dxa"/>
            <w:gridSpan w:val="14"/>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b/>
                <w:sz w:val="20"/>
                <w:szCs w:val="20"/>
              </w:rPr>
              <w:t>Risk Management :</w:t>
            </w:r>
            <w:r w:rsidRPr="00F7263B">
              <w:rPr>
                <w:rFonts w:ascii="Times New Roman" w:hAnsi="Times New Roman" w:cs="Times New Roman"/>
                <w:sz w:val="20"/>
                <w:szCs w:val="20"/>
              </w:rPr>
              <w:t>A minimum condition to access Program funds is that a ULG demonstrate it has established a functional system for environmental and social management.</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ULGDP II will support considerable capacity building for management of environmental and social risks through both federal and regional mobile teams.</w:t>
            </w:r>
          </w:p>
          <w:p w:rsidR="0053260E" w:rsidRPr="00F7263B" w:rsidRDefault="0053260E" w:rsidP="0053260E">
            <w:pPr>
              <w:pStyle w:val="NoSpacing"/>
              <w:tabs>
                <w:tab w:val="left" w:pos="372"/>
              </w:tabs>
              <w:rPr>
                <w:rFonts w:ascii="Times New Roman" w:hAnsi="Times New Roman" w:cs="Times New Roman"/>
                <w:sz w:val="20"/>
                <w:szCs w:val="20"/>
              </w:rPr>
            </w:pPr>
            <w:r w:rsidRPr="00F7263B">
              <w:rPr>
                <w:rFonts w:ascii="Times New Roman" w:hAnsi="Times New Roman" w:cs="Times New Roman"/>
                <w:sz w:val="20"/>
                <w:szCs w:val="20"/>
              </w:rPr>
              <w:t xml:space="preserve">A DLI provides resources to the REPAs to encourage them to effectively perform their oversight and backstopping roles. </w:t>
            </w: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tcBorders>
              <w:left w:val="single" w:sz="4" w:space="0" w:color="000000"/>
              <w:right w:val="single" w:sz="4" w:space="0" w:color="000000"/>
            </w:tcBorders>
            <w:shd w:val="clear" w:color="auto" w:fill="auto"/>
          </w:tcPr>
          <w:p w:rsidR="0053260E" w:rsidRPr="00F7263B" w:rsidRDefault="0053260E" w:rsidP="0053260E">
            <w:pPr>
              <w:pStyle w:val="NoSpacing"/>
              <w:jc w:val="both"/>
              <w:rPr>
                <w:rFonts w:ascii="Times New Roman" w:hAnsi="Times New Roman" w:cs="Times New Roman"/>
                <w:b/>
                <w:sz w:val="20"/>
                <w:szCs w:val="20"/>
              </w:rPr>
            </w:pPr>
          </w:p>
        </w:tc>
        <w:tc>
          <w:tcPr>
            <w:tcW w:w="162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Resp:</w:t>
            </w:r>
            <w:r w:rsidRPr="00F7263B">
              <w:rPr>
                <w:rFonts w:ascii="Times New Roman" w:hAnsi="Times New Roman" w:cs="Times New Roman"/>
                <w:sz w:val="20"/>
                <w:szCs w:val="20"/>
              </w:rPr>
              <w:t>Government at all levels</w:t>
            </w:r>
          </w:p>
        </w:tc>
        <w:tc>
          <w:tcPr>
            <w:tcW w:w="144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Stage:</w:t>
            </w:r>
            <w:r w:rsidRPr="00F7263B">
              <w:rPr>
                <w:rFonts w:ascii="Times New Roman" w:hAnsi="Times New Roman" w:cs="Times New Roman"/>
                <w:sz w:val="20"/>
                <w:szCs w:val="20"/>
              </w:rPr>
              <w:t>All</w:t>
            </w:r>
          </w:p>
        </w:tc>
        <w:tc>
          <w:tcPr>
            <w:tcW w:w="270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Due Date :</w:t>
            </w:r>
            <w:r w:rsidRPr="00F7263B">
              <w:rPr>
                <w:rFonts w:ascii="Times New Roman" w:hAnsi="Times New Roman" w:cs="Times New Roman"/>
                <w:sz w:val="20"/>
                <w:szCs w:val="20"/>
              </w:rPr>
              <w:t>Continuous</w:t>
            </w:r>
          </w:p>
        </w:tc>
        <w:tc>
          <w:tcPr>
            <w:tcW w:w="180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Status:</w:t>
            </w:r>
            <w:r w:rsidRPr="00F7263B">
              <w:rPr>
                <w:rFonts w:ascii="Times New Roman" w:hAnsi="Times New Roman" w:cs="Times New Roman"/>
                <w:sz w:val="20"/>
                <w:szCs w:val="20"/>
              </w:rPr>
              <w:t>Ongoing</w:t>
            </w:r>
          </w:p>
        </w:tc>
      </w:tr>
      <w:tr w:rsidR="0053260E" w:rsidRPr="00F7263B">
        <w:tc>
          <w:tcPr>
            <w:tcW w:w="5310" w:type="dxa"/>
            <w:shd w:val="pct5" w:color="auto" w:fill="auto"/>
            <w:vAlign w:val="center"/>
          </w:tcPr>
          <w:p w:rsidR="0053260E" w:rsidRPr="00F7263B" w:rsidRDefault="0053260E" w:rsidP="0053260E">
            <w:pPr>
              <w:pStyle w:val="NoSpacing"/>
              <w:numPr>
                <w:ilvl w:val="1"/>
                <w:numId w:val="5"/>
              </w:numPr>
              <w:jc w:val="both"/>
              <w:rPr>
                <w:rFonts w:ascii="Times New Roman" w:hAnsi="Times New Roman" w:cs="Times New Roman"/>
                <w:b/>
                <w:sz w:val="20"/>
                <w:szCs w:val="20"/>
              </w:rPr>
            </w:pPr>
            <w:r w:rsidRPr="00F7263B">
              <w:rPr>
                <w:rFonts w:ascii="Times New Roman" w:hAnsi="Times New Roman" w:cs="Times New Roman"/>
                <w:b/>
                <w:sz w:val="20"/>
                <w:szCs w:val="20"/>
              </w:rPr>
              <w:t>Disbursement linked indicator risks</w:t>
            </w:r>
          </w:p>
        </w:tc>
        <w:tc>
          <w:tcPr>
            <w:tcW w:w="1260" w:type="dxa"/>
            <w:gridSpan w:val="2"/>
            <w:tcBorders>
              <w:right w:val="single" w:sz="4" w:space="0" w:color="auto"/>
            </w:tcBorders>
            <w:shd w:val="pct5" w:color="auto" w:fill="auto"/>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Rating:</w:t>
            </w:r>
          </w:p>
        </w:tc>
        <w:tc>
          <w:tcPr>
            <w:tcW w:w="6300" w:type="dxa"/>
            <w:gridSpan w:val="12"/>
            <w:tcBorders>
              <w:left w:val="single" w:sz="4" w:space="0" w:color="auto"/>
            </w:tcBorders>
            <w:shd w:val="pct5" w:color="auto" w:fill="auto"/>
            <w:vAlign w:val="center"/>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Substantial</w:t>
            </w:r>
          </w:p>
        </w:tc>
      </w:tr>
      <w:tr w:rsidR="0053260E" w:rsidRPr="00F7263B">
        <w:tc>
          <w:tcPr>
            <w:tcW w:w="5310" w:type="dxa"/>
            <w:vMerge w:val="restart"/>
            <w:shd w:val="clear" w:color="auto" w:fill="auto"/>
          </w:tcPr>
          <w:p w:rsidR="0053260E" w:rsidRPr="00F7263B" w:rsidRDefault="0053260E" w:rsidP="0053260E">
            <w:pPr>
              <w:pStyle w:val="NoSpacing"/>
              <w:rPr>
                <w:rFonts w:ascii="Times New Roman" w:hAnsi="Times New Roman" w:cs="Times New Roman"/>
                <w:sz w:val="20"/>
                <w:szCs w:val="20"/>
              </w:rPr>
            </w:pPr>
            <w:r w:rsidRPr="00F7263B">
              <w:rPr>
                <w:rFonts w:ascii="Times New Roman" w:hAnsi="Times New Roman" w:cs="Times New Roman"/>
                <w:b/>
                <w:sz w:val="20"/>
                <w:szCs w:val="20"/>
              </w:rPr>
              <w:t>Description :</w:t>
            </w:r>
            <w:r w:rsidRPr="00F7263B">
              <w:rPr>
                <w:rFonts w:ascii="Times New Roman" w:hAnsi="Times New Roman" w:cs="Times New Roman"/>
                <w:sz w:val="20"/>
                <w:szCs w:val="20"/>
              </w:rPr>
              <w:t xml:space="preserve">There are nine DLIs, targeting 44 ULGs, nine regional governments (and 3 regional agencies in each), and one federal ministry.  With such a complex system, the likelihood that some are not achieved is substantial.  </w:t>
            </w:r>
          </w:p>
          <w:p w:rsidR="0053260E" w:rsidRPr="00F7263B" w:rsidRDefault="0053260E" w:rsidP="0053260E">
            <w:pPr>
              <w:pStyle w:val="NoSpacing"/>
              <w:rPr>
                <w:rFonts w:ascii="Times New Roman" w:hAnsi="Times New Roman" w:cs="Times New Roman"/>
                <w:b/>
                <w:sz w:val="20"/>
                <w:szCs w:val="20"/>
              </w:rPr>
            </w:pPr>
          </w:p>
        </w:tc>
        <w:tc>
          <w:tcPr>
            <w:tcW w:w="7560" w:type="dxa"/>
            <w:gridSpan w:val="14"/>
            <w:shd w:val="clear" w:color="auto" w:fill="auto"/>
          </w:tcPr>
          <w:p w:rsidR="0053260E" w:rsidRPr="00F7263B" w:rsidRDefault="0053260E" w:rsidP="0053260E">
            <w:pPr>
              <w:pStyle w:val="NoSpacing"/>
              <w:rPr>
                <w:rFonts w:ascii="Times New Roman" w:hAnsi="Times New Roman" w:cs="Times New Roman"/>
                <w:sz w:val="20"/>
                <w:szCs w:val="20"/>
              </w:rPr>
            </w:pPr>
            <w:r w:rsidRPr="00F7263B">
              <w:rPr>
                <w:rFonts w:ascii="Times New Roman" w:hAnsi="Times New Roman" w:cs="Times New Roman"/>
                <w:b/>
                <w:sz w:val="20"/>
                <w:szCs w:val="20"/>
              </w:rPr>
              <w:t>Risk Management :</w:t>
            </w:r>
            <w:r w:rsidRPr="00F7263B">
              <w:rPr>
                <w:rFonts w:ascii="Times New Roman" w:hAnsi="Times New Roman" w:cs="Times New Roman"/>
                <w:sz w:val="20"/>
                <w:szCs w:val="20"/>
              </w:rPr>
              <w:t xml:space="preserve">The requirements for the DLIs have been discussed exhaustively with the government and agreed.  Both the Bank and government teams view them as achievable. </w:t>
            </w:r>
          </w:p>
          <w:p w:rsidR="0053260E" w:rsidRPr="00F7263B" w:rsidRDefault="0053260E" w:rsidP="0053260E">
            <w:pPr>
              <w:pStyle w:val="NoSpacing"/>
              <w:rPr>
                <w:rFonts w:ascii="Times New Roman" w:hAnsi="Times New Roman" w:cs="Times New Roman"/>
                <w:sz w:val="20"/>
                <w:szCs w:val="20"/>
              </w:rPr>
            </w:pPr>
            <w:r w:rsidRPr="00F7263B">
              <w:rPr>
                <w:rFonts w:ascii="Times New Roman" w:hAnsi="Times New Roman" w:cs="Times New Roman"/>
                <w:sz w:val="20"/>
                <w:szCs w:val="20"/>
              </w:rPr>
              <w:t>Targeted entities have been briefed, and can start planning immediately to achieve the DLIs.</w:t>
            </w:r>
          </w:p>
          <w:p w:rsidR="0053260E" w:rsidRPr="00F7263B" w:rsidRDefault="0053260E" w:rsidP="0053260E">
            <w:pPr>
              <w:pStyle w:val="NoSpacing"/>
              <w:rPr>
                <w:rFonts w:ascii="Times New Roman" w:hAnsi="Times New Roman" w:cs="Times New Roman"/>
                <w:sz w:val="20"/>
                <w:szCs w:val="20"/>
              </w:rPr>
            </w:pPr>
            <w:r w:rsidRPr="00F7263B">
              <w:rPr>
                <w:rFonts w:ascii="Times New Roman" w:hAnsi="Times New Roman" w:cs="Times New Roman"/>
                <w:sz w:val="20"/>
                <w:szCs w:val="20"/>
              </w:rPr>
              <w:t xml:space="preserve">Considerable capacity building support is being provided under the ULGDP II to assist targeted entities in achieving the DLIs.  </w:t>
            </w:r>
          </w:p>
          <w:p w:rsidR="0053260E" w:rsidRPr="00F7263B" w:rsidRDefault="0053260E" w:rsidP="0053260E">
            <w:pPr>
              <w:pStyle w:val="NoSpacing"/>
              <w:rPr>
                <w:rFonts w:ascii="Times New Roman" w:hAnsi="Times New Roman" w:cs="Times New Roman"/>
                <w:b/>
                <w:sz w:val="20"/>
                <w:szCs w:val="20"/>
              </w:rPr>
            </w:pPr>
          </w:p>
        </w:tc>
      </w:tr>
      <w:tr w:rsidR="0053260E" w:rsidRPr="00F7263B">
        <w:tc>
          <w:tcPr>
            <w:tcW w:w="5310" w:type="dxa"/>
            <w:vMerge/>
            <w:shd w:val="pct5" w:color="auto" w:fill="auto"/>
            <w:vAlign w:val="center"/>
          </w:tcPr>
          <w:p w:rsidR="0053260E" w:rsidRPr="00F7263B" w:rsidRDefault="0053260E" w:rsidP="0053260E">
            <w:pPr>
              <w:pStyle w:val="NoSpacing"/>
              <w:numPr>
                <w:ilvl w:val="1"/>
                <w:numId w:val="5"/>
              </w:numPr>
              <w:jc w:val="both"/>
              <w:rPr>
                <w:rFonts w:ascii="Times New Roman" w:hAnsi="Times New Roman" w:cs="Times New Roman"/>
                <w:b/>
                <w:sz w:val="20"/>
                <w:szCs w:val="20"/>
              </w:rPr>
            </w:pPr>
          </w:p>
        </w:tc>
        <w:tc>
          <w:tcPr>
            <w:tcW w:w="1278" w:type="dxa"/>
            <w:gridSpan w:val="3"/>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Resp:</w:t>
            </w:r>
            <w:r w:rsidRPr="00F7263B">
              <w:rPr>
                <w:rFonts w:ascii="Times New Roman" w:hAnsi="Times New Roman" w:cs="Times New Roman"/>
                <w:sz w:val="20"/>
                <w:szCs w:val="20"/>
              </w:rPr>
              <w:t>Government at all levels</w:t>
            </w:r>
          </w:p>
        </w:tc>
        <w:tc>
          <w:tcPr>
            <w:tcW w:w="1800" w:type="dxa"/>
            <w:gridSpan w:val="5"/>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Stage:</w:t>
            </w:r>
            <w:r w:rsidRPr="00F7263B">
              <w:rPr>
                <w:rFonts w:ascii="Times New Roman" w:hAnsi="Times New Roman" w:cs="Times New Roman"/>
                <w:sz w:val="20"/>
                <w:szCs w:val="20"/>
              </w:rPr>
              <w:t>All</w:t>
            </w:r>
          </w:p>
        </w:tc>
        <w:tc>
          <w:tcPr>
            <w:tcW w:w="2700" w:type="dxa"/>
            <w:gridSpan w:val="5"/>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Due Date :</w:t>
            </w:r>
            <w:r w:rsidRPr="00F7263B">
              <w:rPr>
                <w:rFonts w:ascii="Times New Roman" w:hAnsi="Times New Roman" w:cs="Times New Roman"/>
                <w:sz w:val="20"/>
                <w:szCs w:val="20"/>
              </w:rPr>
              <w:t>Continuous</w:t>
            </w:r>
          </w:p>
        </w:tc>
        <w:tc>
          <w:tcPr>
            <w:tcW w:w="1782" w:type="dxa"/>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Status:</w:t>
            </w:r>
            <w:r w:rsidRPr="00F7263B">
              <w:rPr>
                <w:rFonts w:ascii="Times New Roman" w:hAnsi="Times New Roman" w:cs="Times New Roman"/>
                <w:sz w:val="20"/>
                <w:szCs w:val="20"/>
              </w:rPr>
              <w:t>Ongoing</w:t>
            </w:r>
          </w:p>
        </w:tc>
      </w:tr>
      <w:tr w:rsidR="0053260E" w:rsidRPr="00F7263B">
        <w:tc>
          <w:tcPr>
            <w:tcW w:w="5310" w:type="dxa"/>
            <w:shd w:val="pct5" w:color="auto" w:fill="auto"/>
            <w:vAlign w:val="center"/>
          </w:tcPr>
          <w:p w:rsidR="0053260E" w:rsidRPr="00F7263B" w:rsidRDefault="0053260E" w:rsidP="0053260E">
            <w:pPr>
              <w:pStyle w:val="NoSpacing"/>
              <w:numPr>
                <w:ilvl w:val="1"/>
                <w:numId w:val="5"/>
              </w:numPr>
              <w:jc w:val="both"/>
              <w:rPr>
                <w:rFonts w:ascii="Times New Roman" w:hAnsi="Times New Roman" w:cs="Times New Roman"/>
                <w:b/>
                <w:sz w:val="20"/>
                <w:szCs w:val="20"/>
              </w:rPr>
            </w:pPr>
            <w:r w:rsidRPr="00F7263B">
              <w:rPr>
                <w:rFonts w:ascii="Times New Roman" w:hAnsi="Times New Roman" w:cs="Times New Roman"/>
                <w:b/>
                <w:sz w:val="20"/>
                <w:szCs w:val="20"/>
              </w:rPr>
              <w:t xml:space="preserve"> Other Risks (Optional)</w:t>
            </w:r>
          </w:p>
        </w:tc>
        <w:tc>
          <w:tcPr>
            <w:tcW w:w="1260" w:type="dxa"/>
            <w:gridSpan w:val="2"/>
            <w:tcBorders>
              <w:right w:val="single" w:sz="4" w:space="0" w:color="auto"/>
            </w:tcBorders>
            <w:shd w:val="pct5" w:color="auto" w:fill="auto"/>
          </w:tcPr>
          <w:p w:rsidR="0053260E" w:rsidRPr="00F7263B" w:rsidRDefault="0053260E" w:rsidP="0053260E">
            <w:pPr>
              <w:pStyle w:val="NoSpacing"/>
              <w:jc w:val="both"/>
              <w:rPr>
                <w:rFonts w:ascii="Times New Roman" w:hAnsi="Times New Roman" w:cs="Times New Roman"/>
                <w:b/>
                <w:sz w:val="20"/>
                <w:szCs w:val="20"/>
              </w:rPr>
            </w:pPr>
          </w:p>
        </w:tc>
        <w:tc>
          <w:tcPr>
            <w:tcW w:w="6300" w:type="dxa"/>
            <w:gridSpan w:val="12"/>
            <w:tcBorders>
              <w:left w:val="single" w:sz="4" w:space="0" w:color="auto"/>
            </w:tcBorders>
            <w:shd w:val="pct5" w:color="auto" w:fill="auto"/>
            <w:vAlign w:val="center"/>
          </w:tcPr>
          <w:p w:rsidR="0053260E" w:rsidRPr="00F7263B" w:rsidRDefault="0053260E" w:rsidP="0053260E">
            <w:pPr>
              <w:pStyle w:val="NoSpacing"/>
              <w:jc w:val="both"/>
              <w:rPr>
                <w:rFonts w:ascii="Times New Roman" w:hAnsi="Times New Roman" w:cs="Times New Roman"/>
                <w:b/>
                <w:sz w:val="20"/>
                <w:szCs w:val="20"/>
              </w:rPr>
            </w:pP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val="restart"/>
            <w:tcBorders>
              <w:top w:val="single" w:sz="4" w:space="0" w:color="000000"/>
              <w:left w:val="single" w:sz="4" w:space="0" w:color="000000"/>
              <w:right w:val="single" w:sz="4" w:space="0" w:color="000000"/>
            </w:tcBorders>
            <w:shd w:val="clear" w:color="auto" w:fill="auto"/>
          </w:tcPr>
          <w:p w:rsidR="0053260E" w:rsidRPr="00F7263B" w:rsidRDefault="0053260E" w:rsidP="0053260E">
            <w:pPr>
              <w:pStyle w:val="NoSpacing"/>
              <w:jc w:val="both"/>
              <w:rPr>
                <w:rFonts w:ascii="Times New Roman" w:hAnsi="Times New Roman" w:cs="Times New Roman"/>
                <w:b/>
                <w:sz w:val="20"/>
                <w:szCs w:val="20"/>
              </w:rPr>
            </w:pPr>
            <w:r w:rsidRPr="00F7263B">
              <w:rPr>
                <w:rFonts w:ascii="Times New Roman" w:hAnsi="Times New Roman" w:cs="Times New Roman"/>
                <w:b/>
                <w:sz w:val="20"/>
                <w:szCs w:val="20"/>
              </w:rPr>
              <w:t xml:space="preserve">Description : </w:t>
            </w:r>
          </w:p>
        </w:tc>
        <w:tc>
          <w:tcPr>
            <w:tcW w:w="7560" w:type="dxa"/>
            <w:gridSpan w:val="14"/>
            <w:tcBorders>
              <w:top w:val="single" w:sz="4" w:space="0" w:color="000000"/>
              <w:left w:val="single" w:sz="4" w:space="0" w:color="000000"/>
              <w:bottom w:val="single" w:sz="4" w:space="0" w:color="A6A6A6" w:themeColor="background1" w:themeShade="A6"/>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Risk Management :</w:t>
            </w:r>
          </w:p>
          <w:p w:rsidR="0053260E" w:rsidRPr="00F7263B" w:rsidRDefault="0053260E" w:rsidP="0053260E">
            <w:pPr>
              <w:pStyle w:val="NoSpacing"/>
              <w:jc w:val="both"/>
              <w:rPr>
                <w:rFonts w:ascii="Times New Roman" w:hAnsi="Times New Roman" w:cs="Times New Roman"/>
                <w:b/>
                <w:sz w:val="20"/>
                <w:szCs w:val="20"/>
              </w:rPr>
            </w:pPr>
          </w:p>
        </w:tc>
      </w:tr>
      <w:tr w:rsidR="0053260E" w:rsidRPr="00F72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5310" w:type="dxa"/>
            <w:vMerge/>
            <w:tcBorders>
              <w:left w:val="single" w:sz="4" w:space="0" w:color="000000"/>
              <w:right w:val="single" w:sz="4" w:space="0" w:color="000000"/>
            </w:tcBorders>
            <w:shd w:val="clear" w:color="auto" w:fill="auto"/>
          </w:tcPr>
          <w:p w:rsidR="0053260E" w:rsidRPr="00F7263B" w:rsidRDefault="0053260E" w:rsidP="0053260E">
            <w:pPr>
              <w:pStyle w:val="NoSpacing"/>
              <w:jc w:val="both"/>
              <w:rPr>
                <w:rFonts w:ascii="Times New Roman" w:hAnsi="Times New Roman" w:cs="Times New Roman"/>
                <w:b/>
                <w:sz w:val="20"/>
                <w:szCs w:val="20"/>
              </w:rPr>
            </w:pPr>
          </w:p>
        </w:tc>
        <w:tc>
          <w:tcPr>
            <w:tcW w:w="1620" w:type="dxa"/>
            <w:gridSpan w:val="5"/>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 xml:space="preserve">Resp:                                   </w:t>
            </w:r>
          </w:p>
        </w:tc>
        <w:tc>
          <w:tcPr>
            <w:tcW w:w="1440" w:type="dxa"/>
            <w:gridSpan w:val="2"/>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Stage:</w:t>
            </w:r>
          </w:p>
        </w:tc>
        <w:tc>
          <w:tcPr>
            <w:tcW w:w="1227" w:type="dxa"/>
            <w:gridSpan w:val="3"/>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Due Date :</w:t>
            </w:r>
          </w:p>
        </w:tc>
        <w:tc>
          <w:tcPr>
            <w:tcW w:w="3273" w:type="dxa"/>
            <w:gridSpan w:val="4"/>
            <w:tcBorders>
              <w:top w:val="single" w:sz="4" w:space="0" w:color="A6A6A6" w:themeColor="background1" w:themeShade="A6"/>
              <w:left w:val="single" w:sz="4" w:space="0" w:color="000000"/>
              <w:right w:val="single" w:sz="4" w:space="0" w:color="000000"/>
            </w:tcBorders>
            <w:shd w:val="clear" w:color="auto" w:fill="auto"/>
            <w:vAlign w:val="center"/>
          </w:tcPr>
          <w:p w:rsidR="0053260E" w:rsidRPr="00F7263B" w:rsidRDefault="0053260E" w:rsidP="0053260E">
            <w:pPr>
              <w:pStyle w:val="NoSpacing"/>
              <w:tabs>
                <w:tab w:val="left" w:pos="372"/>
              </w:tabs>
              <w:jc w:val="both"/>
              <w:rPr>
                <w:rFonts w:ascii="Times New Roman" w:hAnsi="Times New Roman" w:cs="Times New Roman"/>
                <w:b/>
                <w:sz w:val="20"/>
                <w:szCs w:val="20"/>
              </w:rPr>
            </w:pPr>
            <w:r w:rsidRPr="00F7263B">
              <w:rPr>
                <w:rFonts w:ascii="Times New Roman" w:hAnsi="Times New Roman" w:cs="Times New Roman"/>
                <w:b/>
                <w:sz w:val="20"/>
                <w:szCs w:val="20"/>
              </w:rPr>
              <w:t>Status:</w:t>
            </w:r>
          </w:p>
        </w:tc>
      </w:tr>
      <w:tr w:rsidR="0053260E" w:rsidRPr="00F7263B">
        <w:tc>
          <w:tcPr>
            <w:tcW w:w="12870" w:type="dxa"/>
            <w:gridSpan w:val="15"/>
            <w:shd w:val="clear" w:color="auto" w:fill="F2F2F2" w:themeFill="background1" w:themeFillShade="F2"/>
            <w:vAlign w:val="center"/>
          </w:tcPr>
          <w:p w:rsidR="0053260E" w:rsidRPr="00F7263B" w:rsidRDefault="0053260E" w:rsidP="0053260E">
            <w:pPr>
              <w:pStyle w:val="NoSpacing"/>
              <w:numPr>
                <w:ilvl w:val="0"/>
                <w:numId w:val="3"/>
              </w:numPr>
              <w:jc w:val="both"/>
              <w:rPr>
                <w:rFonts w:ascii="Times New Roman" w:hAnsi="Times New Roman" w:cs="Times New Roman"/>
                <w:b/>
                <w:sz w:val="20"/>
                <w:szCs w:val="20"/>
              </w:rPr>
            </w:pPr>
            <w:r w:rsidRPr="00F7263B">
              <w:rPr>
                <w:rFonts w:ascii="Times New Roman" w:hAnsi="Times New Roman" w:cs="Times New Roman"/>
                <w:b/>
                <w:sz w:val="20"/>
                <w:szCs w:val="20"/>
              </w:rPr>
              <w:t>OVERALL RISK RATING  Substantial</w:t>
            </w:r>
          </w:p>
        </w:tc>
      </w:tr>
      <w:tr w:rsidR="0053260E" w:rsidRPr="00F7263B">
        <w:tc>
          <w:tcPr>
            <w:tcW w:w="6742" w:type="dxa"/>
            <w:gridSpan w:val="5"/>
            <w:shd w:val="clear" w:color="auto" w:fill="auto"/>
            <w:vAlign w:val="center"/>
          </w:tcPr>
          <w:p w:rsidR="0053260E" w:rsidRPr="00F7263B" w:rsidRDefault="0053260E" w:rsidP="0053260E">
            <w:pPr>
              <w:pStyle w:val="NoSpacing"/>
              <w:ind w:left="522"/>
              <w:jc w:val="both"/>
              <w:rPr>
                <w:rFonts w:ascii="Times New Roman" w:hAnsi="Times New Roman" w:cs="Times New Roman"/>
                <w:b/>
                <w:sz w:val="20"/>
                <w:szCs w:val="20"/>
              </w:rPr>
            </w:pPr>
          </w:p>
        </w:tc>
        <w:tc>
          <w:tcPr>
            <w:tcW w:w="6128" w:type="dxa"/>
            <w:gridSpan w:val="10"/>
            <w:shd w:val="clear" w:color="auto" w:fill="auto"/>
          </w:tcPr>
          <w:p w:rsidR="0053260E" w:rsidRPr="00F7263B" w:rsidRDefault="0053260E" w:rsidP="0053260E">
            <w:pPr>
              <w:pStyle w:val="NoSpacing"/>
              <w:jc w:val="both"/>
              <w:rPr>
                <w:rFonts w:ascii="Times New Roman" w:hAnsi="Times New Roman" w:cs="Times New Roman"/>
                <w:b/>
                <w:sz w:val="20"/>
                <w:szCs w:val="20"/>
              </w:rPr>
            </w:pPr>
          </w:p>
        </w:tc>
      </w:tr>
    </w:tbl>
    <w:p w:rsidR="00721E0D" w:rsidRPr="00F7263B" w:rsidRDefault="00721E0D" w:rsidP="00556F1B">
      <w:pPr>
        <w:pStyle w:val="NoSpacing"/>
        <w:jc w:val="both"/>
        <w:rPr>
          <w:rFonts w:ascii="Times New Roman" w:hAnsi="Times New Roman" w:cs="Times New Roman"/>
          <w:b/>
          <w:sz w:val="20"/>
          <w:szCs w:val="20"/>
        </w:rPr>
      </w:pPr>
    </w:p>
    <w:p w:rsidR="00587AB1" w:rsidRPr="00F7263B" w:rsidRDefault="00587AB1" w:rsidP="00556F1B">
      <w:pPr>
        <w:pStyle w:val="NoSpacing"/>
        <w:jc w:val="both"/>
        <w:rPr>
          <w:rFonts w:ascii="Times New Roman" w:hAnsi="Times New Roman" w:cs="Times New Roman"/>
          <w:sz w:val="20"/>
          <w:szCs w:val="20"/>
        </w:rPr>
      </w:pPr>
      <w:r w:rsidRPr="00F7263B">
        <w:rPr>
          <w:rFonts w:ascii="Times New Roman" w:hAnsi="Times New Roman" w:cs="Times New Roman"/>
          <w:sz w:val="20"/>
          <w:szCs w:val="20"/>
        </w:rPr>
        <w:t>Legend: L – Low</w:t>
      </w:r>
    </w:p>
    <w:p w:rsidR="00587AB1" w:rsidRPr="00F7263B" w:rsidRDefault="00587AB1" w:rsidP="00556F1B">
      <w:pPr>
        <w:pStyle w:val="NoSpacing"/>
        <w:ind w:left="360"/>
        <w:jc w:val="both"/>
        <w:rPr>
          <w:rFonts w:ascii="Times New Roman" w:hAnsi="Times New Roman" w:cs="Times New Roman"/>
          <w:sz w:val="20"/>
          <w:szCs w:val="20"/>
        </w:rPr>
      </w:pPr>
      <w:r w:rsidRPr="00F7263B">
        <w:rPr>
          <w:rFonts w:ascii="Times New Roman" w:hAnsi="Times New Roman" w:cs="Times New Roman"/>
          <w:sz w:val="20"/>
          <w:szCs w:val="20"/>
        </w:rPr>
        <w:tab/>
        <w:t>M – Moderate</w:t>
      </w:r>
    </w:p>
    <w:p w:rsidR="00587AB1" w:rsidRPr="00F7263B" w:rsidRDefault="00587AB1" w:rsidP="00556F1B">
      <w:pPr>
        <w:pStyle w:val="NoSpacing"/>
        <w:ind w:left="360"/>
        <w:jc w:val="both"/>
        <w:rPr>
          <w:rFonts w:ascii="Times New Roman" w:hAnsi="Times New Roman" w:cs="Times New Roman"/>
          <w:sz w:val="20"/>
          <w:szCs w:val="20"/>
        </w:rPr>
      </w:pPr>
      <w:r w:rsidRPr="00F7263B">
        <w:rPr>
          <w:rFonts w:ascii="Times New Roman" w:hAnsi="Times New Roman" w:cs="Times New Roman"/>
          <w:sz w:val="20"/>
          <w:szCs w:val="20"/>
        </w:rPr>
        <w:tab/>
        <w:t>S – Substantial</w:t>
      </w:r>
    </w:p>
    <w:p w:rsidR="00587AB1" w:rsidRPr="00F7263B" w:rsidRDefault="008C0B85" w:rsidP="00556F1B">
      <w:pPr>
        <w:pStyle w:val="NoSpacing"/>
        <w:ind w:left="360"/>
        <w:jc w:val="both"/>
        <w:rPr>
          <w:rFonts w:ascii="Times New Roman" w:hAnsi="Times New Roman" w:cs="Times New Roman"/>
          <w:sz w:val="20"/>
          <w:szCs w:val="20"/>
        </w:rPr>
      </w:pPr>
      <w:r w:rsidRPr="00F7263B">
        <w:rPr>
          <w:rFonts w:ascii="Times New Roman" w:hAnsi="Times New Roman" w:cs="Times New Roman"/>
          <w:sz w:val="20"/>
          <w:szCs w:val="20"/>
        </w:rPr>
        <w:tab/>
        <w:t xml:space="preserve">H – </w:t>
      </w:r>
      <w:r w:rsidR="00587AB1" w:rsidRPr="00F7263B">
        <w:rPr>
          <w:rFonts w:ascii="Times New Roman" w:hAnsi="Times New Roman" w:cs="Times New Roman"/>
          <w:sz w:val="20"/>
          <w:szCs w:val="20"/>
        </w:rPr>
        <w:t>High</w:t>
      </w:r>
    </w:p>
    <w:p w:rsidR="00587AB1" w:rsidRPr="00F7263B" w:rsidRDefault="00587AB1" w:rsidP="00556F1B">
      <w:pPr>
        <w:pStyle w:val="NoSpacing"/>
        <w:jc w:val="both"/>
        <w:rPr>
          <w:rFonts w:ascii="Times New Roman" w:hAnsi="Times New Roman" w:cs="Times New Roman"/>
          <w:b/>
          <w:sz w:val="20"/>
          <w:szCs w:val="20"/>
        </w:rPr>
        <w:sectPr w:rsidR="00587AB1" w:rsidRPr="00F7263B">
          <w:pgSz w:w="15840" w:h="12240" w:orient="landscape"/>
          <w:pgMar w:top="1440" w:right="1440" w:bottom="1440" w:left="1440" w:header="720" w:footer="720" w:gutter="0"/>
          <w:cols w:space="720"/>
          <w:docGrid w:linePitch="360"/>
        </w:sectPr>
      </w:pPr>
    </w:p>
    <w:p w:rsidR="004D6C0B" w:rsidRPr="00F7263B" w:rsidRDefault="00EE6A26" w:rsidP="00EE6A26">
      <w:pPr>
        <w:pStyle w:val="Caption"/>
        <w:jc w:val="center"/>
      </w:pPr>
      <w:bookmarkStart w:id="102" w:name="_Toc374060183"/>
      <w:bookmarkStart w:id="103" w:name="_Toc380087834"/>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8</w:t>
      </w:r>
      <w:r w:rsidR="00B845BE" w:rsidRPr="00F7263B">
        <w:fldChar w:fldCharType="end"/>
      </w:r>
      <w:r w:rsidR="004D6C0B" w:rsidRPr="00F7263B">
        <w:t>: Program Action Plan</w:t>
      </w:r>
      <w:bookmarkEnd w:id="102"/>
      <w:bookmarkEnd w:id="103"/>
    </w:p>
    <w:p w:rsidR="000E3BD7" w:rsidRPr="00F7263B" w:rsidRDefault="000E3BD7" w:rsidP="000E3BD7">
      <w:pPr>
        <w:pStyle w:val="Caption"/>
        <w:spacing w:after="60"/>
      </w:pPr>
    </w:p>
    <w:tbl>
      <w:tblPr>
        <w:tblStyle w:val="TableGrid"/>
        <w:tblW w:w="5000" w:type="pct"/>
        <w:tblLayout w:type="fixed"/>
        <w:tblLook w:val="04A0" w:firstRow="1" w:lastRow="0" w:firstColumn="1" w:lastColumn="0" w:noHBand="0" w:noVBand="1"/>
      </w:tblPr>
      <w:tblGrid>
        <w:gridCol w:w="2178"/>
        <w:gridCol w:w="3511"/>
        <w:gridCol w:w="1618"/>
        <w:gridCol w:w="1170"/>
        <w:gridCol w:w="90"/>
        <w:gridCol w:w="1009"/>
      </w:tblGrid>
      <w:tr w:rsidR="000E3BD7" w:rsidRPr="00F7263B" w:rsidTr="000C2E0A">
        <w:trPr>
          <w:tblHeader/>
        </w:trPr>
        <w:tc>
          <w:tcPr>
            <w:tcW w:w="1137" w:type="pct"/>
            <w:tcBorders>
              <w:bottom w:val="single" w:sz="4" w:space="0" w:color="auto"/>
            </w:tcBorders>
          </w:tcPr>
          <w:p w:rsidR="000E3BD7" w:rsidRPr="00F7263B" w:rsidRDefault="000E3BD7" w:rsidP="000C2E0A">
            <w:pPr>
              <w:contextualSpacing/>
              <w:jc w:val="center"/>
              <w:rPr>
                <w:rFonts w:cs="Times New Roman"/>
                <w:b/>
                <w:sz w:val="20"/>
                <w:szCs w:val="20"/>
              </w:rPr>
            </w:pPr>
            <w:r w:rsidRPr="00F7263B">
              <w:rPr>
                <w:rFonts w:cs="Times New Roman"/>
                <w:b/>
                <w:sz w:val="20"/>
                <w:szCs w:val="20"/>
              </w:rPr>
              <w:t>Issue/risk description</w:t>
            </w:r>
          </w:p>
        </w:tc>
        <w:tc>
          <w:tcPr>
            <w:tcW w:w="1833" w:type="pct"/>
            <w:tcBorders>
              <w:bottom w:val="single" w:sz="4" w:space="0" w:color="auto"/>
            </w:tcBorders>
          </w:tcPr>
          <w:p w:rsidR="000E3BD7" w:rsidRPr="00F7263B" w:rsidRDefault="000E3BD7" w:rsidP="000C2E0A">
            <w:pPr>
              <w:contextualSpacing/>
              <w:jc w:val="center"/>
              <w:rPr>
                <w:rFonts w:cs="Times New Roman"/>
                <w:b/>
                <w:sz w:val="20"/>
                <w:szCs w:val="20"/>
              </w:rPr>
            </w:pPr>
            <w:r w:rsidRPr="00F7263B">
              <w:rPr>
                <w:rFonts w:cs="Times New Roman"/>
                <w:b/>
                <w:sz w:val="20"/>
                <w:szCs w:val="20"/>
              </w:rPr>
              <w:t>Action/Completion</w:t>
            </w:r>
          </w:p>
        </w:tc>
        <w:tc>
          <w:tcPr>
            <w:tcW w:w="845" w:type="pct"/>
            <w:tcBorders>
              <w:bottom w:val="single" w:sz="4" w:space="0" w:color="auto"/>
            </w:tcBorders>
          </w:tcPr>
          <w:p w:rsidR="000E3BD7" w:rsidRPr="00F7263B" w:rsidRDefault="000E3BD7" w:rsidP="000C2E0A">
            <w:pPr>
              <w:contextualSpacing/>
              <w:jc w:val="center"/>
              <w:rPr>
                <w:rFonts w:cs="Times New Roman"/>
                <w:b/>
                <w:sz w:val="20"/>
                <w:szCs w:val="20"/>
              </w:rPr>
            </w:pPr>
            <w:r w:rsidRPr="00F7263B">
              <w:rPr>
                <w:rFonts w:cs="Times New Roman"/>
                <w:b/>
                <w:sz w:val="20"/>
                <w:szCs w:val="20"/>
              </w:rPr>
              <w:t>Timeframe</w:t>
            </w:r>
          </w:p>
        </w:tc>
        <w:tc>
          <w:tcPr>
            <w:tcW w:w="611" w:type="pct"/>
            <w:tcBorders>
              <w:bottom w:val="single" w:sz="4" w:space="0" w:color="auto"/>
            </w:tcBorders>
          </w:tcPr>
          <w:p w:rsidR="000E3BD7" w:rsidRPr="00F7263B" w:rsidRDefault="000E3BD7" w:rsidP="000C2E0A">
            <w:pPr>
              <w:contextualSpacing/>
              <w:jc w:val="center"/>
              <w:rPr>
                <w:rFonts w:cs="Times New Roman"/>
                <w:b/>
                <w:sz w:val="20"/>
                <w:szCs w:val="20"/>
              </w:rPr>
            </w:pPr>
            <w:r w:rsidRPr="00F7263B">
              <w:rPr>
                <w:rFonts w:cs="Times New Roman"/>
                <w:b/>
                <w:sz w:val="20"/>
                <w:szCs w:val="20"/>
              </w:rPr>
              <w:t>Responsi-ble Party</w:t>
            </w:r>
          </w:p>
        </w:tc>
        <w:tc>
          <w:tcPr>
            <w:tcW w:w="574" w:type="pct"/>
            <w:gridSpan w:val="2"/>
            <w:tcBorders>
              <w:bottom w:val="single" w:sz="4" w:space="0" w:color="auto"/>
            </w:tcBorders>
          </w:tcPr>
          <w:p w:rsidR="000E3BD7" w:rsidRPr="00F7263B" w:rsidRDefault="000E3BD7" w:rsidP="000C2E0A">
            <w:pPr>
              <w:contextualSpacing/>
              <w:jc w:val="center"/>
              <w:rPr>
                <w:rFonts w:cs="Times New Roman"/>
                <w:b/>
                <w:sz w:val="20"/>
                <w:szCs w:val="20"/>
              </w:rPr>
            </w:pPr>
            <w:r w:rsidRPr="00F7263B">
              <w:rPr>
                <w:rFonts w:cs="Times New Roman"/>
                <w:b/>
                <w:sz w:val="20"/>
                <w:szCs w:val="20"/>
              </w:rPr>
              <w:t>Instru-ment</w:t>
            </w:r>
          </w:p>
        </w:tc>
      </w:tr>
      <w:tr w:rsidR="000E3BD7" w:rsidRPr="00F7263B" w:rsidTr="000C2E0A">
        <w:trPr>
          <w:trHeight w:val="85"/>
        </w:trPr>
        <w:tc>
          <w:tcPr>
            <w:tcW w:w="5000" w:type="pct"/>
            <w:gridSpan w:val="6"/>
            <w:shd w:val="pct15" w:color="auto" w:fill="auto"/>
          </w:tcPr>
          <w:p w:rsidR="000E3BD7" w:rsidRPr="00F7263B" w:rsidRDefault="000E3BD7" w:rsidP="000C2E0A">
            <w:pPr>
              <w:contextualSpacing/>
              <w:jc w:val="center"/>
              <w:rPr>
                <w:rFonts w:cs="Times New Roman"/>
                <w:b/>
                <w:i/>
                <w:sz w:val="20"/>
                <w:szCs w:val="20"/>
              </w:rPr>
            </w:pPr>
            <w:r w:rsidRPr="00F7263B">
              <w:rPr>
                <w:rFonts w:cs="Times New Roman"/>
                <w:b/>
                <w:i/>
                <w:sz w:val="20"/>
                <w:szCs w:val="20"/>
              </w:rPr>
              <w:t>Cross cutting issues</w:t>
            </w:r>
          </w:p>
        </w:tc>
      </w:tr>
      <w:tr w:rsidR="000E3BD7" w:rsidRPr="00F7263B" w:rsidTr="000C2E0A">
        <w:trPr>
          <w:trHeight w:val="85"/>
        </w:trPr>
        <w:tc>
          <w:tcPr>
            <w:tcW w:w="5000" w:type="pct"/>
            <w:gridSpan w:val="6"/>
          </w:tcPr>
          <w:p w:rsidR="000E3BD7" w:rsidRPr="00F7263B" w:rsidRDefault="000E3BD7" w:rsidP="000C2E0A">
            <w:pPr>
              <w:contextualSpacing/>
              <w:rPr>
                <w:rFonts w:cs="Times New Roman"/>
                <w:b/>
                <w:i/>
                <w:sz w:val="20"/>
                <w:szCs w:val="20"/>
              </w:rPr>
            </w:pPr>
            <w:r w:rsidRPr="00F7263B">
              <w:rPr>
                <w:rFonts w:cs="Times New Roman"/>
                <w:b/>
                <w:i/>
                <w:sz w:val="20"/>
                <w:szCs w:val="20"/>
              </w:rPr>
              <w:t>Federal level – MUDHCo and MoFED</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44 ULGs are fully aware of the Program minimum conditions and performance measures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Produce the performance assessment manual, as part of the Program Operational Manual, and share with 44 ULGs</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Prior to the launch of first APA</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Program is reflected in national budget</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Program proclaimed at the federal and other levels as required</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June 2014</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 andMoFED</w:t>
            </w:r>
          </w:p>
        </w:tc>
        <w:tc>
          <w:tcPr>
            <w:tcW w:w="574" w:type="pct"/>
            <w:gridSpan w:val="2"/>
          </w:tcPr>
          <w:p w:rsidR="000E3BD7" w:rsidRPr="00F7263B" w:rsidRDefault="000E3BD7" w:rsidP="000C2E0A">
            <w:pPr>
              <w:contextualSpacing/>
              <w:rPr>
                <w:rFonts w:cs="Times New Roman"/>
                <w:sz w:val="20"/>
                <w:szCs w:val="20"/>
              </w:rPr>
            </w:pP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Sufficient capacity in MUDHCoto manage ULGDP II</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 xml:space="preserve">Current staffing gaps at MUDHCo are filled and additional staff engaged to ensure the scale up of the technical and geographic scope of the Program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 xml:space="preserve">One year after </w:t>
            </w:r>
            <w:r w:rsidR="00BC3492" w:rsidRPr="00F7263B">
              <w:rPr>
                <w:rFonts w:cs="Times New Roman"/>
                <w:sz w:val="20"/>
                <w:szCs w:val="20"/>
              </w:rPr>
              <w:t>effectiveness</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DLI</w:t>
            </w:r>
          </w:p>
          <w:p w:rsidR="000E3BD7" w:rsidRPr="00F7263B" w:rsidRDefault="000E3BD7" w:rsidP="000C2E0A">
            <w:pPr>
              <w:contextualSpacing/>
              <w:rPr>
                <w:rFonts w:cs="Times New Roman"/>
                <w:sz w:val="20"/>
                <w:szCs w:val="20"/>
              </w:rPr>
            </w:pP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 xml:space="preserve">Coordination between MUDHCo and MoFED to ensure seamless flow of funds </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 xml:space="preserve">Establish the Program coordination committee for ULGDP with representatives for MUDHCo, MoFED, and other entities as required.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effectiveness</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p>
        </w:tc>
      </w:tr>
      <w:tr w:rsidR="000E3BD7" w:rsidRPr="00F7263B" w:rsidTr="000C2E0A">
        <w:trPr>
          <w:trHeight w:val="2051"/>
        </w:trPr>
        <w:tc>
          <w:tcPr>
            <w:tcW w:w="1137" w:type="pct"/>
          </w:tcPr>
          <w:p w:rsidR="000E3BD7" w:rsidRPr="00F7263B" w:rsidRDefault="000E3BD7" w:rsidP="000C2E0A">
            <w:pPr>
              <w:rPr>
                <w:rFonts w:cs="Times New Roman"/>
                <w:sz w:val="20"/>
                <w:szCs w:val="20"/>
              </w:rPr>
            </w:pPr>
            <w:r w:rsidRPr="00F7263B">
              <w:rPr>
                <w:rFonts w:cs="Times New Roman"/>
                <w:sz w:val="20"/>
                <w:szCs w:val="20"/>
              </w:rPr>
              <w:t>Independent annual assessment undertaken on a timely basis</w:t>
            </w:r>
          </w:p>
        </w:tc>
        <w:tc>
          <w:tcPr>
            <w:tcW w:w="1833" w:type="pct"/>
          </w:tcPr>
          <w:p w:rsidR="000E3BD7" w:rsidRPr="00F7263B" w:rsidRDefault="000E3BD7" w:rsidP="000C2E0A">
            <w:pPr>
              <w:rPr>
                <w:rFonts w:cs="Times New Roman"/>
                <w:sz w:val="20"/>
                <w:szCs w:val="20"/>
              </w:rPr>
            </w:pPr>
            <w:r w:rsidRPr="00F7263B">
              <w:rPr>
                <w:rFonts w:cs="Times New Roman"/>
                <w:sz w:val="20"/>
                <w:szCs w:val="20"/>
              </w:rPr>
              <w:t xml:space="preserve">The annual assessment is contracted to an independent private firm. </w:t>
            </w:r>
          </w:p>
          <w:p w:rsidR="000E3BD7" w:rsidRPr="00F7263B" w:rsidRDefault="000E3BD7" w:rsidP="000C2E0A">
            <w:pPr>
              <w:rPr>
                <w:rFonts w:cs="Times New Roman"/>
                <w:sz w:val="20"/>
                <w:szCs w:val="20"/>
              </w:rPr>
            </w:pPr>
          </w:p>
          <w:p w:rsidR="000E3BD7" w:rsidRPr="00F7263B" w:rsidRDefault="000E3BD7" w:rsidP="000C2E0A">
            <w:pPr>
              <w:rPr>
                <w:rFonts w:cs="Times New Roman"/>
                <w:sz w:val="20"/>
                <w:szCs w:val="20"/>
              </w:rPr>
            </w:pPr>
            <w:r w:rsidRPr="00F7263B">
              <w:rPr>
                <w:rFonts w:cs="Times New Roman"/>
                <w:sz w:val="20"/>
                <w:szCs w:val="20"/>
              </w:rPr>
              <w:t>In the first two full assessments, the independent procurement audit will be conducted as part of APA. To this end, the terms of reference of these APAs will be modified to reflect the IPA scope.</w:t>
            </w:r>
          </w:p>
        </w:tc>
        <w:tc>
          <w:tcPr>
            <w:tcW w:w="845" w:type="pct"/>
          </w:tcPr>
          <w:p w:rsidR="000E3BD7" w:rsidRPr="00F7263B" w:rsidRDefault="000E3BD7" w:rsidP="000C2E0A">
            <w:pPr>
              <w:rPr>
                <w:rFonts w:cs="Times New Roman"/>
                <w:sz w:val="20"/>
                <w:szCs w:val="20"/>
              </w:rPr>
            </w:pPr>
            <w:r w:rsidRPr="00F7263B">
              <w:rPr>
                <w:rFonts w:cs="Times New Roman"/>
                <w:sz w:val="20"/>
                <w:szCs w:val="20"/>
              </w:rPr>
              <w:t xml:space="preserve">(a) For the allocations in 2014/15: by March 2014 (completion in May), (b) For following years procured by July/August 31 each year and APA completed in November  (with incorporation of the results from the audit in January) prior to the FY for which funding is affected. </w:t>
            </w:r>
          </w:p>
        </w:tc>
        <w:tc>
          <w:tcPr>
            <w:tcW w:w="611" w:type="pct"/>
          </w:tcPr>
          <w:p w:rsidR="000E3BD7" w:rsidRPr="00F7263B" w:rsidRDefault="000E3BD7" w:rsidP="000C2E0A">
            <w:pPr>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rPr>
                <w:rFonts w:cs="Times New Roman"/>
                <w:sz w:val="20"/>
                <w:szCs w:val="20"/>
              </w:rPr>
            </w:pPr>
            <w:r w:rsidRPr="00F7263B">
              <w:rPr>
                <w:rFonts w:cs="Times New Roman"/>
                <w:sz w:val="20"/>
                <w:szCs w:val="20"/>
              </w:rPr>
              <w:t xml:space="preserve">DLI </w:t>
            </w:r>
          </w:p>
        </w:tc>
      </w:tr>
      <w:tr w:rsidR="000E3BD7" w:rsidRPr="00F7263B" w:rsidTr="000C2E0A">
        <w:trPr>
          <w:trHeight w:val="2051"/>
        </w:trPr>
        <w:tc>
          <w:tcPr>
            <w:tcW w:w="1137" w:type="pct"/>
          </w:tcPr>
          <w:p w:rsidR="000E3BD7" w:rsidRPr="00F7263B" w:rsidRDefault="000E3BD7" w:rsidP="000C2E0A">
            <w:pPr>
              <w:rPr>
                <w:rFonts w:cs="Times New Roman"/>
                <w:sz w:val="20"/>
                <w:szCs w:val="20"/>
              </w:rPr>
            </w:pPr>
            <w:r w:rsidRPr="00F7263B">
              <w:rPr>
                <w:rFonts w:cs="Times New Roman"/>
                <w:sz w:val="20"/>
                <w:szCs w:val="20"/>
              </w:rPr>
              <w:t>Capacity limitation with the FEACC and REACC to conduct investigations on fraud and corruption suspected cases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(a) Provide the FEACC and REACCs staff training on public procurement and contracts management.</w:t>
            </w:r>
          </w:p>
          <w:p w:rsidR="000E3BD7" w:rsidRPr="00F7263B" w:rsidRDefault="000E3BD7" w:rsidP="000C2E0A">
            <w:pPr>
              <w:rPr>
                <w:rFonts w:cs="Times New Roman"/>
                <w:sz w:val="20"/>
                <w:szCs w:val="20"/>
              </w:rPr>
            </w:pPr>
            <w:r w:rsidRPr="00F7263B">
              <w:rPr>
                <w:rFonts w:cs="Times New Roman"/>
                <w:sz w:val="20"/>
                <w:szCs w:val="20"/>
              </w:rPr>
              <w:t>(b) The FEACC and REACCs use specialized experts to review and investigate fraud and corruption suspicious procurement and contract issues in order to produce high quality assessment., (</w:t>
            </w:r>
            <w:r w:rsidRPr="00F7263B">
              <w:rPr>
                <w:sz w:val="20"/>
                <w:szCs w:val="20"/>
              </w:rPr>
              <w:t>c) provide training on complaint handling mechanismsand reporting for staff of REACCs and ethics units in the ULGs.</w:t>
            </w:r>
          </w:p>
        </w:tc>
        <w:tc>
          <w:tcPr>
            <w:tcW w:w="845" w:type="pct"/>
          </w:tcPr>
          <w:p w:rsidR="000E3BD7" w:rsidRPr="00F7263B" w:rsidRDefault="000E3BD7" w:rsidP="000C2E0A">
            <w:pPr>
              <w:rPr>
                <w:rFonts w:cs="Times New Roman"/>
                <w:sz w:val="20"/>
                <w:szCs w:val="20"/>
              </w:rPr>
            </w:pPr>
            <w:r w:rsidRPr="00F7263B">
              <w:rPr>
                <w:rFonts w:cs="Times New Roman"/>
                <w:sz w:val="20"/>
                <w:szCs w:val="20"/>
              </w:rPr>
              <w:t>Within the first year of the program effectiveness</w:t>
            </w:r>
          </w:p>
        </w:tc>
        <w:tc>
          <w:tcPr>
            <w:tcW w:w="611" w:type="pct"/>
          </w:tcPr>
          <w:p w:rsidR="000E3BD7" w:rsidRPr="00F7263B" w:rsidRDefault="000E3BD7" w:rsidP="000C2E0A">
            <w:pPr>
              <w:rPr>
                <w:rFonts w:cs="Times New Roman"/>
                <w:sz w:val="20"/>
                <w:szCs w:val="20"/>
              </w:rPr>
            </w:pPr>
            <w:r w:rsidRPr="00F7263B">
              <w:rPr>
                <w:rFonts w:cs="Times New Roman"/>
                <w:sz w:val="20"/>
                <w:szCs w:val="20"/>
              </w:rPr>
              <w:t>MUDHCo and regional BUDs</w:t>
            </w:r>
          </w:p>
        </w:tc>
        <w:tc>
          <w:tcPr>
            <w:tcW w:w="574" w:type="pct"/>
            <w:gridSpan w:val="2"/>
          </w:tcPr>
          <w:p w:rsidR="000E3BD7" w:rsidRPr="00F7263B" w:rsidRDefault="000E3BD7" w:rsidP="000C2E0A">
            <w:pPr>
              <w:rPr>
                <w:rFonts w:cs="Times New Roman"/>
                <w:sz w:val="20"/>
                <w:szCs w:val="20"/>
              </w:rPr>
            </w:pPr>
            <w:r w:rsidRPr="00F7263B">
              <w:rPr>
                <w:rFonts w:cs="Times New Roman"/>
                <w:sz w:val="20"/>
                <w:szCs w:val="20"/>
              </w:rPr>
              <w:t>DLI</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 xml:space="preserve">Quality assurance of APA results and  </w:t>
            </w:r>
            <w:r w:rsidRPr="00F7263B">
              <w:rPr>
                <w:rFonts w:cs="Times New Roman"/>
                <w:sz w:val="20"/>
                <w:szCs w:val="20"/>
              </w:rPr>
              <w:lastRenderedPageBreak/>
              <w:t>monitoring of Program progress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 xml:space="preserve">Establish Program technical sub-committee comprising key technical </w:t>
            </w:r>
            <w:r w:rsidRPr="00F7263B">
              <w:rPr>
                <w:rFonts w:cs="Times New Roman"/>
                <w:sz w:val="20"/>
                <w:szCs w:val="20"/>
              </w:rPr>
              <w:lastRenderedPageBreak/>
              <w:t xml:space="preserve">staff of MUDHCo and MoFED.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Program effectiveness</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Robust supply of capacity building for ULGs</w:t>
            </w:r>
          </w:p>
        </w:tc>
        <w:tc>
          <w:tcPr>
            <w:tcW w:w="1833" w:type="pct"/>
          </w:tcPr>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Procure and ensure implementation of standard urban local government management training program from the Ethiopia Civil Service University and other designated centers of excellence for urban development and management.</w:t>
            </w:r>
          </w:p>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 xml:space="preserve">Form and deploy to the field mobile capacity building teams.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DLI</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Capacity building of regional governments is planned properly</w:t>
            </w:r>
          </w:p>
        </w:tc>
        <w:tc>
          <w:tcPr>
            <w:tcW w:w="1833" w:type="pct"/>
          </w:tcPr>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Develop capacity building plans for second generation four emerging regional governments.</w:t>
            </w:r>
          </w:p>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 xml:space="preserve">Facilitate and support first generation regional government capacity building efforts.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DLI</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Absence of awareness and inconsistency of municipal service delivery standards and measurement</w:t>
            </w:r>
          </w:p>
        </w:tc>
        <w:tc>
          <w:tcPr>
            <w:tcW w:w="1833" w:type="pct"/>
          </w:tcPr>
          <w:p w:rsidR="000E3BD7" w:rsidRPr="00F7263B" w:rsidRDefault="000E3BD7" w:rsidP="000C2E0A">
            <w:pPr>
              <w:pStyle w:val="ListParagraph"/>
              <w:numPr>
                <w:ilvl w:val="0"/>
                <w:numId w:val="21"/>
              </w:numPr>
              <w:tabs>
                <w:tab w:val="left" w:pos="162"/>
              </w:tabs>
              <w:ind w:left="-18" w:firstLine="18"/>
              <w:rPr>
                <w:rFonts w:cs="Times New Roman"/>
                <w:sz w:val="20"/>
                <w:szCs w:val="20"/>
              </w:rPr>
            </w:pPr>
            <w:r w:rsidRPr="00F7263B">
              <w:rPr>
                <w:rFonts w:cs="Times New Roman"/>
                <w:sz w:val="20"/>
                <w:szCs w:val="20"/>
              </w:rPr>
              <w:t>Develop guidelines for setting service delivery standards and citizen charters.</w:t>
            </w:r>
          </w:p>
          <w:p w:rsidR="000E3BD7" w:rsidRPr="00F7263B" w:rsidRDefault="000E3BD7" w:rsidP="000C2E0A">
            <w:pPr>
              <w:pStyle w:val="ListParagraph"/>
              <w:numPr>
                <w:ilvl w:val="0"/>
                <w:numId w:val="21"/>
              </w:numPr>
              <w:tabs>
                <w:tab w:val="left" w:pos="162"/>
              </w:tabs>
              <w:ind w:left="-18" w:firstLine="18"/>
              <w:rPr>
                <w:rFonts w:cs="Times New Roman"/>
                <w:sz w:val="20"/>
                <w:szCs w:val="20"/>
              </w:rPr>
            </w:pPr>
            <w:r w:rsidRPr="00F7263B">
              <w:rPr>
                <w:rFonts w:cs="Times New Roman"/>
                <w:sz w:val="20"/>
                <w:szCs w:val="20"/>
              </w:rPr>
              <w:t>Develop guideline for job creationand measurement</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During the first year of program implementation</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DLI</w:t>
            </w:r>
          </w:p>
        </w:tc>
      </w:tr>
      <w:tr w:rsidR="000E3BD7" w:rsidRPr="00F7263B" w:rsidTr="000C2E0A">
        <w:trPr>
          <w:trHeight w:val="85"/>
        </w:trPr>
        <w:tc>
          <w:tcPr>
            <w:tcW w:w="5000" w:type="pct"/>
            <w:gridSpan w:val="6"/>
          </w:tcPr>
          <w:p w:rsidR="000E3BD7" w:rsidRPr="00F7263B" w:rsidRDefault="000E3BD7" w:rsidP="000C2E0A">
            <w:pPr>
              <w:contextualSpacing/>
              <w:rPr>
                <w:rFonts w:cs="Times New Roman"/>
                <w:sz w:val="20"/>
                <w:szCs w:val="20"/>
              </w:rPr>
            </w:pPr>
            <w:r w:rsidRPr="00F7263B">
              <w:rPr>
                <w:rFonts w:cs="Times New Roman"/>
                <w:b/>
                <w:i/>
                <w:sz w:val="20"/>
                <w:szCs w:val="20"/>
              </w:rPr>
              <w:t xml:space="preserve">Regional Governments </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 xml:space="preserve">Legal foundation underpinning the participation of regional governments in the Program. </w:t>
            </w:r>
          </w:p>
        </w:tc>
        <w:tc>
          <w:tcPr>
            <w:tcW w:w="1833" w:type="pct"/>
          </w:tcPr>
          <w:p w:rsidR="000E3BD7" w:rsidRPr="00F7263B" w:rsidRDefault="000E3BD7" w:rsidP="000C2E0A">
            <w:pPr>
              <w:contextualSpacing/>
              <w:rPr>
                <w:rFonts w:cs="Times New Roman"/>
                <w:sz w:val="20"/>
                <w:szCs w:val="20"/>
              </w:rPr>
            </w:pPr>
            <w:r w:rsidRPr="00F7263B">
              <w:rPr>
                <w:rFonts w:cs="Times New Roman"/>
                <w:bCs/>
                <w:sz w:val="20"/>
                <w:szCs w:val="20"/>
              </w:rPr>
              <w:t>Enter into a Program Participation Agreement with the federal government, committing to the Program’s rules and regulations, including the necessary financial contribution to the Program’s performance-based grants for ULGs.</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effectiveness</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 and regional govern-ments</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Covenant</w:t>
            </w:r>
          </w:p>
        </w:tc>
      </w:tr>
      <w:tr w:rsidR="000E3BD7" w:rsidRPr="00F7263B" w:rsidTr="000C2E0A">
        <w:trPr>
          <w:trHeight w:val="85"/>
        </w:trPr>
        <w:tc>
          <w:tcPr>
            <w:tcW w:w="1137" w:type="pct"/>
            <w:shd w:val="clear" w:color="auto" w:fill="auto"/>
          </w:tcPr>
          <w:p w:rsidR="000E3BD7" w:rsidRPr="00F7263B" w:rsidRDefault="000E3BD7" w:rsidP="000C2E0A">
            <w:pPr>
              <w:contextualSpacing/>
              <w:rPr>
                <w:rFonts w:cs="Times New Roman"/>
                <w:sz w:val="20"/>
                <w:szCs w:val="20"/>
              </w:rPr>
            </w:pPr>
            <w:r w:rsidRPr="00F7263B">
              <w:rPr>
                <w:rFonts w:cs="Times New Roman"/>
                <w:sz w:val="20"/>
                <w:szCs w:val="20"/>
              </w:rPr>
              <w:t>Sufficient capacity at regional governments to support Program ULGs</w:t>
            </w:r>
          </w:p>
        </w:tc>
        <w:tc>
          <w:tcPr>
            <w:tcW w:w="1833" w:type="pct"/>
          </w:tcPr>
          <w:p w:rsidR="000E3BD7" w:rsidRPr="00F7263B" w:rsidRDefault="000E3BD7" w:rsidP="000C2E0A">
            <w:pPr>
              <w:contextualSpacing/>
              <w:rPr>
                <w:rFonts w:eastAsia="Times New Roman" w:cs="Times New Roman"/>
                <w:b/>
                <w:bCs/>
                <w:i/>
                <w:sz w:val="20"/>
                <w:szCs w:val="20"/>
              </w:rPr>
            </w:pPr>
            <w:r w:rsidRPr="00F7263B">
              <w:rPr>
                <w:rFonts w:cs="Times New Roman"/>
                <w:sz w:val="20"/>
                <w:szCs w:val="20"/>
              </w:rPr>
              <w:t>Fill staffing gaps in core positions such as procurement, M&amp;E and engineering and planning support.</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Regional govern-ments</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bCs/>
                <w:sz w:val="20"/>
                <w:szCs w:val="20"/>
              </w:rPr>
              <w:t>DLI</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ORAGs execute their audit responsibilities towards ULGs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Ensure that the ORAGs are supported and that agreements are made to complete audits of all the ULGDP II cities by January 7 of each year, and to deal urgently with any backlogs in audits.</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Regional govern-ments</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DLI</w:t>
            </w:r>
          </w:p>
        </w:tc>
      </w:tr>
      <w:tr w:rsidR="000E3BD7" w:rsidRPr="00F7263B" w:rsidTr="000C2E0A">
        <w:trPr>
          <w:trHeight w:val="85"/>
        </w:trPr>
        <w:tc>
          <w:tcPr>
            <w:tcW w:w="5000" w:type="pct"/>
            <w:gridSpan w:val="6"/>
          </w:tcPr>
          <w:p w:rsidR="000E3BD7" w:rsidRPr="00F7263B" w:rsidRDefault="000E3BD7" w:rsidP="000C2E0A">
            <w:pPr>
              <w:contextualSpacing/>
              <w:rPr>
                <w:rFonts w:cs="Times New Roman"/>
                <w:b/>
                <w:i/>
                <w:sz w:val="20"/>
                <w:szCs w:val="20"/>
              </w:rPr>
            </w:pPr>
            <w:r w:rsidRPr="00F7263B">
              <w:rPr>
                <w:rFonts w:cs="Times New Roman"/>
                <w:b/>
                <w:i/>
                <w:sz w:val="20"/>
                <w:szCs w:val="20"/>
              </w:rPr>
              <w:t>ULGs</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Legal foundation underpinning the participation of regional governments in the Program.</w:t>
            </w:r>
          </w:p>
        </w:tc>
        <w:tc>
          <w:tcPr>
            <w:tcW w:w="1833" w:type="pct"/>
          </w:tcPr>
          <w:p w:rsidR="000E3BD7" w:rsidRPr="00F7263B" w:rsidRDefault="000E3BD7" w:rsidP="000C2E0A">
            <w:pPr>
              <w:contextualSpacing/>
              <w:rPr>
                <w:rFonts w:cs="Times New Roman"/>
                <w:sz w:val="20"/>
                <w:szCs w:val="20"/>
              </w:rPr>
            </w:pPr>
            <w:r w:rsidRPr="00F7263B">
              <w:rPr>
                <w:rFonts w:cs="Times New Roman"/>
                <w:bCs/>
                <w:sz w:val="20"/>
                <w:szCs w:val="20"/>
              </w:rPr>
              <w:t>Enter into a Program Participation Agreement with the federal and regional government, committing to the Program’s rules and regulations, including the necessary financial contribution to the Program’s performance-based grants</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effectiveness</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 Regional govern-ments, and ULGs</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Covenant</w:t>
            </w:r>
          </w:p>
        </w:tc>
      </w:tr>
      <w:tr w:rsidR="000E3BD7" w:rsidRPr="00F7263B" w:rsidTr="000C2E0A">
        <w:trPr>
          <w:trHeight w:val="85"/>
        </w:trPr>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Sufficient capacity at ULGs to implement Program</w:t>
            </w:r>
          </w:p>
        </w:tc>
        <w:tc>
          <w:tcPr>
            <w:tcW w:w="1833" w:type="pct"/>
          </w:tcPr>
          <w:p w:rsidR="000E3BD7" w:rsidRPr="00F7263B" w:rsidRDefault="000E3BD7" w:rsidP="000C2E0A">
            <w:pPr>
              <w:contextualSpacing/>
              <w:rPr>
                <w:rFonts w:cs="Times New Roman"/>
                <w:bCs/>
                <w:sz w:val="20"/>
                <w:szCs w:val="20"/>
              </w:rPr>
            </w:pPr>
            <w:r w:rsidRPr="00F7263B">
              <w:rPr>
                <w:rFonts w:cs="Times New Roman"/>
                <w:bCs/>
                <w:sz w:val="20"/>
                <w:szCs w:val="20"/>
              </w:rPr>
              <w:t xml:space="preserve">ULGs will throughout implementation maintain focal persons under the coordination of the city manager in the following areas: revenue mobilization, procurement, environmental and social sustainability, M&amp;E, civil engineering, and public financial management, and afunctioning internal audit unit.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ULGs</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Minimum condition</w:t>
            </w:r>
          </w:p>
        </w:tc>
      </w:tr>
      <w:tr w:rsidR="000E3BD7" w:rsidRPr="00F7263B" w:rsidTr="000C2E0A">
        <w:tc>
          <w:tcPr>
            <w:tcW w:w="5000" w:type="pct"/>
            <w:gridSpan w:val="6"/>
            <w:tcBorders>
              <w:bottom w:val="single" w:sz="4" w:space="0" w:color="auto"/>
            </w:tcBorders>
            <w:shd w:val="clear" w:color="auto" w:fill="BFBFBF" w:themeFill="background1" w:themeFillShade="BF"/>
          </w:tcPr>
          <w:p w:rsidR="000E3BD7" w:rsidRPr="00F7263B" w:rsidRDefault="000E3BD7" w:rsidP="000C2E0A">
            <w:pPr>
              <w:contextualSpacing/>
              <w:jc w:val="center"/>
              <w:rPr>
                <w:rFonts w:cs="Times New Roman"/>
                <w:b/>
                <w:sz w:val="20"/>
                <w:szCs w:val="20"/>
              </w:rPr>
            </w:pPr>
            <w:r w:rsidRPr="00F7263B">
              <w:rPr>
                <w:rFonts w:cs="Times New Roman"/>
                <w:b/>
                <w:sz w:val="20"/>
                <w:szCs w:val="20"/>
              </w:rPr>
              <w:lastRenderedPageBreak/>
              <w:t>Fiduciary</w:t>
            </w:r>
          </w:p>
        </w:tc>
      </w:tr>
      <w:tr w:rsidR="000E3BD7" w:rsidRPr="00F7263B" w:rsidTr="000C2E0A">
        <w:tc>
          <w:tcPr>
            <w:tcW w:w="5000" w:type="pct"/>
            <w:gridSpan w:val="6"/>
            <w:vAlign w:val="center"/>
          </w:tcPr>
          <w:p w:rsidR="000E3BD7" w:rsidRPr="00F7263B" w:rsidRDefault="000E3BD7" w:rsidP="000C2E0A">
            <w:pPr>
              <w:contextualSpacing/>
              <w:rPr>
                <w:rFonts w:cs="Times New Roman"/>
                <w:b/>
                <w:i/>
                <w:sz w:val="20"/>
                <w:szCs w:val="20"/>
              </w:rPr>
            </w:pPr>
            <w:r w:rsidRPr="00F7263B">
              <w:rPr>
                <w:rFonts w:cs="Times New Roman"/>
                <w:b/>
                <w:i/>
                <w:sz w:val="20"/>
                <w:szCs w:val="20"/>
              </w:rPr>
              <w:t>Federal Government</w:t>
            </w: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Procurement and contracts audit</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Procurement audit, which is required by Ethiopian law, will be part of the APA in the first two years of the Program. In the meantime, the capacity at Regional Public Procurement Agencies (RPPA) will be built by MoFED and respective BOFEDs. During implementation, the capacity of RPPAs will be regularly assessed by Federal PPA, those RPPAs which are assessed to have sufficient capacity will start executing the procurement audits.</w:t>
            </w:r>
            <w:r w:rsidR="00BC3492" w:rsidRPr="00F7263B">
              <w:rPr>
                <w:sz w:val="20"/>
                <w:szCs w:val="20"/>
              </w:rPr>
              <w:t>The Borrower will (a</w:t>
            </w:r>
            <w:r w:rsidRPr="00F7263B">
              <w:rPr>
                <w:sz w:val="20"/>
                <w:szCs w:val="20"/>
              </w:rPr>
              <w:t>) conduct Performance Assessment  for the first two rounds (April-May, 2014, and September-November, 2014) and Independent Procurement audit starting with the third assessment (S</w:t>
            </w:r>
            <w:r w:rsidR="00BC3492" w:rsidRPr="00F7263B">
              <w:rPr>
                <w:sz w:val="20"/>
                <w:szCs w:val="20"/>
              </w:rPr>
              <w:t>eptember –November 2015) and (b</w:t>
            </w:r>
            <w:r w:rsidRPr="00F7263B">
              <w:rPr>
                <w:sz w:val="20"/>
                <w:szCs w:val="20"/>
              </w:rPr>
              <w:t>) thereafter deliver procurement audit reports with management corrective measures addressing the findings of the audit.</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Annually</w:t>
            </w:r>
          </w:p>
        </w:tc>
        <w:tc>
          <w:tcPr>
            <w:tcW w:w="611" w:type="pct"/>
          </w:tcPr>
          <w:p w:rsidR="000E3BD7" w:rsidRPr="00F7263B" w:rsidRDefault="000E3BD7" w:rsidP="000C2E0A">
            <w:pPr>
              <w:contextualSpacing/>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r w:rsidRPr="00F7263B">
              <w:rPr>
                <w:rFonts w:cs="Times New Roman"/>
                <w:sz w:val="20"/>
                <w:szCs w:val="20"/>
              </w:rPr>
              <w:t xml:space="preserve">DLI </w:t>
            </w: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MUDHCo guidance to ULGs on procurement</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MUDHCo will:</w:t>
            </w:r>
          </w:p>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 xml:space="preserve">Require ULGs to justify to the BoFEDs the use of government owned enterprises where private sector suppliers exist in advance of contracting; </w:t>
            </w:r>
          </w:p>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 xml:space="preserve">Require ULGs to exclude award to Bank debarred firms through providing regular information </w:t>
            </w:r>
          </w:p>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Provide guidance to ULGs on policies on support to medium and small enterprises and the level of preferences that would be acceptable across board to ensure uniformity and minimize abuse (this guidance will be part of the Performance and ParticipationAgreement and in the Operational Manual).</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w:t>
            </w:r>
            <w:r w:rsidR="00853314" w:rsidRPr="00F7263B">
              <w:rPr>
                <w:rFonts w:cs="Times New Roman"/>
                <w:sz w:val="20"/>
                <w:szCs w:val="20"/>
              </w:rPr>
              <w:t>rogram Implementation</w:t>
            </w:r>
          </w:p>
        </w:tc>
        <w:tc>
          <w:tcPr>
            <w:tcW w:w="611" w:type="pct"/>
          </w:tcPr>
          <w:p w:rsidR="000E3BD7" w:rsidRPr="00F7263B" w:rsidRDefault="000E3BD7" w:rsidP="000C2E0A">
            <w:pPr>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Contracts management capacity enhancement</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(a) The MUDHCoand Bank support the cities with provision of contract management and administration training.</w:t>
            </w:r>
          </w:p>
          <w:p w:rsidR="000E3BD7" w:rsidRPr="00F7263B" w:rsidRDefault="000E3BD7" w:rsidP="000C2E0A">
            <w:pPr>
              <w:contextualSpacing/>
              <w:rPr>
                <w:rFonts w:cs="Times New Roman"/>
                <w:sz w:val="20"/>
                <w:szCs w:val="20"/>
              </w:rPr>
            </w:pPr>
            <w:r w:rsidRPr="00F7263B">
              <w:rPr>
                <w:rFonts w:cs="Times New Roman"/>
                <w:sz w:val="20"/>
                <w:szCs w:val="20"/>
              </w:rPr>
              <w:t>(b) A consultant will be recruited (in the mobile team) by the project to prepare a contract administration manual to the participating cities and provide the necessary training on it (the Contract administration manual will be based on the government’s own systems).</w:t>
            </w:r>
          </w:p>
        </w:tc>
        <w:tc>
          <w:tcPr>
            <w:tcW w:w="845" w:type="pct"/>
          </w:tcPr>
          <w:p w:rsidR="000E3BD7" w:rsidRPr="00F7263B" w:rsidRDefault="00EA0C87" w:rsidP="000C2E0A">
            <w:pPr>
              <w:contextualSpacing/>
              <w:rPr>
                <w:rFonts w:cs="Times New Roman"/>
                <w:sz w:val="20"/>
                <w:szCs w:val="20"/>
              </w:rPr>
            </w:pPr>
            <w:r w:rsidRPr="00F7263B">
              <w:rPr>
                <w:rFonts w:cs="Times New Roman"/>
                <w:sz w:val="20"/>
                <w:szCs w:val="20"/>
              </w:rPr>
              <w:t>F</w:t>
            </w:r>
            <w:r w:rsidR="000E3BD7" w:rsidRPr="00F7263B">
              <w:rPr>
                <w:rFonts w:cs="Times New Roman"/>
                <w:sz w:val="20"/>
                <w:szCs w:val="20"/>
              </w:rPr>
              <w:t>irst year of Program implementation.</w:t>
            </w:r>
          </w:p>
          <w:p w:rsidR="000E3BD7" w:rsidRPr="00F7263B" w:rsidRDefault="000E3BD7" w:rsidP="000C2E0A">
            <w:pPr>
              <w:contextualSpacing/>
              <w:rPr>
                <w:rFonts w:cs="Times New Roman"/>
                <w:sz w:val="20"/>
                <w:szCs w:val="20"/>
              </w:rPr>
            </w:pPr>
          </w:p>
        </w:tc>
        <w:tc>
          <w:tcPr>
            <w:tcW w:w="611" w:type="pct"/>
          </w:tcPr>
          <w:p w:rsidR="000E3BD7" w:rsidRPr="00F7263B" w:rsidRDefault="000E3BD7" w:rsidP="000C2E0A">
            <w:pPr>
              <w:rPr>
                <w:rFonts w:cs="Times New Roman"/>
                <w:sz w:val="20"/>
                <w:szCs w:val="20"/>
              </w:rPr>
            </w:pPr>
            <w:r w:rsidRPr="00F7263B">
              <w:rPr>
                <w:rFonts w:cs="Times New Roman"/>
                <w:sz w:val="20"/>
                <w:szCs w:val="20"/>
              </w:rPr>
              <w:t>MUDHCo</w:t>
            </w:r>
          </w:p>
        </w:tc>
        <w:tc>
          <w:tcPr>
            <w:tcW w:w="574" w:type="pct"/>
            <w:gridSpan w:val="2"/>
          </w:tcPr>
          <w:p w:rsidR="000E3BD7" w:rsidRPr="00F7263B" w:rsidRDefault="000E3BD7" w:rsidP="000C2E0A">
            <w:pPr>
              <w:contextualSpacing/>
              <w:rPr>
                <w:rFonts w:cs="Times New Roman"/>
                <w:sz w:val="20"/>
                <w:szCs w:val="20"/>
              </w:rPr>
            </w:pP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 xml:space="preserve">MUDHCo has sufficient budgetary </w:t>
            </w:r>
            <w:r w:rsidRPr="00F7263B">
              <w:rPr>
                <w:rFonts w:cs="Times New Roman"/>
                <w:sz w:val="20"/>
                <w:szCs w:val="20"/>
              </w:rPr>
              <w:lastRenderedPageBreak/>
              <w:t>resources to undertake Program activities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 xml:space="preserve">Sufficient budget is provided for all MUDHCo Program activities related to </w:t>
            </w:r>
            <w:r w:rsidRPr="00F7263B">
              <w:rPr>
                <w:rFonts w:cs="Times New Roman"/>
                <w:sz w:val="20"/>
                <w:szCs w:val="20"/>
              </w:rPr>
              <w:lastRenderedPageBreak/>
              <w:t xml:space="preserve">annual assessment, capacity building and procurement audits, and budgeted amounts are released from MoFED on a timely basis to MUDHCo throughout the Program.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Program implementation</w:t>
            </w:r>
          </w:p>
        </w:tc>
        <w:tc>
          <w:tcPr>
            <w:tcW w:w="611" w:type="pct"/>
          </w:tcPr>
          <w:p w:rsidR="000E3BD7" w:rsidRPr="00F7263B" w:rsidRDefault="000E3BD7" w:rsidP="000C2E0A">
            <w:pPr>
              <w:rPr>
                <w:rFonts w:cs="Times New Roman"/>
                <w:sz w:val="20"/>
                <w:szCs w:val="20"/>
              </w:rPr>
            </w:pPr>
            <w:r w:rsidRPr="00F7263B">
              <w:rPr>
                <w:rFonts w:cs="Times New Roman"/>
                <w:sz w:val="20"/>
                <w:szCs w:val="20"/>
              </w:rPr>
              <w:t>MUDHCoand MoFED</w:t>
            </w:r>
          </w:p>
          <w:p w:rsidR="000E3BD7" w:rsidRPr="00F7263B" w:rsidRDefault="000E3BD7" w:rsidP="000C2E0A">
            <w:pPr>
              <w:contextualSpacing/>
              <w:rPr>
                <w:rFonts w:cs="Times New Roman"/>
                <w:sz w:val="20"/>
                <w:szCs w:val="20"/>
              </w:rPr>
            </w:pPr>
          </w:p>
        </w:tc>
        <w:tc>
          <w:tcPr>
            <w:tcW w:w="574" w:type="pct"/>
            <w:gridSpan w:val="2"/>
          </w:tcPr>
          <w:p w:rsidR="000E3BD7" w:rsidRPr="00F7263B" w:rsidRDefault="000E3BD7" w:rsidP="000C2E0A">
            <w:pPr>
              <w:contextualSpacing/>
              <w:rPr>
                <w:rFonts w:cs="Times New Roman"/>
                <w:sz w:val="20"/>
                <w:szCs w:val="20"/>
              </w:rPr>
            </w:pPr>
          </w:p>
        </w:tc>
      </w:tr>
      <w:tr w:rsidR="000E3BD7" w:rsidRPr="00F7263B" w:rsidTr="000C2E0A">
        <w:tc>
          <w:tcPr>
            <w:tcW w:w="5000" w:type="pct"/>
            <w:gridSpan w:val="6"/>
          </w:tcPr>
          <w:p w:rsidR="000E3BD7" w:rsidRPr="00F7263B" w:rsidRDefault="000E3BD7" w:rsidP="000C2E0A">
            <w:pPr>
              <w:contextualSpacing/>
              <w:rPr>
                <w:rFonts w:cs="Times New Roman"/>
                <w:b/>
                <w:i/>
                <w:sz w:val="20"/>
                <w:szCs w:val="20"/>
              </w:rPr>
            </w:pPr>
            <w:r w:rsidRPr="00F7263B">
              <w:rPr>
                <w:rFonts w:cs="Times New Roman"/>
                <w:b/>
                <w:i/>
                <w:sz w:val="20"/>
                <w:szCs w:val="20"/>
              </w:rPr>
              <w:lastRenderedPageBreak/>
              <w:t>Regional Governments</w:t>
            </w: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Regional public procurement and asset management agencies monitor and enforce the regional procurement legal requirements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Regional public procurement and asset management agencies:</w:t>
            </w:r>
          </w:p>
          <w:p w:rsidR="000E3BD7" w:rsidRPr="00F7263B" w:rsidRDefault="000E3BD7" w:rsidP="000C2E0A">
            <w:pPr>
              <w:pStyle w:val="ListParagraph"/>
              <w:numPr>
                <w:ilvl w:val="0"/>
                <w:numId w:val="21"/>
              </w:numPr>
              <w:tabs>
                <w:tab w:val="left" w:pos="162"/>
              </w:tabs>
              <w:ind w:left="-18" w:firstLine="18"/>
              <w:rPr>
                <w:rFonts w:cs="Times New Roman"/>
                <w:sz w:val="20"/>
                <w:szCs w:val="20"/>
              </w:rPr>
            </w:pPr>
            <w:r w:rsidRPr="00F7263B">
              <w:rPr>
                <w:rFonts w:cs="Times New Roman"/>
                <w:sz w:val="20"/>
                <w:szCs w:val="20"/>
              </w:rPr>
              <w:t>Organize training for ULGs on the use and implementation of the procurement laws, directives, manuals, standard bidding documents;</w:t>
            </w:r>
          </w:p>
          <w:p w:rsidR="000E3BD7" w:rsidRPr="00F7263B" w:rsidRDefault="000E3BD7" w:rsidP="000C2E0A">
            <w:pPr>
              <w:pStyle w:val="ListParagraph"/>
              <w:numPr>
                <w:ilvl w:val="0"/>
                <w:numId w:val="21"/>
              </w:numPr>
              <w:tabs>
                <w:tab w:val="left" w:pos="162"/>
              </w:tabs>
              <w:ind w:left="-18" w:firstLine="18"/>
              <w:rPr>
                <w:rFonts w:cs="Times New Roman"/>
                <w:sz w:val="20"/>
                <w:szCs w:val="20"/>
              </w:rPr>
            </w:pPr>
            <w:r w:rsidRPr="00F7263B">
              <w:rPr>
                <w:rFonts w:cs="Times New Roman"/>
                <w:sz w:val="20"/>
                <w:szCs w:val="20"/>
              </w:rPr>
              <w:t>Monitor the consistency of procurement practices across ULGs and enforce the implementation of the procurement regulations including instituting an independent complaints review committee</w:t>
            </w:r>
          </w:p>
          <w:p w:rsidR="000E3BD7" w:rsidRPr="00F7263B" w:rsidRDefault="000E3BD7" w:rsidP="000C2E0A">
            <w:pPr>
              <w:pStyle w:val="ListParagraph"/>
              <w:numPr>
                <w:ilvl w:val="0"/>
                <w:numId w:val="21"/>
              </w:numPr>
              <w:tabs>
                <w:tab w:val="left" w:pos="162"/>
              </w:tabs>
              <w:ind w:left="-18" w:firstLine="18"/>
              <w:rPr>
                <w:rFonts w:cs="Times New Roman"/>
                <w:sz w:val="20"/>
                <w:szCs w:val="20"/>
              </w:rPr>
            </w:pPr>
            <w:r w:rsidRPr="00F7263B">
              <w:rPr>
                <w:rFonts w:cs="Times New Roman"/>
                <w:sz w:val="20"/>
                <w:szCs w:val="20"/>
              </w:rPr>
              <w:t>Conduct business outreach and sensitize the business community the existence of complaint redressing mechanism.</w:t>
            </w:r>
          </w:p>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From the third assessment of ULGs (September –November 2015), the Regional public procurement asset management agencies will start conducting Independent Procurement Audit (IPA) and deliver audit report with management corrective actions on the findings will be shared with the Bank for further technical supports.</w:t>
            </w:r>
          </w:p>
        </w:tc>
        <w:tc>
          <w:tcPr>
            <w:tcW w:w="845" w:type="pct"/>
          </w:tcPr>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r w:rsidRPr="00F7263B">
              <w:rPr>
                <w:rFonts w:cs="Times New Roman"/>
                <w:sz w:val="20"/>
                <w:szCs w:val="20"/>
              </w:rPr>
              <w:t>By program effectiveness</w:t>
            </w: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r w:rsidRPr="00F7263B">
              <w:rPr>
                <w:rFonts w:cs="Times New Roman"/>
                <w:sz w:val="20"/>
                <w:szCs w:val="20"/>
              </w:rPr>
              <w:t>During Program implementation</w:t>
            </w: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r w:rsidRPr="00F7263B">
              <w:rPr>
                <w:rFonts w:cs="Times New Roman"/>
                <w:sz w:val="20"/>
                <w:szCs w:val="20"/>
              </w:rPr>
              <w:t>During Program implementation</w:t>
            </w:r>
          </w:p>
          <w:p w:rsidR="000E3BD7" w:rsidRPr="00F7263B" w:rsidRDefault="000E3BD7" w:rsidP="000C2E0A">
            <w:pPr>
              <w:contextualSpacing/>
              <w:rPr>
                <w:rFonts w:cs="Times New Roman"/>
                <w:sz w:val="20"/>
                <w:szCs w:val="20"/>
              </w:rPr>
            </w:pPr>
          </w:p>
          <w:p w:rsidR="000E3BD7" w:rsidRPr="00F7263B" w:rsidRDefault="000E3BD7" w:rsidP="000C2E0A">
            <w:pPr>
              <w:contextualSpacing/>
              <w:rPr>
                <w:rFonts w:cs="Times New Roman"/>
                <w:sz w:val="20"/>
                <w:szCs w:val="20"/>
              </w:rPr>
            </w:pPr>
          </w:p>
          <w:p w:rsidR="000E3BD7" w:rsidRPr="00F7263B" w:rsidRDefault="000E3BD7" w:rsidP="00EA0C87">
            <w:pPr>
              <w:contextualSpacing/>
              <w:rPr>
                <w:rFonts w:cs="Times New Roman"/>
                <w:sz w:val="20"/>
                <w:szCs w:val="20"/>
              </w:rPr>
            </w:pPr>
            <w:r w:rsidRPr="00F7263B">
              <w:rPr>
                <w:rFonts w:cs="Times New Roman"/>
                <w:sz w:val="20"/>
                <w:szCs w:val="20"/>
              </w:rPr>
              <w:t>Starting the third  assessment of the ULGs (Sept–Nov 2015)</w:t>
            </w:r>
          </w:p>
        </w:tc>
        <w:tc>
          <w:tcPr>
            <w:tcW w:w="658" w:type="pct"/>
            <w:gridSpan w:val="2"/>
          </w:tcPr>
          <w:p w:rsidR="000E3BD7" w:rsidRPr="00F7263B" w:rsidRDefault="000E3BD7" w:rsidP="000C2E0A">
            <w:pPr>
              <w:contextualSpacing/>
              <w:rPr>
                <w:rFonts w:cs="Times New Roman"/>
                <w:sz w:val="20"/>
                <w:szCs w:val="20"/>
              </w:rPr>
            </w:pPr>
            <w:r w:rsidRPr="00F7263B">
              <w:rPr>
                <w:rFonts w:cs="Times New Roman"/>
                <w:sz w:val="20"/>
                <w:szCs w:val="20"/>
              </w:rPr>
              <w:t>Regional public procure-mentand asset manage-mentagencies</w:t>
            </w:r>
          </w:p>
        </w:tc>
        <w:tc>
          <w:tcPr>
            <w:tcW w:w="526" w:type="pct"/>
          </w:tcPr>
          <w:p w:rsidR="000E3BD7" w:rsidRPr="00F7263B" w:rsidRDefault="000E3BD7" w:rsidP="000C2E0A">
            <w:pPr>
              <w:contextualSpacing/>
              <w:rPr>
                <w:rFonts w:cs="Times New Roman"/>
                <w:sz w:val="20"/>
                <w:szCs w:val="20"/>
              </w:rPr>
            </w:pPr>
            <w:r w:rsidRPr="00F7263B">
              <w:rPr>
                <w:rFonts w:cs="Times New Roman"/>
                <w:sz w:val="20"/>
                <w:szCs w:val="20"/>
              </w:rPr>
              <w:t>DLI</w:t>
            </w: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Consultations with ULGs on tax/tariff levels and ceilings</w:t>
            </w:r>
          </w:p>
          <w:p w:rsidR="000E3BD7" w:rsidRPr="00F7263B" w:rsidRDefault="000E3BD7" w:rsidP="000C2E0A">
            <w:pPr>
              <w:contextualSpacing/>
              <w:rPr>
                <w:rFonts w:cs="Times New Roman"/>
                <w:sz w:val="20"/>
                <w:szCs w:val="20"/>
              </w:rPr>
            </w:pP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 xml:space="preserve">Region revenue authorities consult with ULGs, on tariffs/taxes proclamations in order to provide conducive opportunities for ULGs to enhance revenues.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p w:rsidR="000E3BD7" w:rsidRPr="00F7263B" w:rsidRDefault="000E3BD7" w:rsidP="000C2E0A">
            <w:pPr>
              <w:contextualSpacing/>
              <w:rPr>
                <w:rFonts w:cs="Times New Roman"/>
                <w:sz w:val="20"/>
                <w:szCs w:val="20"/>
              </w:rPr>
            </w:pPr>
          </w:p>
        </w:tc>
        <w:tc>
          <w:tcPr>
            <w:tcW w:w="658" w:type="pct"/>
            <w:gridSpan w:val="2"/>
          </w:tcPr>
          <w:p w:rsidR="000E3BD7" w:rsidRPr="00F7263B" w:rsidRDefault="000E3BD7" w:rsidP="000C2E0A">
            <w:pPr>
              <w:contextualSpacing/>
              <w:rPr>
                <w:rFonts w:cs="Times New Roman"/>
                <w:sz w:val="20"/>
                <w:szCs w:val="20"/>
              </w:rPr>
            </w:pPr>
            <w:r w:rsidRPr="00F7263B">
              <w:rPr>
                <w:rFonts w:cs="Times New Roman"/>
                <w:sz w:val="20"/>
                <w:szCs w:val="20"/>
              </w:rPr>
              <w:t>Regional govern-ments</w:t>
            </w:r>
          </w:p>
          <w:p w:rsidR="000E3BD7" w:rsidRPr="00F7263B" w:rsidRDefault="000E3BD7" w:rsidP="000C2E0A">
            <w:pPr>
              <w:contextualSpacing/>
              <w:rPr>
                <w:rFonts w:cs="Times New Roman"/>
                <w:sz w:val="20"/>
                <w:szCs w:val="20"/>
              </w:rPr>
            </w:pPr>
          </w:p>
        </w:tc>
        <w:tc>
          <w:tcPr>
            <w:tcW w:w="526" w:type="pct"/>
          </w:tcPr>
          <w:p w:rsidR="000E3BD7" w:rsidRPr="00F7263B" w:rsidRDefault="000E3BD7" w:rsidP="000C2E0A">
            <w:pPr>
              <w:contextualSpacing/>
              <w:rPr>
                <w:rFonts w:cs="Times New Roman"/>
                <w:sz w:val="20"/>
                <w:szCs w:val="20"/>
              </w:rPr>
            </w:pPr>
            <w:r w:rsidRPr="00F7263B">
              <w:rPr>
                <w:rFonts w:cs="Times New Roman"/>
                <w:sz w:val="20"/>
                <w:szCs w:val="20"/>
              </w:rPr>
              <w:t>DLI</w:t>
            </w:r>
          </w:p>
          <w:p w:rsidR="000E3BD7" w:rsidRPr="00F7263B" w:rsidRDefault="000E3BD7" w:rsidP="000C2E0A">
            <w:pPr>
              <w:contextualSpacing/>
              <w:rPr>
                <w:rFonts w:cs="Times New Roman"/>
                <w:sz w:val="20"/>
                <w:szCs w:val="20"/>
              </w:rPr>
            </w:pP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Procurement and contracts management capacity building of ULGs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BoFEDs will undertake audit capacity building of the regional PPAs.</w:t>
            </w:r>
          </w:p>
          <w:p w:rsidR="000E3BD7" w:rsidRPr="00F7263B" w:rsidRDefault="000E3BD7" w:rsidP="000C2E0A">
            <w:pPr>
              <w:pStyle w:val="ListParagraph"/>
              <w:numPr>
                <w:ilvl w:val="0"/>
                <w:numId w:val="21"/>
              </w:numPr>
              <w:rPr>
                <w:rFonts w:cs="Times New Roman"/>
                <w:sz w:val="20"/>
                <w:szCs w:val="20"/>
              </w:rPr>
            </w:pPr>
            <w:r w:rsidRPr="00F7263B">
              <w:rPr>
                <w:rFonts w:cs="Times New Roman"/>
                <w:sz w:val="20"/>
                <w:szCs w:val="20"/>
              </w:rPr>
              <w:t>The mobile support team will provide hands on support on this.</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During the initial two years of the program implementation</w:t>
            </w:r>
          </w:p>
        </w:tc>
        <w:tc>
          <w:tcPr>
            <w:tcW w:w="658" w:type="pct"/>
            <w:gridSpan w:val="2"/>
          </w:tcPr>
          <w:p w:rsidR="000E3BD7" w:rsidRPr="00F7263B" w:rsidRDefault="000E3BD7" w:rsidP="000C2E0A">
            <w:pPr>
              <w:contextualSpacing/>
              <w:rPr>
                <w:rFonts w:cs="Times New Roman"/>
                <w:sz w:val="20"/>
                <w:szCs w:val="20"/>
              </w:rPr>
            </w:pPr>
            <w:r w:rsidRPr="00F7263B">
              <w:rPr>
                <w:rFonts w:cs="Times New Roman"/>
                <w:sz w:val="20"/>
                <w:szCs w:val="20"/>
              </w:rPr>
              <w:t>Regional govern-ments</w:t>
            </w:r>
          </w:p>
        </w:tc>
        <w:tc>
          <w:tcPr>
            <w:tcW w:w="526" w:type="pct"/>
          </w:tcPr>
          <w:p w:rsidR="000E3BD7" w:rsidRPr="00F7263B" w:rsidRDefault="000E3BD7" w:rsidP="000C2E0A">
            <w:pPr>
              <w:contextualSpacing/>
              <w:rPr>
                <w:rFonts w:cs="Times New Roman"/>
                <w:sz w:val="20"/>
                <w:szCs w:val="20"/>
              </w:rPr>
            </w:pPr>
            <w:r w:rsidRPr="00F7263B">
              <w:rPr>
                <w:rFonts w:cs="Times New Roman"/>
                <w:sz w:val="20"/>
                <w:szCs w:val="20"/>
              </w:rPr>
              <w:t>DLI</w:t>
            </w:r>
          </w:p>
        </w:tc>
      </w:tr>
      <w:tr w:rsidR="000E3BD7" w:rsidRPr="00F7263B" w:rsidTr="000C2E0A">
        <w:tc>
          <w:tcPr>
            <w:tcW w:w="5000" w:type="pct"/>
            <w:gridSpan w:val="6"/>
            <w:vAlign w:val="center"/>
          </w:tcPr>
          <w:p w:rsidR="000E3BD7" w:rsidRPr="00F7263B" w:rsidRDefault="000E3BD7" w:rsidP="000C2E0A">
            <w:pPr>
              <w:contextualSpacing/>
              <w:rPr>
                <w:rFonts w:cs="Times New Roman"/>
                <w:b/>
                <w:i/>
                <w:sz w:val="20"/>
                <w:szCs w:val="20"/>
              </w:rPr>
            </w:pPr>
            <w:r w:rsidRPr="00F7263B">
              <w:rPr>
                <w:rFonts w:cs="Times New Roman"/>
                <w:b/>
                <w:i/>
                <w:sz w:val="20"/>
                <w:szCs w:val="20"/>
              </w:rPr>
              <w:t xml:space="preserve">Urban Local Governments </w:t>
            </w:r>
          </w:p>
        </w:tc>
      </w:tr>
      <w:tr w:rsidR="000E3BD7" w:rsidRPr="00F7263B" w:rsidTr="000C2E0A">
        <w:tc>
          <w:tcPr>
            <w:tcW w:w="1137" w:type="pct"/>
            <w:vAlign w:val="center"/>
          </w:tcPr>
          <w:p w:rsidR="000E3BD7" w:rsidRPr="00F7263B" w:rsidRDefault="000E3BD7" w:rsidP="000C2E0A">
            <w:pPr>
              <w:contextualSpacing/>
              <w:rPr>
                <w:rFonts w:cs="Times New Roman"/>
                <w:sz w:val="20"/>
                <w:szCs w:val="20"/>
              </w:rPr>
            </w:pPr>
            <w:r w:rsidRPr="00F7263B">
              <w:rPr>
                <w:rFonts w:cs="Times New Roman"/>
                <w:sz w:val="20"/>
                <w:szCs w:val="20"/>
              </w:rPr>
              <w:t>Audit</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t>Internal audit of funds conducted by ULG internal auditors</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tc>
        <w:tc>
          <w:tcPr>
            <w:tcW w:w="658" w:type="pct"/>
            <w:gridSpan w:val="2"/>
          </w:tcPr>
          <w:p w:rsidR="000E3BD7" w:rsidRPr="00F7263B" w:rsidRDefault="000E3BD7" w:rsidP="000C2E0A">
            <w:pPr>
              <w:contextualSpacing/>
              <w:rPr>
                <w:rFonts w:cs="Times New Roman"/>
                <w:sz w:val="20"/>
                <w:szCs w:val="20"/>
              </w:rPr>
            </w:pPr>
            <w:r w:rsidRPr="00F7263B">
              <w:rPr>
                <w:rFonts w:cs="Times New Roman"/>
                <w:sz w:val="20"/>
                <w:szCs w:val="20"/>
              </w:rPr>
              <w:t>ULGs</w:t>
            </w:r>
          </w:p>
        </w:tc>
        <w:tc>
          <w:tcPr>
            <w:tcW w:w="527" w:type="pct"/>
          </w:tcPr>
          <w:p w:rsidR="000E3BD7" w:rsidRPr="00F7263B" w:rsidRDefault="000E3BD7" w:rsidP="000C2E0A">
            <w:pPr>
              <w:contextualSpacing/>
              <w:rPr>
                <w:rFonts w:cs="Times New Roman"/>
                <w:sz w:val="20"/>
                <w:szCs w:val="20"/>
              </w:rPr>
            </w:pPr>
            <w:r w:rsidRPr="00F7263B">
              <w:rPr>
                <w:rFonts w:cs="Times New Roman"/>
                <w:sz w:val="20"/>
                <w:szCs w:val="20"/>
              </w:rPr>
              <w:t>DLI</w:t>
            </w:r>
          </w:p>
        </w:tc>
      </w:tr>
      <w:tr w:rsidR="000E3BD7" w:rsidRPr="00F7263B" w:rsidTr="000C2E0A">
        <w:tc>
          <w:tcPr>
            <w:tcW w:w="5000" w:type="pct"/>
            <w:gridSpan w:val="6"/>
            <w:shd w:val="clear" w:color="auto" w:fill="BFBFBF" w:themeFill="background1" w:themeFillShade="BF"/>
          </w:tcPr>
          <w:p w:rsidR="000E3BD7" w:rsidRPr="00F7263B" w:rsidRDefault="000E3BD7" w:rsidP="000C2E0A">
            <w:pPr>
              <w:contextualSpacing/>
              <w:jc w:val="center"/>
              <w:rPr>
                <w:rFonts w:cs="Times New Roman"/>
                <w:sz w:val="20"/>
                <w:szCs w:val="20"/>
              </w:rPr>
            </w:pPr>
            <w:r w:rsidRPr="00F7263B">
              <w:rPr>
                <w:rFonts w:cs="Times New Roman"/>
                <w:b/>
                <w:sz w:val="20"/>
                <w:szCs w:val="20"/>
              </w:rPr>
              <w:t>Safeguards</w:t>
            </w: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 xml:space="preserve">Adverse environment and social impacts resulting from poor planning during construction at city level.  This may result from failure to adequately identify and mitigate adverse environmental impacts </w:t>
            </w:r>
            <w:r w:rsidRPr="00F7263B">
              <w:rPr>
                <w:rFonts w:cs="Times New Roman"/>
                <w:sz w:val="20"/>
                <w:szCs w:val="20"/>
              </w:rPr>
              <w:lastRenderedPageBreak/>
              <w:t>of the works leading to environmental damage, including loss of natural habitats and known or unknown physical cultural resources.  Risk of increased environmental pollution and occupational health impacts.</w:t>
            </w:r>
          </w:p>
        </w:tc>
        <w:tc>
          <w:tcPr>
            <w:tcW w:w="1833"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 xml:space="preserve">Screening for Environment and Social risks of all proposed investments at city level: </w:t>
            </w:r>
          </w:p>
          <w:p w:rsidR="000E3BD7" w:rsidRPr="00F7263B" w:rsidRDefault="000E3BD7" w:rsidP="000C2E0A">
            <w:pPr>
              <w:pStyle w:val="ListParagraph"/>
              <w:numPr>
                <w:ilvl w:val="0"/>
                <w:numId w:val="21"/>
              </w:numPr>
              <w:tabs>
                <w:tab w:val="left" w:pos="162"/>
              </w:tabs>
              <w:ind w:left="-18" w:firstLine="18"/>
              <w:rPr>
                <w:rFonts w:eastAsia="Times New Roman" w:cs="Times New Roman"/>
                <w:sz w:val="20"/>
                <w:szCs w:val="20"/>
              </w:rPr>
            </w:pPr>
            <w:r w:rsidRPr="00F7263B">
              <w:rPr>
                <w:rFonts w:cs="Times New Roman"/>
                <w:sz w:val="20"/>
                <w:szCs w:val="20"/>
              </w:rPr>
              <w:t xml:space="preserve">Incorporate environmental impact and risk criteria in the site selection screening forms for all city level investment in physical works through the ULGDP II window.  Ensure that the screening is explicit in addressing natural habitats and physical cultural </w:t>
            </w:r>
            <w:r w:rsidRPr="00F7263B">
              <w:rPr>
                <w:rFonts w:cs="Times New Roman"/>
                <w:sz w:val="20"/>
                <w:szCs w:val="20"/>
              </w:rPr>
              <w:lastRenderedPageBreak/>
              <w:t>resources considerations in order to avoid siting of infrastructures in areas that would cause significant adverse impacts.</w:t>
            </w:r>
          </w:p>
          <w:p w:rsidR="000E3BD7" w:rsidRPr="00F7263B" w:rsidRDefault="000E3BD7" w:rsidP="000C2E0A">
            <w:pPr>
              <w:pStyle w:val="ListParagraph"/>
              <w:numPr>
                <w:ilvl w:val="0"/>
                <w:numId w:val="21"/>
              </w:numPr>
              <w:tabs>
                <w:tab w:val="left" w:pos="162"/>
              </w:tabs>
              <w:ind w:left="-18" w:firstLine="18"/>
              <w:rPr>
                <w:rFonts w:eastAsiaTheme="majorEastAsia" w:cs="Times New Roman"/>
                <w:i/>
                <w:iCs/>
                <w:color w:val="243F60" w:themeColor="accent1" w:themeShade="7F"/>
                <w:sz w:val="20"/>
                <w:szCs w:val="20"/>
              </w:rPr>
            </w:pPr>
            <w:r w:rsidRPr="00F7263B">
              <w:rPr>
                <w:rFonts w:cs="Times New Roman"/>
                <w:sz w:val="20"/>
                <w:szCs w:val="20"/>
              </w:rPr>
              <w:t xml:space="preserve">Appropriate mitigation measures to address induced impacts should also be identified during the site screening process for all new construction activities proposed through the ULGDP II.  </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Prior to final selection of a site for construction.</w:t>
            </w:r>
          </w:p>
        </w:tc>
        <w:tc>
          <w:tcPr>
            <w:tcW w:w="658" w:type="pct"/>
            <w:gridSpan w:val="2"/>
          </w:tcPr>
          <w:p w:rsidR="000E3BD7" w:rsidRPr="00F7263B" w:rsidRDefault="000E3BD7" w:rsidP="000C2E0A">
            <w:pPr>
              <w:contextualSpacing/>
              <w:rPr>
                <w:rFonts w:cs="Times New Roman"/>
                <w:sz w:val="20"/>
                <w:szCs w:val="20"/>
              </w:rPr>
            </w:pPr>
            <w:r w:rsidRPr="00F7263B">
              <w:rPr>
                <w:rFonts w:cs="Times New Roman"/>
                <w:sz w:val="20"/>
                <w:szCs w:val="20"/>
              </w:rPr>
              <w:t xml:space="preserve">MUDHCo, regions, and ULGs tasked with carrying out the site screening exercise for site selection of all </w:t>
            </w:r>
            <w:r w:rsidRPr="00F7263B">
              <w:rPr>
                <w:rFonts w:cs="Times New Roman"/>
                <w:sz w:val="20"/>
                <w:szCs w:val="20"/>
              </w:rPr>
              <w:lastRenderedPageBreak/>
              <w:t>construc-tion activities at city level.</w:t>
            </w:r>
          </w:p>
        </w:tc>
        <w:tc>
          <w:tcPr>
            <w:tcW w:w="527"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DLI</w:t>
            </w: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lastRenderedPageBreak/>
              <w:t>Lack of capacity for environmental and social management: Capacity gaps may lead to a weak planning, implementation and monitoring of environmental and social management plan at city, regional and federal levels.</w:t>
            </w:r>
          </w:p>
        </w:tc>
        <w:tc>
          <w:tcPr>
            <w:tcW w:w="1833" w:type="pct"/>
          </w:tcPr>
          <w:p w:rsidR="000E3BD7" w:rsidRPr="00F7263B" w:rsidRDefault="000E3BD7" w:rsidP="000C2E0A">
            <w:pPr>
              <w:pStyle w:val="ListParagraph"/>
              <w:tabs>
                <w:tab w:val="left" w:pos="162"/>
              </w:tabs>
              <w:ind w:left="0"/>
              <w:rPr>
                <w:rFonts w:cs="Times New Roman"/>
                <w:sz w:val="20"/>
                <w:szCs w:val="20"/>
              </w:rPr>
            </w:pPr>
            <w:r w:rsidRPr="00F7263B">
              <w:rPr>
                <w:rFonts w:cs="Times New Roman"/>
                <w:sz w:val="20"/>
                <w:szCs w:val="20"/>
              </w:rPr>
              <w:t>Develop an environment and social development unit with trained environment and social development specialists to service and coordinate with regions and ULGs:</w:t>
            </w:r>
          </w:p>
          <w:p w:rsidR="000E3BD7" w:rsidRPr="00F7263B" w:rsidRDefault="000E3BD7" w:rsidP="000C2E0A">
            <w:pPr>
              <w:pStyle w:val="ListParagraph"/>
              <w:numPr>
                <w:ilvl w:val="0"/>
                <w:numId w:val="21"/>
              </w:numPr>
              <w:tabs>
                <w:tab w:val="left" w:pos="162"/>
              </w:tabs>
              <w:ind w:left="-18" w:firstLine="18"/>
              <w:rPr>
                <w:rFonts w:eastAsiaTheme="majorEastAsia" w:cs="Times New Roman"/>
                <w:b/>
                <w:bCs/>
                <w:i/>
                <w:iCs/>
                <w:color w:val="243F60" w:themeColor="accent1" w:themeShade="7F"/>
                <w:sz w:val="20"/>
                <w:szCs w:val="20"/>
              </w:rPr>
            </w:pPr>
            <w:r w:rsidRPr="00F7263B">
              <w:rPr>
                <w:rFonts w:cs="Times New Roman"/>
                <w:sz w:val="20"/>
                <w:szCs w:val="20"/>
              </w:rPr>
              <w:t>This will include working with the REPAs on capacity building programs</w:t>
            </w:r>
          </w:p>
          <w:p w:rsidR="000E3BD7" w:rsidRPr="00F7263B" w:rsidRDefault="000E3BD7" w:rsidP="000C2E0A">
            <w:pPr>
              <w:pStyle w:val="ListParagraph"/>
              <w:numPr>
                <w:ilvl w:val="0"/>
                <w:numId w:val="21"/>
              </w:numPr>
              <w:tabs>
                <w:tab w:val="left" w:pos="162"/>
              </w:tabs>
              <w:ind w:left="-18" w:firstLine="18"/>
              <w:rPr>
                <w:rFonts w:eastAsiaTheme="majorEastAsia" w:cs="Times New Roman"/>
                <w:b/>
                <w:bCs/>
                <w:i/>
                <w:iCs/>
                <w:color w:val="243F60" w:themeColor="accent1" w:themeShade="7F"/>
                <w:sz w:val="20"/>
                <w:szCs w:val="20"/>
              </w:rPr>
            </w:pPr>
            <w:r w:rsidRPr="00F7263B">
              <w:rPr>
                <w:rFonts w:cs="Times New Roman"/>
                <w:sz w:val="20"/>
                <w:szCs w:val="20"/>
              </w:rPr>
              <w:t>Working closely with the Department of Labor to improve implementation of occupational health and safety issues</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w:t>
            </w:r>
          </w:p>
        </w:tc>
        <w:tc>
          <w:tcPr>
            <w:tcW w:w="658" w:type="pct"/>
            <w:gridSpan w:val="2"/>
          </w:tcPr>
          <w:p w:rsidR="000E3BD7" w:rsidRPr="00F7263B" w:rsidRDefault="000E3BD7" w:rsidP="000C2E0A">
            <w:pPr>
              <w:contextualSpacing/>
              <w:rPr>
                <w:rFonts w:cs="Times New Roman"/>
                <w:sz w:val="20"/>
                <w:szCs w:val="20"/>
              </w:rPr>
            </w:pPr>
            <w:r w:rsidRPr="00F7263B">
              <w:rPr>
                <w:rFonts w:cs="Times New Roman"/>
                <w:sz w:val="20"/>
                <w:szCs w:val="20"/>
              </w:rPr>
              <w:t>MUDHCo and regional gover-nments</w:t>
            </w:r>
          </w:p>
        </w:tc>
        <w:tc>
          <w:tcPr>
            <w:tcW w:w="527" w:type="pct"/>
          </w:tcPr>
          <w:p w:rsidR="000E3BD7" w:rsidRPr="00F7263B" w:rsidRDefault="000E3BD7" w:rsidP="000C2E0A">
            <w:pPr>
              <w:contextualSpacing/>
              <w:rPr>
                <w:rFonts w:cs="Times New Roman"/>
                <w:sz w:val="20"/>
                <w:szCs w:val="20"/>
              </w:rPr>
            </w:pPr>
            <w:r w:rsidRPr="00F7263B">
              <w:rPr>
                <w:rFonts w:cs="Times New Roman"/>
                <w:sz w:val="20"/>
                <w:szCs w:val="20"/>
              </w:rPr>
              <w:t>Partly supported by DLI</w:t>
            </w:r>
          </w:p>
        </w:tc>
      </w:tr>
      <w:tr w:rsidR="000E3BD7" w:rsidRPr="00F7263B" w:rsidTr="000C2E0A">
        <w:tc>
          <w:tcPr>
            <w:tcW w:w="1137" w:type="pct"/>
          </w:tcPr>
          <w:p w:rsidR="000E3BD7" w:rsidRPr="00F7263B" w:rsidRDefault="000E3BD7" w:rsidP="000C2E0A">
            <w:pPr>
              <w:contextualSpacing/>
              <w:rPr>
                <w:rFonts w:cs="Times New Roman"/>
                <w:sz w:val="20"/>
                <w:szCs w:val="20"/>
              </w:rPr>
            </w:pPr>
            <w:r w:rsidRPr="00F7263B">
              <w:rPr>
                <w:rFonts w:cs="Times New Roman"/>
                <w:sz w:val="20"/>
                <w:szCs w:val="20"/>
              </w:rPr>
              <w:t>Risks of loss of income and livelihood for project affected people due to inadequate Land acquisition, resettlement and compensation</w:t>
            </w:r>
          </w:p>
        </w:tc>
        <w:tc>
          <w:tcPr>
            <w:tcW w:w="1833" w:type="pct"/>
          </w:tcPr>
          <w:p w:rsidR="000E3BD7" w:rsidRPr="00F7263B" w:rsidRDefault="000E3BD7" w:rsidP="000C2E0A">
            <w:pPr>
              <w:pStyle w:val="ListParagraph"/>
              <w:numPr>
                <w:ilvl w:val="0"/>
                <w:numId w:val="21"/>
              </w:numPr>
              <w:tabs>
                <w:tab w:val="left" w:pos="162"/>
              </w:tabs>
              <w:ind w:left="-18" w:firstLine="18"/>
              <w:rPr>
                <w:rFonts w:eastAsiaTheme="majorEastAsia" w:cs="Times New Roman"/>
                <w:b/>
                <w:bCs/>
                <w:i/>
                <w:iCs/>
                <w:color w:val="243F60" w:themeColor="accent1" w:themeShade="7F"/>
                <w:sz w:val="20"/>
                <w:szCs w:val="20"/>
              </w:rPr>
            </w:pPr>
            <w:r w:rsidRPr="00F7263B">
              <w:rPr>
                <w:rFonts w:cs="Times New Roman"/>
                <w:sz w:val="20"/>
                <w:szCs w:val="20"/>
              </w:rPr>
              <w:t>Improve capacity to document consultations and participatory approaches where communal land is used or vulnerable person is involved.</w:t>
            </w:r>
          </w:p>
          <w:p w:rsidR="000E3BD7" w:rsidRPr="00F7263B" w:rsidRDefault="000E3BD7" w:rsidP="000C2E0A">
            <w:pPr>
              <w:pStyle w:val="ListParagraph"/>
              <w:numPr>
                <w:ilvl w:val="0"/>
                <w:numId w:val="21"/>
              </w:numPr>
              <w:tabs>
                <w:tab w:val="left" w:pos="162"/>
              </w:tabs>
              <w:ind w:left="-18" w:firstLine="18"/>
              <w:rPr>
                <w:rFonts w:eastAsiaTheme="majorEastAsia" w:cs="Times New Roman"/>
                <w:b/>
                <w:bCs/>
                <w:i/>
                <w:iCs/>
                <w:color w:val="243F60" w:themeColor="accent1" w:themeShade="7F"/>
                <w:sz w:val="20"/>
                <w:szCs w:val="20"/>
              </w:rPr>
            </w:pPr>
            <w:r w:rsidRPr="00F7263B">
              <w:rPr>
                <w:rFonts w:cs="Times New Roman"/>
                <w:sz w:val="20"/>
                <w:szCs w:val="20"/>
              </w:rPr>
              <w:t>Provide systematic training on environment and social management procedures as outlined in the environmental and social management framework and the resettlement policy framework of existing ULG project to all participating ULGs and regions</w:t>
            </w:r>
          </w:p>
          <w:p w:rsidR="000E3BD7" w:rsidRPr="00F7263B" w:rsidRDefault="000E3BD7" w:rsidP="000C2E0A">
            <w:pPr>
              <w:pStyle w:val="ListParagraph"/>
              <w:numPr>
                <w:ilvl w:val="0"/>
                <w:numId w:val="21"/>
              </w:numPr>
              <w:tabs>
                <w:tab w:val="left" w:pos="162"/>
              </w:tabs>
              <w:ind w:left="-18" w:firstLine="18"/>
              <w:rPr>
                <w:rFonts w:eastAsiaTheme="majorEastAsia" w:cs="Times New Roman"/>
                <w:i/>
                <w:iCs/>
                <w:color w:val="243F60" w:themeColor="accent1" w:themeShade="7F"/>
                <w:sz w:val="20"/>
                <w:szCs w:val="20"/>
              </w:rPr>
            </w:pPr>
            <w:r w:rsidRPr="00F7263B">
              <w:rPr>
                <w:rFonts w:cs="Times New Roman"/>
                <w:sz w:val="20"/>
                <w:szCs w:val="20"/>
              </w:rPr>
              <w:t>Provide for grievance redress mechanism</w:t>
            </w:r>
          </w:p>
          <w:p w:rsidR="000E3BD7" w:rsidRPr="00F7263B" w:rsidRDefault="000E3BD7" w:rsidP="000C2E0A">
            <w:pPr>
              <w:pStyle w:val="ListParagraph"/>
              <w:numPr>
                <w:ilvl w:val="0"/>
                <w:numId w:val="21"/>
              </w:numPr>
              <w:tabs>
                <w:tab w:val="left" w:pos="162"/>
              </w:tabs>
              <w:ind w:left="-18" w:firstLine="18"/>
              <w:rPr>
                <w:rFonts w:eastAsiaTheme="majorEastAsia" w:cs="Times New Roman"/>
                <w:i/>
                <w:iCs/>
                <w:color w:val="243F60" w:themeColor="accent1" w:themeShade="7F"/>
                <w:sz w:val="20"/>
                <w:szCs w:val="20"/>
              </w:rPr>
            </w:pPr>
            <w:r w:rsidRPr="00F7263B">
              <w:rPr>
                <w:rFonts w:cs="Times New Roman"/>
                <w:sz w:val="20"/>
                <w:szCs w:val="20"/>
              </w:rPr>
              <w:t>Undertake annual review of performance of implementation of environmental and social management planning.</w:t>
            </w:r>
          </w:p>
        </w:tc>
        <w:tc>
          <w:tcPr>
            <w:tcW w:w="845" w:type="pct"/>
          </w:tcPr>
          <w:p w:rsidR="000E3BD7" w:rsidRPr="00F7263B" w:rsidRDefault="000E3BD7" w:rsidP="000C2E0A">
            <w:pPr>
              <w:contextualSpacing/>
              <w:rPr>
                <w:rFonts w:cs="Times New Roman"/>
                <w:sz w:val="20"/>
                <w:szCs w:val="20"/>
              </w:rPr>
            </w:pPr>
            <w:r w:rsidRPr="00F7263B">
              <w:rPr>
                <w:rFonts w:cs="Times New Roman"/>
                <w:sz w:val="20"/>
                <w:szCs w:val="20"/>
              </w:rPr>
              <w:t>Program implementation - prior to validating civil works contracts</w:t>
            </w:r>
          </w:p>
        </w:tc>
        <w:tc>
          <w:tcPr>
            <w:tcW w:w="658" w:type="pct"/>
            <w:gridSpan w:val="2"/>
          </w:tcPr>
          <w:p w:rsidR="000E3BD7" w:rsidRPr="00F7263B" w:rsidRDefault="000E3BD7" w:rsidP="000C2E0A">
            <w:pPr>
              <w:contextualSpacing/>
              <w:rPr>
                <w:rFonts w:cs="Times New Roman"/>
                <w:sz w:val="20"/>
                <w:szCs w:val="20"/>
              </w:rPr>
            </w:pPr>
            <w:r w:rsidRPr="00F7263B">
              <w:rPr>
                <w:rFonts w:cs="Times New Roman"/>
                <w:sz w:val="20"/>
                <w:szCs w:val="20"/>
              </w:rPr>
              <w:t>MUDHCo, regional govern-ments, and ULGs</w:t>
            </w:r>
          </w:p>
        </w:tc>
        <w:tc>
          <w:tcPr>
            <w:tcW w:w="527" w:type="pct"/>
          </w:tcPr>
          <w:p w:rsidR="000E3BD7" w:rsidRPr="00F7263B" w:rsidRDefault="000E3BD7" w:rsidP="000C2E0A">
            <w:pPr>
              <w:contextualSpacing/>
              <w:rPr>
                <w:rFonts w:cs="Times New Roman"/>
                <w:sz w:val="20"/>
                <w:szCs w:val="20"/>
              </w:rPr>
            </w:pPr>
            <w:r w:rsidRPr="00F7263B">
              <w:rPr>
                <w:rFonts w:cs="Times New Roman"/>
                <w:sz w:val="20"/>
                <w:szCs w:val="20"/>
              </w:rPr>
              <w:t xml:space="preserve">Partly supported by DLI </w:t>
            </w:r>
          </w:p>
        </w:tc>
      </w:tr>
    </w:tbl>
    <w:p w:rsidR="00AE45E6" w:rsidRPr="00F7263B" w:rsidRDefault="004D6C0B" w:rsidP="00EE6A26">
      <w:pPr>
        <w:pStyle w:val="Caption"/>
        <w:jc w:val="center"/>
      </w:pPr>
      <w:r w:rsidRPr="00F7263B">
        <w:br w:type="page"/>
      </w:r>
      <w:bookmarkStart w:id="104" w:name="_Toc374060184"/>
      <w:bookmarkStart w:id="105" w:name="_Toc380087835"/>
      <w:r w:rsidR="00EE6A26" w:rsidRPr="00F7263B">
        <w:lastRenderedPageBreak/>
        <w:t xml:space="preserve">Annex </w:t>
      </w:r>
      <w:r w:rsidR="00B845BE" w:rsidRPr="00F7263B">
        <w:fldChar w:fldCharType="begin"/>
      </w:r>
      <w:r w:rsidR="00EE6A26" w:rsidRPr="00F7263B">
        <w:instrText xml:space="preserve"> SEQ Annex \* ARABIC </w:instrText>
      </w:r>
      <w:r w:rsidR="00B845BE" w:rsidRPr="00F7263B">
        <w:fldChar w:fldCharType="separate"/>
      </w:r>
      <w:r w:rsidR="00933073">
        <w:rPr>
          <w:noProof/>
        </w:rPr>
        <w:t>9</w:t>
      </w:r>
      <w:r w:rsidR="00B845BE" w:rsidRPr="00F7263B">
        <w:fldChar w:fldCharType="end"/>
      </w:r>
      <w:r w:rsidR="001D2940" w:rsidRPr="00F7263B">
        <w:t>: Implementation Support Plan</w:t>
      </w:r>
      <w:bookmarkEnd w:id="104"/>
      <w:bookmarkEnd w:id="105"/>
    </w:p>
    <w:p w:rsidR="002C31EF" w:rsidRPr="00F7263B" w:rsidRDefault="002C31EF" w:rsidP="00556F1B">
      <w:pPr>
        <w:ind w:left="360"/>
        <w:jc w:val="both"/>
        <w:rPr>
          <w:rFonts w:cs="Times New Roman"/>
          <w:b/>
          <w:sz w:val="20"/>
          <w:szCs w:val="20"/>
        </w:rPr>
      </w:pPr>
    </w:p>
    <w:p w:rsidR="00CB36B3" w:rsidRPr="00F7263B" w:rsidRDefault="00CB36B3" w:rsidP="0068255C">
      <w:pPr>
        <w:jc w:val="both"/>
        <w:rPr>
          <w:rFonts w:cs="Times New Roman"/>
          <w:sz w:val="20"/>
          <w:szCs w:val="20"/>
        </w:rPr>
      </w:pPr>
      <w:r w:rsidRPr="00F7263B">
        <w:rPr>
          <w:rFonts w:cs="Times New Roman"/>
          <w:sz w:val="20"/>
          <w:szCs w:val="20"/>
        </w:rPr>
        <w:t xml:space="preserve">Due to the complex nature of the Program, there will be focused implementation support that will be provided by the Bank. This support will focus on the implementation of the </w:t>
      </w:r>
      <w:r w:rsidR="00092CE3" w:rsidRPr="00F7263B">
        <w:rPr>
          <w:rFonts w:cs="Times New Roman"/>
          <w:sz w:val="20"/>
          <w:szCs w:val="20"/>
        </w:rPr>
        <w:t>Program action plan</w:t>
      </w:r>
      <w:r w:rsidRPr="00F7263B">
        <w:rPr>
          <w:rFonts w:cs="Times New Roman"/>
          <w:sz w:val="20"/>
          <w:szCs w:val="20"/>
        </w:rPr>
        <w:t>, providing the necessary World Bank support and monitoring progress towards the achievement of the PDO. The support will include due diligence for DLIs. To ensure rigor, the Bank will commission and undertake independent quality assurance reviews of the annual performance assessment to check for accuracy and robustness.</w:t>
      </w:r>
    </w:p>
    <w:p w:rsidR="00CB36B3" w:rsidRPr="00F7263B" w:rsidRDefault="00CB36B3" w:rsidP="0068255C">
      <w:pPr>
        <w:jc w:val="both"/>
        <w:rPr>
          <w:rFonts w:cs="Times New Roman"/>
          <w:b/>
          <w:sz w:val="20"/>
          <w:szCs w:val="20"/>
        </w:rPr>
      </w:pPr>
    </w:p>
    <w:p w:rsidR="00CB36B3" w:rsidRPr="00F7263B" w:rsidRDefault="002C31EF" w:rsidP="0068255C">
      <w:pPr>
        <w:jc w:val="both"/>
        <w:rPr>
          <w:rFonts w:cs="Times New Roman"/>
          <w:b/>
          <w:sz w:val="20"/>
          <w:szCs w:val="20"/>
        </w:rPr>
      </w:pPr>
      <w:r w:rsidRPr="00F7263B">
        <w:rPr>
          <w:rFonts w:cs="Times New Roman"/>
          <w:b/>
          <w:sz w:val="20"/>
          <w:szCs w:val="20"/>
        </w:rPr>
        <w:t xml:space="preserve">Main focus of Implementation Support </w:t>
      </w:r>
    </w:p>
    <w:p w:rsidR="00CB36B3" w:rsidRPr="00F7263B" w:rsidRDefault="00CB36B3" w:rsidP="0068255C">
      <w:pPr>
        <w:jc w:val="both"/>
        <w:rPr>
          <w:rFonts w:cs="Times New Roman"/>
          <w:b/>
          <w:sz w:val="20"/>
          <w:szCs w:val="20"/>
        </w:rPr>
      </w:pPr>
    </w:p>
    <w:tbl>
      <w:tblPr>
        <w:tblStyle w:val="LightShading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2396"/>
        <w:gridCol w:w="4091"/>
      </w:tblGrid>
      <w:tr w:rsidR="008C6A20" w:rsidRPr="00F726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pct"/>
            <w:tcBorders>
              <w:top w:val="none" w:sz="0" w:space="0" w:color="auto"/>
              <w:left w:val="none" w:sz="0" w:space="0" w:color="auto"/>
              <w:bottom w:val="none" w:sz="0" w:space="0" w:color="auto"/>
              <w:right w:val="none" w:sz="0" w:space="0" w:color="auto"/>
            </w:tcBorders>
            <w:shd w:val="clear" w:color="auto" w:fill="auto"/>
          </w:tcPr>
          <w:p w:rsidR="008C6A20" w:rsidRPr="00F7263B" w:rsidRDefault="008C6A20" w:rsidP="00436A32">
            <w:pPr>
              <w:spacing w:beforeAutospacing="0"/>
              <w:contextualSpacing/>
              <w:rPr>
                <w:rFonts w:cs="Times New Roman"/>
                <w:b w:val="0"/>
                <w:sz w:val="20"/>
                <w:szCs w:val="20"/>
              </w:rPr>
            </w:pPr>
            <w:r w:rsidRPr="00F7263B">
              <w:rPr>
                <w:rFonts w:cs="Times New Roman"/>
                <w:sz w:val="20"/>
                <w:szCs w:val="20"/>
              </w:rPr>
              <w:t>Area</w:t>
            </w:r>
          </w:p>
        </w:tc>
        <w:tc>
          <w:tcPr>
            <w:tcW w:w="1251" w:type="pct"/>
            <w:tcBorders>
              <w:top w:val="none" w:sz="0" w:space="0" w:color="auto"/>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F7263B">
              <w:rPr>
                <w:rFonts w:cs="Times New Roman"/>
                <w:sz w:val="20"/>
                <w:szCs w:val="20"/>
              </w:rPr>
              <w:t>Skills Needed</w:t>
            </w:r>
          </w:p>
        </w:tc>
        <w:tc>
          <w:tcPr>
            <w:tcW w:w="2136" w:type="pct"/>
            <w:tcBorders>
              <w:top w:val="none" w:sz="0" w:space="0" w:color="auto"/>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F7263B">
              <w:rPr>
                <w:rFonts w:cs="Times New Roman"/>
                <w:sz w:val="20"/>
                <w:szCs w:val="20"/>
              </w:rPr>
              <w:t>Estimate Staff Time Needed</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pct"/>
            <w:tcBorders>
              <w:left w:val="none" w:sz="0" w:space="0" w:color="auto"/>
              <w:right w:val="none" w:sz="0" w:space="0" w:color="auto"/>
            </w:tcBorders>
            <w:shd w:val="clear" w:color="auto" w:fill="auto"/>
          </w:tcPr>
          <w:p w:rsidR="008C6A20" w:rsidRPr="00F7263B" w:rsidRDefault="008C6A20" w:rsidP="00436A32">
            <w:pPr>
              <w:spacing w:beforeAutospacing="0"/>
              <w:contextualSpacing/>
              <w:rPr>
                <w:rFonts w:cs="Times New Roman"/>
                <w:b w:val="0"/>
                <w:sz w:val="20"/>
                <w:szCs w:val="20"/>
              </w:rPr>
            </w:pPr>
            <w:r w:rsidRPr="00F7263B">
              <w:rPr>
                <w:rFonts w:cs="Times New Roman"/>
                <w:b w:val="0"/>
                <w:sz w:val="20"/>
                <w:szCs w:val="20"/>
              </w:rPr>
              <w:t>Procurement support</w:t>
            </w:r>
            <w:r w:rsidR="007A49A8" w:rsidRPr="00F7263B">
              <w:rPr>
                <w:rFonts w:cs="Times New Roman"/>
                <w:b w:val="0"/>
                <w:sz w:val="20"/>
                <w:szCs w:val="20"/>
              </w:rPr>
              <w:t xml:space="preserve">and monitoring of implementation of PAPs </w:t>
            </w:r>
            <w:r w:rsidR="000D5678" w:rsidRPr="00F7263B">
              <w:rPr>
                <w:rFonts w:cs="Times New Roman"/>
                <w:b w:val="0"/>
                <w:sz w:val="20"/>
                <w:szCs w:val="20"/>
              </w:rPr>
              <w:t>including for RPPAs</w:t>
            </w:r>
          </w:p>
        </w:tc>
        <w:tc>
          <w:tcPr>
            <w:tcW w:w="1251" w:type="pct"/>
            <w:tcBorders>
              <w:left w:val="none" w:sz="0" w:space="0" w:color="auto"/>
              <w:right w:val="none" w:sz="0" w:space="0" w:color="auto"/>
            </w:tcBorders>
            <w:shd w:val="clear" w:color="auto" w:fill="auto"/>
          </w:tcPr>
          <w:p w:rsidR="008C6A20" w:rsidRPr="00F7263B" w:rsidRDefault="008C6A20" w:rsidP="00765BBC">
            <w:pPr>
              <w:spacing w:beforeAutospacing="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Procurement Specialist</w:t>
            </w:r>
          </w:p>
          <w:p w:rsidR="008C6A20" w:rsidRPr="00F7263B" w:rsidRDefault="008C6A20" w:rsidP="00765BBC">
            <w:pPr>
              <w:spacing w:beforeAutospacing="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p>
        </w:tc>
        <w:tc>
          <w:tcPr>
            <w:tcW w:w="2136" w:type="pct"/>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5 SWs</w:t>
            </w:r>
          </w:p>
        </w:tc>
      </w:tr>
      <w:tr w:rsidR="008C6A20" w:rsidRPr="00F7263B">
        <w:trPr>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rsidR="008C6A20" w:rsidRPr="00F7263B" w:rsidRDefault="008C6A20" w:rsidP="00436A32">
            <w:pPr>
              <w:spacing w:beforeAutospacing="0"/>
              <w:contextualSpacing/>
              <w:rPr>
                <w:rFonts w:cs="Times New Roman"/>
                <w:b w:val="0"/>
                <w:sz w:val="20"/>
                <w:szCs w:val="20"/>
              </w:rPr>
            </w:pPr>
            <w:r w:rsidRPr="00F7263B">
              <w:rPr>
                <w:rFonts w:cs="Times New Roman"/>
                <w:b w:val="0"/>
                <w:sz w:val="20"/>
                <w:szCs w:val="20"/>
              </w:rPr>
              <w:t xml:space="preserve">Procurement </w:t>
            </w:r>
            <w:r w:rsidR="000D5678" w:rsidRPr="00F7263B">
              <w:rPr>
                <w:rFonts w:cs="Times New Roman"/>
                <w:b w:val="0"/>
                <w:sz w:val="20"/>
                <w:szCs w:val="20"/>
              </w:rPr>
              <w:t xml:space="preserve">&amp; contract management </w:t>
            </w:r>
            <w:r w:rsidRPr="00F7263B">
              <w:rPr>
                <w:rFonts w:cs="Times New Roman"/>
                <w:b w:val="0"/>
                <w:sz w:val="20"/>
                <w:szCs w:val="20"/>
              </w:rPr>
              <w:t>Training</w:t>
            </w:r>
          </w:p>
        </w:tc>
        <w:tc>
          <w:tcPr>
            <w:tcW w:w="1251" w:type="pct"/>
            <w:shd w:val="clear" w:color="auto" w:fill="auto"/>
          </w:tcPr>
          <w:p w:rsidR="008C6A20" w:rsidRPr="00F7263B" w:rsidRDefault="008C6A20" w:rsidP="00765BBC">
            <w:pPr>
              <w:spacing w:beforeAutospacing="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Procurement Specialist</w:t>
            </w:r>
          </w:p>
        </w:tc>
        <w:tc>
          <w:tcPr>
            <w:tcW w:w="2136" w:type="pct"/>
            <w:shd w:val="clear" w:color="auto" w:fill="auto"/>
          </w:tcPr>
          <w:p w:rsidR="008C6A20" w:rsidRPr="00F7263B" w:rsidRDefault="000D5678"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5</w:t>
            </w:r>
            <w:r w:rsidR="008C6A20" w:rsidRPr="00F7263B">
              <w:rPr>
                <w:rFonts w:cs="Times New Roman"/>
                <w:sz w:val="20"/>
                <w:szCs w:val="20"/>
              </w:rPr>
              <w:t xml:space="preserve"> W</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pct"/>
            <w:tcBorders>
              <w:left w:val="none" w:sz="0" w:space="0" w:color="auto"/>
              <w:right w:val="none" w:sz="0" w:space="0" w:color="auto"/>
            </w:tcBorders>
            <w:shd w:val="clear" w:color="auto" w:fill="auto"/>
          </w:tcPr>
          <w:p w:rsidR="008C6A20" w:rsidRPr="00F7263B" w:rsidRDefault="008C6A20" w:rsidP="000D5678">
            <w:pPr>
              <w:spacing w:beforeAutospacing="0"/>
              <w:contextualSpacing/>
              <w:rPr>
                <w:rFonts w:cs="Times New Roman"/>
                <w:b w:val="0"/>
                <w:sz w:val="20"/>
                <w:szCs w:val="20"/>
              </w:rPr>
            </w:pPr>
            <w:r w:rsidRPr="00F7263B">
              <w:rPr>
                <w:rFonts w:cs="Times New Roman"/>
                <w:b w:val="0"/>
                <w:sz w:val="20"/>
                <w:szCs w:val="20"/>
              </w:rPr>
              <w:t xml:space="preserve">FM training </w:t>
            </w:r>
          </w:p>
        </w:tc>
        <w:tc>
          <w:tcPr>
            <w:tcW w:w="1251" w:type="pct"/>
            <w:tcBorders>
              <w:left w:val="none" w:sz="0" w:space="0" w:color="auto"/>
              <w:right w:val="none" w:sz="0" w:space="0" w:color="auto"/>
            </w:tcBorders>
            <w:shd w:val="clear" w:color="auto" w:fill="auto"/>
          </w:tcPr>
          <w:p w:rsidR="008C6A20" w:rsidRPr="00F7263B" w:rsidRDefault="008C6A20" w:rsidP="00765BBC">
            <w:pPr>
              <w:spacing w:beforeAutospacing="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FM Specialist</w:t>
            </w:r>
          </w:p>
        </w:tc>
        <w:tc>
          <w:tcPr>
            <w:tcW w:w="2136" w:type="pct"/>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4 SWs</w:t>
            </w:r>
          </w:p>
        </w:tc>
      </w:tr>
      <w:tr w:rsidR="008C6A20" w:rsidRPr="00F7263B">
        <w:trPr>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rsidR="008C6A20" w:rsidRPr="00F7263B" w:rsidRDefault="008C6A20" w:rsidP="00436A32">
            <w:pPr>
              <w:spacing w:beforeAutospacing="0"/>
              <w:contextualSpacing/>
              <w:rPr>
                <w:rFonts w:cs="Times New Roman"/>
                <w:b w:val="0"/>
                <w:sz w:val="20"/>
                <w:szCs w:val="20"/>
              </w:rPr>
            </w:pPr>
            <w:r w:rsidRPr="00F7263B">
              <w:rPr>
                <w:rFonts w:cs="Times New Roman"/>
                <w:b w:val="0"/>
                <w:sz w:val="20"/>
                <w:szCs w:val="20"/>
              </w:rPr>
              <w:t>Task Team Leadership</w:t>
            </w:r>
          </w:p>
        </w:tc>
        <w:tc>
          <w:tcPr>
            <w:tcW w:w="1251" w:type="pct"/>
            <w:shd w:val="clear" w:color="auto" w:fill="auto"/>
          </w:tcPr>
          <w:p w:rsidR="008C6A20" w:rsidRPr="00F7263B" w:rsidRDefault="008C6A20" w:rsidP="00765BBC">
            <w:pPr>
              <w:spacing w:beforeAutospacing="0"/>
              <w:contextualSpacing/>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TTL</w:t>
            </w:r>
          </w:p>
        </w:tc>
        <w:tc>
          <w:tcPr>
            <w:tcW w:w="2136" w:type="pct"/>
            <w:shd w:val="clear" w:color="auto" w:fill="auto"/>
          </w:tcPr>
          <w:p w:rsidR="008C6A20" w:rsidRPr="00F7263B" w:rsidRDefault="008C6A20"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10 SWs</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pct"/>
            <w:tcBorders>
              <w:left w:val="none" w:sz="0" w:space="0" w:color="auto"/>
              <w:right w:val="none" w:sz="0" w:space="0" w:color="auto"/>
            </w:tcBorders>
            <w:shd w:val="clear" w:color="auto" w:fill="auto"/>
          </w:tcPr>
          <w:p w:rsidR="008C6A20" w:rsidRPr="00F7263B" w:rsidRDefault="008C6A20" w:rsidP="00436A32">
            <w:pPr>
              <w:spacing w:beforeAutospacing="0"/>
              <w:contextualSpacing/>
              <w:rPr>
                <w:rFonts w:cs="Times New Roman"/>
                <w:b w:val="0"/>
                <w:sz w:val="20"/>
                <w:szCs w:val="20"/>
              </w:rPr>
            </w:pPr>
            <w:r w:rsidRPr="00F7263B">
              <w:rPr>
                <w:rFonts w:cs="Times New Roman"/>
                <w:b w:val="0"/>
                <w:sz w:val="20"/>
                <w:szCs w:val="20"/>
              </w:rPr>
              <w:t>Financial Management, disbursement and reporting</w:t>
            </w:r>
          </w:p>
        </w:tc>
        <w:tc>
          <w:tcPr>
            <w:tcW w:w="1251" w:type="pct"/>
            <w:tcBorders>
              <w:left w:val="none" w:sz="0" w:space="0" w:color="auto"/>
              <w:right w:val="none" w:sz="0" w:space="0" w:color="auto"/>
            </w:tcBorders>
            <w:shd w:val="clear" w:color="auto" w:fill="auto"/>
          </w:tcPr>
          <w:p w:rsidR="008C6A20" w:rsidRPr="00F7263B" w:rsidRDefault="008C6A20" w:rsidP="00765BBC">
            <w:pPr>
              <w:spacing w:beforeAutospacing="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FM Specialist</w:t>
            </w:r>
          </w:p>
          <w:p w:rsidR="008C6A20" w:rsidRPr="00F7263B" w:rsidRDefault="008C6A20" w:rsidP="00765BBC">
            <w:pPr>
              <w:spacing w:beforeAutospacing="0"/>
              <w:contextualSpacing/>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Local Government Specialist</w:t>
            </w:r>
          </w:p>
        </w:tc>
        <w:tc>
          <w:tcPr>
            <w:tcW w:w="2136" w:type="pct"/>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2 SWs</w:t>
            </w:r>
          </w:p>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8 SWs</w:t>
            </w:r>
          </w:p>
        </w:tc>
      </w:tr>
      <w:tr w:rsidR="008C6A20" w:rsidRPr="00F7263B">
        <w:trPr>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rsidR="008C6A20" w:rsidRPr="00F7263B" w:rsidRDefault="008C6A20" w:rsidP="000D5678">
            <w:pPr>
              <w:spacing w:beforeAutospacing="0"/>
              <w:contextualSpacing/>
              <w:rPr>
                <w:rFonts w:cs="Times New Roman"/>
                <w:b w:val="0"/>
                <w:sz w:val="20"/>
                <w:szCs w:val="20"/>
              </w:rPr>
            </w:pPr>
            <w:r w:rsidRPr="00F7263B">
              <w:rPr>
                <w:rFonts w:cs="Times New Roman"/>
                <w:b w:val="0"/>
                <w:sz w:val="20"/>
                <w:szCs w:val="20"/>
              </w:rPr>
              <w:t xml:space="preserve">Technical </w:t>
            </w:r>
            <w:r w:rsidR="000D5678" w:rsidRPr="00F7263B">
              <w:rPr>
                <w:rFonts w:cs="Times New Roman"/>
                <w:b w:val="0"/>
                <w:sz w:val="20"/>
                <w:szCs w:val="20"/>
              </w:rPr>
              <w:t xml:space="preserve"> support</w:t>
            </w:r>
          </w:p>
        </w:tc>
        <w:tc>
          <w:tcPr>
            <w:tcW w:w="1251" w:type="pct"/>
            <w:shd w:val="clear" w:color="auto" w:fill="auto"/>
          </w:tcPr>
          <w:p w:rsidR="008C6A20" w:rsidRPr="00F7263B" w:rsidRDefault="008C6A20"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Municipal Engineer</w:t>
            </w:r>
          </w:p>
        </w:tc>
        <w:tc>
          <w:tcPr>
            <w:tcW w:w="2136" w:type="pct"/>
            <w:shd w:val="clear" w:color="auto" w:fill="auto"/>
          </w:tcPr>
          <w:p w:rsidR="008C6A20" w:rsidRPr="00F7263B" w:rsidRDefault="008C6A20"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4 SWs</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3" w:type="pct"/>
            <w:tcBorders>
              <w:left w:val="none" w:sz="0" w:space="0" w:color="auto"/>
              <w:right w:val="none" w:sz="0" w:space="0" w:color="auto"/>
            </w:tcBorders>
            <w:shd w:val="clear" w:color="auto" w:fill="auto"/>
          </w:tcPr>
          <w:p w:rsidR="008C6A20" w:rsidRPr="00F7263B" w:rsidRDefault="008C6A20" w:rsidP="00436A32">
            <w:pPr>
              <w:spacing w:beforeAutospacing="0"/>
              <w:contextualSpacing/>
              <w:rPr>
                <w:rFonts w:cs="Times New Roman"/>
                <w:b w:val="0"/>
                <w:sz w:val="20"/>
                <w:szCs w:val="20"/>
              </w:rPr>
            </w:pPr>
            <w:r w:rsidRPr="00F7263B">
              <w:rPr>
                <w:rFonts w:cs="Times New Roman"/>
                <w:b w:val="0"/>
                <w:sz w:val="20"/>
                <w:szCs w:val="20"/>
              </w:rPr>
              <w:t>Environment/Social monitoring</w:t>
            </w:r>
            <w:r w:rsidR="000D5678" w:rsidRPr="00F7263B">
              <w:rPr>
                <w:rFonts w:cs="Times New Roman"/>
                <w:b w:val="0"/>
                <w:sz w:val="20"/>
                <w:szCs w:val="20"/>
              </w:rPr>
              <w:t xml:space="preserve"> support</w:t>
            </w:r>
          </w:p>
        </w:tc>
        <w:tc>
          <w:tcPr>
            <w:tcW w:w="1251" w:type="pct"/>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Environment Specialist</w:t>
            </w:r>
          </w:p>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Social Specialist</w:t>
            </w:r>
          </w:p>
        </w:tc>
        <w:tc>
          <w:tcPr>
            <w:tcW w:w="2136" w:type="pct"/>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2 SWs</w:t>
            </w:r>
          </w:p>
          <w:p w:rsidR="000D5678" w:rsidRPr="00F7263B" w:rsidRDefault="000D5678"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p>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2 SWs</w:t>
            </w:r>
          </w:p>
        </w:tc>
      </w:tr>
      <w:tr w:rsidR="008C6A20" w:rsidRPr="00F7263B">
        <w:trPr>
          <w:jc w:val="center"/>
        </w:trPr>
        <w:tc>
          <w:tcPr>
            <w:cnfStyle w:val="001000000000" w:firstRow="0" w:lastRow="0" w:firstColumn="1" w:lastColumn="0" w:oddVBand="0" w:evenVBand="0" w:oddHBand="0" w:evenHBand="0" w:firstRowFirstColumn="0" w:firstRowLastColumn="0" w:lastRowFirstColumn="0" w:lastRowLastColumn="0"/>
            <w:tcW w:w="1613" w:type="pct"/>
            <w:shd w:val="clear" w:color="auto" w:fill="auto"/>
          </w:tcPr>
          <w:p w:rsidR="008C6A20" w:rsidRPr="00F7263B" w:rsidRDefault="008C6A20" w:rsidP="00436A32">
            <w:pPr>
              <w:spacing w:beforeAutospacing="0"/>
              <w:contextualSpacing/>
              <w:rPr>
                <w:rFonts w:cs="Times New Roman"/>
                <w:b w:val="0"/>
                <w:sz w:val="20"/>
                <w:szCs w:val="20"/>
              </w:rPr>
            </w:pPr>
            <w:r w:rsidRPr="00F7263B">
              <w:rPr>
                <w:rFonts w:cs="Times New Roman"/>
                <w:b w:val="0"/>
                <w:sz w:val="20"/>
                <w:szCs w:val="20"/>
              </w:rPr>
              <w:t>Fiscal flows/ fiscal decentralization/ LG performance measurement</w:t>
            </w:r>
          </w:p>
        </w:tc>
        <w:tc>
          <w:tcPr>
            <w:tcW w:w="1251" w:type="pct"/>
            <w:shd w:val="clear" w:color="auto" w:fill="auto"/>
          </w:tcPr>
          <w:p w:rsidR="008C6A20" w:rsidRPr="00F7263B" w:rsidRDefault="008C6A20"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Economist</w:t>
            </w:r>
          </w:p>
        </w:tc>
        <w:tc>
          <w:tcPr>
            <w:tcW w:w="2136" w:type="pct"/>
            <w:shd w:val="clear" w:color="auto" w:fill="auto"/>
          </w:tcPr>
          <w:p w:rsidR="008C6A20" w:rsidRPr="00F7263B" w:rsidRDefault="00B679D7" w:rsidP="00B679D7">
            <w:pPr>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 xml:space="preserve">5 </w:t>
            </w:r>
            <w:r w:rsidR="008C6A20" w:rsidRPr="00F7263B">
              <w:rPr>
                <w:rFonts w:cs="Times New Roman"/>
                <w:sz w:val="20"/>
                <w:szCs w:val="20"/>
              </w:rPr>
              <w:t>SWs</w:t>
            </w:r>
          </w:p>
        </w:tc>
      </w:tr>
    </w:tbl>
    <w:p w:rsidR="008C6A20" w:rsidRPr="00F7263B" w:rsidRDefault="008C6A20" w:rsidP="00556F1B">
      <w:pPr>
        <w:jc w:val="both"/>
        <w:rPr>
          <w:rFonts w:cs="Times New Roman"/>
          <w:sz w:val="20"/>
          <w:szCs w:val="20"/>
        </w:rPr>
      </w:pPr>
    </w:p>
    <w:p w:rsidR="008C6A20" w:rsidRPr="00F7263B" w:rsidRDefault="008C6A20" w:rsidP="0068255C">
      <w:pPr>
        <w:pStyle w:val="ListParagraph"/>
        <w:autoSpaceDE w:val="0"/>
        <w:autoSpaceDN w:val="0"/>
        <w:adjustRightInd w:val="0"/>
        <w:spacing w:after="240"/>
        <w:ind w:left="0"/>
        <w:jc w:val="both"/>
        <w:rPr>
          <w:rFonts w:cs="Times New Roman"/>
          <w:sz w:val="20"/>
          <w:szCs w:val="20"/>
        </w:rPr>
      </w:pPr>
      <w:r w:rsidRPr="00F7263B">
        <w:rPr>
          <w:rFonts w:cs="Times New Roman"/>
          <w:b/>
          <w:sz w:val="20"/>
          <w:szCs w:val="20"/>
        </w:rPr>
        <w:t>Skill mix needed</w:t>
      </w:r>
    </w:p>
    <w:tbl>
      <w:tblPr>
        <w:tblStyle w:val="LightShading1"/>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1680"/>
        <w:gridCol w:w="2160"/>
        <w:gridCol w:w="2340"/>
      </w:tblGrid>
      <w:tr w:rsidR="008C6A20" w:rsidRPr="00F726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8" w:type="dxa"/>
            <w:tcBorders>
              <w:top w:val="none" w:sz="0" w:space="0" w:color="auto"/>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b w:val="0"/>
                <w:sz w:val="20"/>
                <w:szCs w:val="20"/>
              </w:rPr>
            </w:pPr>
            <w:r w:rsidRPr="00F7263B">
              <w:rPr>
                <w:rFonts w:cs="Times New Roman"/>
                <w:sz w:val="20"/>
                <w:szCs w:val="20"/>
              </w:rPr>
              <w:t>Skill</w:t>
            </w:r>
          </w:p>
        </w:tc>
        <w:tc>
          <w:tcPr>
            <w:cnfStyle w:val="000010000000" w:firstRow="0" w:lastRow="0" w:firstColumn="0" w:lastColumn="0" w:oddVBand="1" w:evenVBand="0" w:oddHBand="0" w:evenHBand="0" w:firstRowFirstColumn="0" w:firstRowLastColumn="0" w:lastRowFirstColumn="0" w:lastRowLastColumn="0"/>
            <w:tcW w:w="1680" w:type="dxa"/>
            <w:tcBorders>
              <w:top w:val="none" w:sz="0" w:space="0" w:color="auto"/>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b w:val="0"/>
                <w:sz w:val="20"/>
                <w:szCs w:val="20"/>
              </w:rPr>
            </w:pPr>
            <w:r w:rsidRPr="00F7263B">
              <w:rPr>
                <w:rFonts w:cs="Times New Roman"/>
                <w:sz w:val="20"/>
                <w:szCs w:val="20"/>
              </w:rPr>
              <w:t>Number of Staff Weeks  (annual)</w:t>
            </w:r>
          </w:p>
        </w:tc>
        <w:tc>
          <w:tcPr>
            <w:tcW w:w="2160" w:type="dxa"/>
            <w:tcBorders>
              <w:top w:val="none" w:sz="0" w:space="0" w:color="auto"/>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cnfStyle w:val="100000000000" w:firstRow="1" w:lastRow="0" w:firstColumn="0" w:lastColumn="0" w:oddVBand="0" w:evenVBand="0" w:oddHBand="0" w:evenHBand="0" w:firstRowFirstColumn="0" w:firstRowLastColumn="0" w:lastRowFirstColumn="0" w:lastRowLastColumn="0"/>
              <w:rPr>
                <w:rFonts w:cs="Times New Roman"/>
                <w:b w:val="0"/>
                <w:sz w:val="20"/>
                <w:szCs w:val="20"/>
              </w:rPr>
            </w:pPr>
            <w:r w:rsidRPr="00F7263B">
              <w:rPr>
                <w:rFonts w:cs="Times New Roman"/>
                <w:sz w:val="20"/>
                <w:szCs w:val="20"/>
              </w:rPr>
              <w:t>Travel Frequency (annual)</w:t>
            </w: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b w:val="0"/>
                <w:sz w:val="20"/>
                <w:szCs w:val="20"/>
              </w:rPr>
            </w:pPr>
            <w:r w:rsidRPr="00F7263B">
              <w:rPr>
                <w:rFonts w:cs="Times New Roman"/>
                <w:sz w:val="20"/>
                <w:szCs w:val="20"/>
              </w:rPr>
              <w:t>Location</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8" w:type="dxa"/>
            <w:tcBorders>
              <w:left w:val="none" w:sz="0" w:space="0" w:color="auto"/>
              <w:right w:val="none" w:sz="0" w:space="0" w:color="auto"/>
            </w:tcBorders>
            <w:shd w:val="clear" w:color="auto" w:fill="auto"/>
          </w:tcPr>
          <w:p w:rsidR="008C6A20" w:rsidRPr="00F7263B" w:rsidRDefault="008C6A20" w:rsidP="00765BBC">
            <w:pPr>
              <w:spacing w:beforeAutospacing="0"/>
              <w:contextualSpacing/>
              <w:rPr>
                <w:rFonts w:cs="Times New Roman"/>
                <w:b w:val="0"/>
                <w:sz w:val="20"/>
                <w:szCs w:val="20"/>
              </w:rPr>
            </w:pPr>
            <w:r w:rsidRPr="00F7263B">
              <w:rPr>
                <w:rFonts w:cs="Times New Roman"/>
                <w:b w:val="0"/>
                <w:sz w:val="20"/>
                <w:szCs w:val="20"/>
              </w:rPr>
              <w:t>Task Team Leader</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20</w:t>
            </w:r>
          </w:p>
        </w:tc>
        <w:tc>
          <w:tcPr>
            <w:tcW w:w="2160" w:type="dxa"/>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4field trips</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Country Office based</w:t>
            </w:r>
          </w:p>
        </w:tc>
      </w:tr>
      <w:tr w:rsidR="008C6A20" w:rsidRPr="00F7263B">
        <w:trPr>
          <w:jc w:val="center"/>
        </w:trPr>
        <w:tc>
          <w:tcPr>
            <w:cnfStyle w:val="001000000000" w:firstRow="0" w:lastRow="0" w:firstColumn="1" w:lastColumn="0" w:oddVBand="0" w:evenVBand="0" w:oddHBand="0" w:evenHBand="0" w:firstRowFirstColumn="0" w:firstRowLastColumn="0" w:lastRowFirstColumn="0" w:lastRowLastColumn="0"/>
            <w:tcW w:w="3468" w:type="dxa"/>
            <w:shd w:val="clear" w:color="auto" w:fill="auto"/>
          </w:tcPr>
          <w:p w:rsidR="008C6A20" w:rsidRPr="00F7263B" w:rsidRDefault="008C6A20" w:rsidP="00765BBC">
            <w:pPr>
              <w:contextualSpacing/>
              <w:rPr>
                <w:rFonts w:cs="Times New Roman"/>
                <w:b w:val="0"/>
                <w:sz w:val="20"/>
                <w:szCs w:val="20"/>
              </w:rPr>
            </w:pPr>
            <w:r w:rsidRPr="00F7263B">
              <w:rPr>
                <w:rFonts w:cs="Times New Roman"/>
                <w:b w:val="0"/>
                <w:sz w:val="20"/>
                <w:szCs w:val="20"/>
              </w:rPr>
              <w:t>Urban Specialist</w:t>
            </w:r>
          </w:p>
        </w:tc>
        <w:tc>
          <w:tcPr>
            <w:cnfStyle w:val="000010000000" w:firstRow="0" w:lastRow="0" w:firstColumn="0" w:lastColumn="0" w:oddVBand="1" w:evenVBand="0" w:oddHBand="0" w:evenHBand="0" w:firstRowFirstColumn="0" w:firstRowLastColumn="0" w:lastRowFirstColumn="0" w:lastRowLastColumn="0"/>
            <w:tcW w:w="1680" w:type="dxa"/>
            <w:shd w:val="clear" w:color="auto" w:fill="auto"/>
          </w:tcPr>
          <w:p w:rsidR="008C6A20" w:rsidRPr="00F7263B" w:rsidRDefault="008C6A20" w:rsidP="00556F1B">
            <w:pPr>
              <w:contextualSpacing/>
              <w:jc w:val="both"/>
              <w:rPr>
                <w:rFonts w:cs="Times New Roman"/>
                <w:sz w:val="20"/>
                <w:szCs w:val="20"/>
              </w:rPr>
            </w:pPr>
            <w:r w:rsidRPr="00F7263B">
              <w:rPr>
                <w:rFonts w:cs="Times New Roman"/>
                <w:sz w:val="20"/>
                <w:szCs w:val="20"/>
              </w:rPr>
              <w:t>15</w:t>
            </w:r>
          </w:p>
        </w:tc>
        <w:tc>
          <w:tcPr>
            <w:tcW w:w="2160" w:type="dxa"/>
            <w:shd w:val="clear" w:color="auto" w:fill="auto"/>
          </w:tcPr>
          <w:p w:rsidR="008C6A20" w:rsidRPr="00F7263B" w:rsidRDefault="008C6A20"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4field trips</w:t>
            </w:r>
          </w:p>
        </w:tc>
        <w:tc>
          <w:tcPr>
            <w:cnfStyle w:val="000010000000" w:firstRow="0" w:lastRow="0" w:firstColumn="0" w:lastColumn="0" w:oddVBand="1" w:evenVBand="0" w:oddHBand="0" w:evenHBand="0" w:firstRowFirstColumn="0" w:firstRowLastColumn="0" w:lastRowFirstColumn="0" w:lastRowLastColumn="0"/>
            <w:tcW w:w="2340" w:type="dxa"/>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Country Office based</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8" w:type="dxa"/>
            <w:tcBorders>
              <w:left w:val="none" w:sz="0" w:space="0" w:color="auto"/>
              <w:right w:val="none" w:sz="0" w:space="0" w:color="auto"/>
            </w:tcBorders>
            <w:shd w:val="clear" w:color="auto" w:fill="auto"/>
          </w:tcPr>
          <w:p w:rsidR="008C6A20" w:rsidRPr="00F7263B" w:rsidRDefault="008C6A20" w:rsidP="00765BBC">
            <w:pPr>
              <w:spacing w:beforeAutospacing="0"/>
              <w:contextualSpacing/>
              <w:rPr>
                <w:rFonts w:cs="Times New Roman"/>
                <w:b w:val="0"/>
                <w:sz w:val="20"/>
                <w:szCs w:val="20"/>
              </w:rPr>
            </w:pPr>
            <w:r w:rsidRPr="00F7263B">
              <w:rPr>
                <w:rFonts w:cs="Times New Roman"/>
                <w:b w:val="0"/>
                <w:sz w:val="20"/>
                <w:szCs w:val="20"/>
              </w:rPr>
              <w:t>Procurement</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 xml:space="preserve">10 </w:t>
            </w:r>
          </w:p>
        </w:tc>
        <w:tc>
          <w:tcPr>
            <w:tcW w:w="2160" w:type="dxa"/>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2 and field trips as required</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Country Office based</w:t>
            </w:r>
          </w:p>
        </w:tc>
      </w:tr>
      <w:tr w:rsidR="008C6A20" w:rsidRPr="00F7263B">
        <w:trPr>
          <w:jc w:val="center"/>
        </w:trPr>
        <w:tc>
          <w:tcPr>
            <w:cnfStyle w:val="001000000000" w:firstRow="0" w:lastRow="0" w:firstColumn="1" w:lastColumn="0" w:oddVBand="0" w:evenVBand="0" w:oddHBand="0" w:evenHBand="0" w:firstRowFirstColumn="0" w:firstRowLastColumn="0" w:lastRowFirstColumn="0" w:lastRowLastColumn="0"/>
            <w:tcW w:w="3468" w:type="dxa"/>
            <w:shd w:val="clear" w:color="auto" w:fill="auto"/>
          </w:tcPr>
          <w:p w:rsidR="008C6A20" w:rsidRPr="00F7263B" w:rsidRDefault="008C6A20" w:rsidP="00765BBC">
            <w:pPr>
              <w:spacing w:beforeAutospacing="0"/>
              <w:contextualSpacing/>
              <w:rPr>
                <w:rFonts w:cs="Times New Roman"/>
                <w:b w:val="0"/>
                <w:sz w:val="20"/>
                <w:szCs w:val="20"/>
              </w:rPr>
            </w:pPr>
            <w:r w:rsidRPr="00F7263B">
              <w:rPr>
                <w:rFonts w:cs="Times New Roman"/>
                <w:b w:val="0"/>
                <w:sz w:val="20"/>
                <w:szCs w:val="20"/>
              </w:rPr>
              <w:t>Financial Management Specialist</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 xml:space="preserve">6 </w:t>
            </w:r>
          </w:p>
        </w:tc>
        <w:tc>
          <w:tcPr>
            <w:tcW w:w="2160" w:type="dxa"/>
            <w:shd w:val="clear" w:color="auto" w:fill="auto"/>
          </w:tcPr>
          <w:p w:rsidR="008C6A20" w:rsidRPr="00F7263B" w:rsidRDefault="008C6A20"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2 and field trips as required</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Country Office based</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8" w:type="dxa"/>
            <w:tcBorders>
              <w:left w:val="none" w:sz="0" w:space="0" w:color="auto"/>
              <w:right w:val="none" w:sz="0" w:space="0" w:color="auto"/>
            </w:tcBorders>
            <w:shd w:val="clear" w:color="auto" w:fill="auto"/>
          </w:tcPr>
          <w:p w:rsidR="008C6A20" w:rsidRPr="00F7263B" w:rsidRDefault="008C6A20" w:rsidP="00765BBC">
            <w:pPr>
              <w:spacing w:beforeAutospacing="0"/>
              <w:contextualSpacing/>
              <w:rPr>
                <w:rFonts w:cs="Times New Roman"/>
                <w:b w:val="0"/>
                <w:sz w:val="20"/>
                <w:szCs w:val="20"/>
              </w:rPr>
            </w:pPr>
            <w:r w:rsidRPr="00F7263B">
              <w:rPr>
                <w:rFonts w:cs="Times New Roman"/>
                <w:b w:val="0"/>
                <w:sz w:val="20"/>
                <w:szCs w:val="20"/>
              </w:rPr>
              <w:t>Environment Specialist</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4</w:t>
            </w:r>
          </w:p>
        </w:tc>
        <w:tc>
          <w:tcPr>
            <w:tcW w:w="2160" w:type="dxa"/>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2 and field trips as required</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Country Office based</w:t>
            </w:r>
          </w:p>
        </w:tc>
      </w:tr>
      <w:tr w:rsidR="008C6A20" w:rsidRPr="00F7263B">
        <w:trPr>
          <w:jc w:val="center"/>
        </w:trPr>
        <w:tc>
          <w:tcPr>
            <w:cnfStyle w:val="001000000000" w:firstRow="0" w:lastRow="0" w:firstColumn="1" w:lastColumn="0" w:oddVBand="0" w:evenVBand="0" w:oddHBand="0" w:evenHBand="0" w:firstRowFirstColumn="0" w:firstRowLastColumn="0" w:lastRowFirstColumn="0" w:lastRowLastColumn="0"/>
            <w:tcW w:w="3468" w:type="dxa"/>
            <w:shd w:val="clear" w:color="auto" w:fill="auto"/>
          </w:tcPr>
          <w:p w:rsidR="008C6A20" w:rsidRPr="00F7263B" w:rsidRDefault="008C6A20" w:rsidP="00765BBC">
            <w:pPr>
              <w:spacing w:beforeAutospacing="0"/>
              <w:contextualSpacing/>
              <w:rPr>
                <w:rFonts w:cs="Times New Roman"/>
                <w:b w:val="0"/>
                <w:sz w:val="20"/>
                <w:szCs w:val="20"/>
              </w:rPr>
            </w:pPr>
            <w:r w:rsidRPr="00F7263B">
              <w:rPr>
                <w:rFonts w:cs="Times New Roman"/>
                <w:b w:val="0"/>
                <w:sz w:val="20"/>
                <w:szCs w:val="20"/>
              </w:rPr>
              <w:t>Social Development Specialist</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4</w:t>
            </w:r>
          </w:p>
        </w:tc>
        <w:tc>
          <w:tcPr>
            <w:tcW w:w="2160" w:type="dxa"/>
            <w:shd w:val="clear" w:color="auto" w:fill="auto"/>
          </w:tcPr>
          <w:p w:rsidR="008C6A20" w:rsidRPr="00F7263B" w:rsidRDefault="008C6A20" w:rsidP="00556F1B">
            <w:pPr>
              <w:spacing w:beforeAutospacing="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2 and field trips as required</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Country Office based</w:t>
            </w:r>
          </w:p>
        </w:tc>
      </w:tr>
      <w:tr w:rsidR="008C6A20"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8" w:type="dxa"/>
            <w:tcBorders>
              <w:left w:val="none" w:sz="0" w:space="0" w:color="auto"/>
              <w:right w:val="none" w:sz="0" w:space="0" w:color="auto"/>
            </w:tcBorders>
            <w:shd w:val="clear" w:color="auto" w:fill="auto"/>
          </w:tcPr>
          <w:p w:rsidR="008C6A20" w:rsidRPr="00F7263B" w:rsidRDefault="008C6A20" w:rsidP="00765BBC">
            <w:pPr>
              <w:spacing w:beforeAutospacing="0"/>
              <w:contextualSpacing/>
              <w:rPr>
                <w:rFonts w:cs="Times New Roman"/>
                <w:b w:val="0"/>
                <w:sz w:val="20"/>
                <w:szCs w:val="20"/>
              </w:rPr>
            </w:pPr>
            <w:r w:rsidRPr="00F7263B">
              <w:rPr>
                <w:rFonts w:cs="Times New Roman"/>
                <w:b w:val="0"/>
                <w:sz w:val="20"/>
                <w:szCs w:val="20"/>
              </w:rPr>
              <w:t>Senior Urban Economist</w:t>
            </w:r>
          </w:p>
        </w:tc>
        <w:tc>
          <w:tcPr>
            <w:cnfStyle w:val="000010000000" w:firstRow="0" w:lastRow="0" w:firstColumn="0" w:lastColumn="0" w:oddVBand="1" w:evenVBand="0" w:oddHBand="0" w:evenHBand="0" w:firstRowFirstColumn="0" w:firstRowLastColumn="0" w:lastRowFirstColumn="0" w:lastRowLastColumn="0"/>
            <w:tcW w:w="1680" w:type="dxa"/>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 xml:space="preserve">5 </w:t>
            </w:r>
          </w:p>
        </w:tc>
        <w:tc>
          <w:tcPr>
            <w:tcW w:w="2160" w:type="dxa"/>
            <w:tcBorders>
              <w:left w:val="none" w:sz="0" w:space="0" w:color="auto"/>
              <w:right w:val="none" w:sz="0" w:space="0" w:color="auto"/>
            </w:tcBorders>
            <w:shd w:val="clear" w:color="auto" w:fill="auto"/>
          </w:tcPr>
          <w:p w:rsidR="008C6A20" w:rsidRPr="00F7263B" w:rsidRDefault="008C6A20" w:rsidP="00556F1B">
            <w:pPr>
              <w:spacing w:beforeAutospacing="0"/>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2 and field trips as required</w:t>
            </w:r>
          </w:p>
        </w:tc>
        <w:tc>
          <w:tcPr>
            <w:cnfStyle w:val="000010000000" w:firstRow="0" w:lastRow="0" w:firstColumn="0" w:lastColumn="0" w:oddVBand="1" w:evenVBand="0" w:oddHBand="0" w:evenHBand="0" w:firstRowFirstColumn="0" w:firstRowLastColumn="0" w:lastRowFirstColumn="0" w:lastRowLastColumn="0"/>
            <w:tcW w:w="2340" w:type="dxa"/>
            <w:tcBorders>
              <w:left w:val="none" w:sz="0" w:space="0" w:color="auto"/>
              <w:bottom w:val="single" w:sz="4" w:space="0" w:color="auto"/>
              <w:right w:val="none" w:sz="0" w:space="0" w:color="auto"/>
            </w:tcBorders>
            <w:shd w:val="clear" w:color="auto" w:fill="auto"/>
          </w:tcPr>
          <w:p w:rsidR="008C6A20" w:rsidRPr="00F7263B" w:rsidRDefault="008C6A20" w:rsidP="00556F1B">
            <w:pPr>
              <w:spacing w:beforeAutospacing="0"/>
              <w:contextualSpacing/>
              <w:jc w:val="both"/>
              <w:rPr>
                <w:rFonts w:cs="Times New Roman"/>
                <w:sz w:val="20"/>
                <w:szCs w:val="20"/>
              </w:rPr>
            </w:pPr>
            <w:r w:rsidRPr="00F7263B">
              <w:rPr>
                <w:rFonts w:cs="Times New Roman"/>
                <w:sz w:val="20"/>
                <w:szCs w:val="20"/>
              </w:rPr>
              <w:t>HQ based</w:t>
            </w:r>
          </w:p>
        </w:tc>
      </w:tr>
      <w:tr w:rsidR="001B64C0" w:rsidRPr="00F7263B">
        <w:trPr>
          <w:jc w:val="center"/>
        </w:trPr>
        <w:tc>
          <w:tcPr>
            <w:cnfStyle w:val="001000000000" w:firstRow="0" w:lastRow="0" w:firstColumn="1" w:lastColumn="0" w:oddVBand="0" w:evenVBand="0" w:oddHBand="0" w:evenHBand="0" w:firstRowFirstColumn="0" w:firstRowLastColumn="0" w:lastRowFirstColumn="0" w:lastRowLastColumn="0"/>
            <w:tcW w:w="3468" w:type="dxa"/>
            <w:tcBorders>
              <w:bottom w:val="single" w:sz="4" w:space="0" w:color="auto"/>
            </w:tcBorders>
            <w:shd w:val="clear" w:color="auto" w:fill="auto"/>
          </w:tcPr>
          <w:p w:rsidR="001B64C0" w:rsidRPr="00F7263B" w:rsidRDefault="001B64C0" w:rsidP="00765BBC">
            <w:pPr>
              <w:contextualSpacing/>
              <w:rPr>
                <w:rFonts w:cs="Times New Roman"/>
                <w:b w:val="0"/>
                <w:sz w:val="20"/>
                <w:szCs w:val="20"/>
              </w:rPr>
            </w:pPr>
            <w:r w:rsidRPr="00F7263B">
              <w:rPr>
                <w:rFonts w:cs="Times New Roman"/>
                <w:b w:val="0"/>
                <w:sz w:val="20"/>
                <w:szCs w:val="20"/>
              </w:rPr>
              <w:t>Urban Transport Specialist</w:t>
            </w:r>
          </w:p>
        </w:tc>
        <w:tc>
          <w:tcPr>
            <w:cnfStyle w:val="000010000000" w:firstRow="0" w:lastRow="0" w:firstColumn="0" w:lastColumn="0" w:oddVBand="1" w:evenVBand="0" w:oddHBand="0" w:evenHBand="0" w:firstRowFirstColumn="0" w:firstRowLastColumn="0" w:lastRowFirstColumn="0" w:lastRowLastColumn="0"/>
            <w:tcW w:w="1680" w:type="dxa"/>
            <w:tcBorders>
              <w:bottom w:val="single" w:sz="4" w:space="0" w:color="auto"/>
            </w:tcBorders>
            <w:shd w:val="clear" w:color="auto" w:fill="auto"/>
          </w:tcPr>
          <w:p w:rsidR="001B64C0" w:rsidRPr="00F7263B" w:rsidRDefault="001B64C0" w:rsidP="00556F1B">
            <w:pPr>
              <w:contextualSpacing/>
              <w:jc w:val="both"/>
              <w:rPr>
                <w:rFonts w:cs="Times New Roman"/>
                <w:sz w:val="20"/>
                <w:szCs w:val="20"/>
              </w:rPr>
            </w:pPr>
            <w:r w:rsidRPr="00F7263B">
              <w:rPr>
                <w:rFonts w:cs="Times New Roman"/>
                <w:sz w:val="20"/>
                <w:szCs w:val="20"/>
              </w:rPr>
              <w:t>4</w:t>
            </w:r>
          </w:p>
        </w:tc>
        <w:tc>
          <w:tcPr>
            <w:tcW w:w="2160" w:type="dxa"/>
            <w:tcBorders>
              <w:bottom w:val="single" w:sz="4" w:space="0" w:color="auto"/>
            </w:tcBorders>
            <w:shd w:val="clear" w:color="auto" w:fill="auto"/>
          </w:tcPr>
          <w:p w:rsidR="001B64C0" w:rsidRPr="00F7263B" w:rsidRDefault="001B64C0" w:rsidP="00556F1B">
            <w:pPr>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2 and field trips as required</w:t>
            </w:r>
          </w:p>
        </w:tc>
        <w:tc>
          <w:tcPr>
            <w:cnfStyle w:val="000010000000" w:firstRow="0" w:lastRow="0" w:firstColumn="0" w:lastColumn="0" w:oddVBand="1" w:evenVBand="0" w:oddHBand="0" w:evenHBand="0" w:firstRowFirstColumn="0" w:firstRowLastColumn="0" w:lastRowFirstColumn="0" w:lastRowLastColumn="0"/>
            <w:tcW w:w="2340" w:type="dxa"/>
            <w:tcBorders>
              <w:bottom w:val="single" w:sz="4" w:space="0" w:color="auto"/>
              <w:right w:val="single" w:sz="4" w:space="0" w:color="auto"/>
            </w:tcBorders>
            <w:shd w:val="clear" w:color="auto" w:fill="auto"/>
          </w:tcPr>
          <w:p w:rsidR="001B64C0" w:rsidRPr="00F7263B" w:rsidRDefault="001B64C0" w:rsidP="00556F1B">
            <w:pPr>
              <w:contextualSpacing/>
              <w:jc w:val="both"/>
              <w:rPr>
                <w:rFonts w:cs="Times New Roman"/>
                <w:sz w:val="20"/>
                <w:szCs w:val="20"/>
              </w:rPr>
            </w:pPr>
            <w:r w:rsidRPr="00F7263B">
              <w:rPr>
                <w:rFonts w:cs="Times New Roman"/>
                <w:sz w:val="20"/>
                <w:szCs w:val="20"/>
              </w:rPr>
              <w:t>HQ based</w:t>
            </w:r>
          </w:p>
        </w:tc>
      </w:tr>
      <w:tr w:rsidR="004E5FF1" w:rsidRPr="00F726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68" w:type="dxa"/>
            <w:tcBorders>
              <w:left w:val="single" w:sz="4" w:space="0" w:color="auto"/>
              <w:right w:val="single" w:sz="4" w:space="0" w:color="auto"/>
            </w:tcBorders>
            <w:shd w:val="clear" w:color="auto" w:fill="auto"/>
          </w:tcPr>
          <w:p w:rsidR="004E5FF1" w:rsidRPr="00F7263B" w:rsidRDefault="004E5FF1" w:rsidP="00765BBC">
            <w:pPr>
              <w:contextualSpacing/>
              <w:rPr>
                <w:rFonts w:cs="Times New Roman"/>
                <w:b w:val="0"/>
                <w:sz w:val="20"/>
                <w:szCs w:val="20"/>
              </w:rPr>
            </w:pPr>
            <w:r w:rsidRPr="00F7263B">
              <w:rPr>
                <w:rFonts w:cs="Times New Roman"/>
                <w:b w:val="0"/>
                <w:sz w:val="20"/>
                <w:szCs w:val="20"/>
              </w:rPr>
              <w:t>Communication Specialist</w:t>
            </w:r>
          </w:p>
        </w:tc>
        <w:tc>
          <w:tcPr>
            <w:cnfStyle w:val="000010000000" w:firstRow="0" w:lastRow="0" w:firstColumn="0" w:lastColumn="0" w:oddVBand="1" w:evenVBand="0" w:oddHBand="0" w:evenHBand="0" w:firstRowFirstColumn="0" w:firstRowLastColumn="0" w:lastRowFirstColumn="0" w:lastRowLastColumn="0"/>
            <w:tcW w:w="1680" w:type="dxa"/>
            <w:tcBorders>
              <w:left w:val="single" w:sz="4" w:space="0" w:color="auto"/>
              <w:right w:val="single" w:sz="4" w:space="0" w:color="auto"/>
            </w:tcBorders>
            <w:shd w:val="clear" w:color="auto" w:fill="auto"/>
          </w:tcPr>
          <w:p w:rsidR="004E5FF1" w:rsidRPr="00F7263B" w:rsidRDefault="004E5FF1" w:rsidP="00556F1B">
            <w:pPr>
              <w:contextualSpacing/>
              <w:jc w:val="both"/>
              <w:rPr>
                <w:rFonts w:cs="Times New Roman"/>
                <w:sz w:val="20"/>
                <w:szCs w:val="20"/>
              </w:rPr>
            </w:pPr>
            <w:r w:rsidRPr="00F7263B">
              <w:rPr>
                <w:rFonts w:cs="Times New Roman"/>
                <w:sz w:val="20"/>
                <w:szCs w:val="20"/>
              </w:rPr>
              <w:t>4</w:t>
            </w:r>
          </w:p>
        </w:tc>
        <w:tc>
          <w:tcPr>
            <w:tcW w:w="2160" w:type="dxa"/>
            <w:tcBorders>
              <w:left w:val="single" w:sz="4" w:space="0" w:color="auto"/>
              <w:right w:val="single" w:sz="4" w:space="0" w:color="auto"/>
            </w:tcBorders>
            <w:shd w:val="clear" w:color="auto" w:fill="auto"/>
          </w:tcPr>
          <w:p w:rsidR="004E5FF1" w:rsidRPr="00F7263B" w:rsidRDefault="004E5FF1" w:rsidP="00556F1B">
            <w:pPr>
              <w:contextualSpacing/>
              <w:jc w:val="both"/>
              <w:cnfStyle w:val="000000100000" w:firstRow="0" w:lastRow="0" w:firstColumn="0" w:lastColumn="0" w:oddVBand="0" w:evenVBand="0" w:oddHBand="1" w:evenHBand="0" w:firstRowFirstColumn="0" w:firstRowLastColumn="0" w:lastRowFirstColumn="0" w:lastRowLastColumn="0"/>
              <w:rPr>
                <w:rFonts w:cs="Times New Roman"/>
                <w:sz w:val="20"/>
                <w:szCs w:val="20"/>
              </w:rPr>
            </w:pPr>
            <w:r w:rsidRPr="00F7263B">
              <w:rPr>
                <w:rFonts w:cs="Times New Roman"/>
                <w:sz w:val="20"/>
                <w:szCs w:val="20"/>
              </w:rPr>
              <w:t>2 and field trip as required</w:t>
            </w:r>
          </w:p>
        </w:tc>
        <w:tc>
          <w:tcPr>
            <w:cnfStyle w:val="000010000000" w:firstRow="0" w:lastRow="0" w:firstColumn="0" w:lastColumn="0" w:oddVBand="1" w:evenVBand="0" w:oddHBand="0" w:evenHBand="0" w:firstRowFirstColumn="0" w:firstRowLastColumn="0" w:lastRowFirstColumn="0" w:lastRowLastColumn="0"/>
            <w:tcW w:w="2340" w:type="dxa"/>
            <w:tcBorders>
              <w:left w:val="single" w:sz="4" w:space="0" w:color="auto"/>
              <w:right w:val="single" w:sz="4" w:space="0" w:color="auto"/>
            </w:tcBorders>
            <w:shd w:val="clear" w:color="auto" w:fill="auto"/>
          </w:tcPr>
          <w:p w:rsidR="004E5FF1" w:rsidRPr="00F7263B" w:rsidRDefault="004E5FF1" w:rsidP="00556F1B">
            <w:pPr>
              <w:contextualSpacing/>
              <w:jc w:val="both"/>
              <w:rPr>
                <w:rFonts w:cs="Times New Roman"/>
                <w:sz w:val="20"/>
                <w:szCs w:val="20"/>
              </w:rPr>
            </w:pPr>
            <w:r w:rsidRPr="00F7263B">
              <w:rPr>
                <w:rFonts w:cs="Times New Roman"/>
                <w:sz w:val="20"/>
                <w:szCs w:val="20"/>
              </w:rPr>
              <w:t>Country office based</w:t>
            </w:r>
          </w:p>
        </w:tc>
      </w:tr>
      <w:tr w:rsidR="001B64C0" w:rsidRPr="00F7263B">
        <w:trPr>
          <w:jc w:val="center"/>
        </w:trPr>
        <w:tc>
          <w:tcPr>
            <w:cnfStyle w:val="001000000000" w:firstRow="0" w:lastRow="0" w:firstColumn="1" w:lastColumn="0" w:oddVBand="0" w:evenVBand="0" w:oddHBand="0" w:evenHBand="0" w:firstRowFirstColumn="0" w:firstRowLastColumn="0" w:lastRowFirstColumn="0" w:lastRowLastColumn="0"/>
            <w:tcW w:w="3468" w:type="dxa"/>
            <w:tcBorders>
              <w:left w:val="single" w:sz="4" w:space="0" w:color="auto"/>
              <w:right w:val="single" w:sz="4" w:space="0" w:color="auto"/>
            </w:tcBorders>
            <w:shd w:val="clear" w:color="auto" w:fill="auto"/>
          </w:tcPr>
          <w:p w:rsidR="001B64C0" w:rsidRPr="00F7263B" w:rsidRDefault="001B64C0" w:rsidP="00765BBC">
            <w:pPr>
              <w:contextualSpacing/>
              <w:rPr>
                <w:rFonts w:cs="Times New Roman"/>
                <w:b w:val="0"/>
                <w:sz w:val="20"/>
                <w:szCs w:val="20"/>
              </w:rPr>
            </w:pPr>
            <w:r w:rsidRPr="00F7263B">
              <w:rPr>
                <w:rFonts w:cs="Times New Roman"/>
                <w:b w:val="0"/>
                <w:sz w:val="20"/>
                <w:szCs w:val="20"/>
              </w:rPr>
              <w:t>Senior M&amp;E Specialist/Urban Economist</w:t>
            </w:r>
          </w:p>
        </w:tc>
        <w:tc>
          <w:tcPr>
            <w:cnfStyle w:val="000010000000" w:firstRow="0" w:lastRow="0" w:firstColumn="0" w:lastColumn="0" w:oddVBand="1" w:evenVBand="0" w:oddHBand="0" w:evenHBand="0" w:firstRowFirstColumn="0" w:firstRowLastColumn="0" w:lastRowFirstColumn="0" w:lastRowLastColumn="0"/>
            <w:tcW w:w="1680" w:type="dxa"/>
            <w:tcBorders>
              <w:left w:val="single" w:sz="4" w:space="0" w:color="auto"/>
              <w:right w:val="single" w:sz="4" w:space="0" w:color="auto"/>
            </w:tcBorders>
            <w:shd w:val="clear" w:color="auto" w:fill="auto"/>
          </w:tcPr>
          <w:p w:rsidR="001B64C0" w:rsidRPr="00F7263B" w:rsidRDefault="001B64C0" w:rsidP="00556F1B">
            <w:pPr>
              <w:contextualSpacing/>
              <w:jc w:val="both"/>
              <w:rPr>
                <w:rFonts w:cs="Times New Roman"/>
                <w:sz w:val="20"/>
                <w:szCs w:val="20"/>
              </w:rPr>
            </w:pPr>
            <w:r w:rsidRPr="00F7263B">
              <w:rPr>
                <w:rFonts w:cs="Times New Roman"/>
                <w:sz w:val="20"/>
                <w:szCs w:val="20"/>
              </w:rPr>
              <w:t>12</w:t>
            </w:r>
          </w:p>
        </w:tc>
        <w:tc>
          <w:tcPr>
            <w:tcW w:w="2160" w:type="dxa"/>
            <w:tcBorders>
              <w:left w:val="single" w:sz="4" w:space="0" w:color="auto"/>
              <w:right w:val="single" w:sz="4" w:space="0" w:color="auto"/>
            </w:tcBorders>
            <w:shd w:val="clear" w:color="auto" w:fill="auto"/>
          </w:tcPr>
          <w:p w:rsidR="001B64C0" w:rsidRPr="00F7263B" w:rsidRDefault="001B64C0" w:rsidP="00556F1B">
            <w:pPr>
              <w:contextualSpacing/>
              <w:jc w:val="both"/>
              <w:cnfStyle w:val="000000000000" w:firstRow="0" w:lastRow="0" w:firstColumn="0" w:lastColumn="0" w:oddVBand="0" w:evenVBand="0" w:oddHBand="0" w:evenHBand="0" w:firstRowFirstColumn="0" w:firstRowLastColumn="0" w:lastRowFirstColumn="0" w:lastRowLastColumn="0"/>
              <w:rPr>
                <w:rFonts w:cs="Times New Roman"/>
                <w:sz w:val="20"/>
                <w:szCs w:val="20"/>
              </w:rPr>
            </w:pPr>
            <w:r w:rsidRPr="00F7263B">
              <w:rPr>
                <w:rFonts w:cs="Times New Roman"/>
                <w:sz w:val="20"/>
                <w:szCs w:val="20"/>
              </w:rPr>
              <w:t>4field trips</w:t>
            </w:r>
          </w:p>
        </w:tc>
        <w:tc>
          <w:tcPr>
            <w:cnfStyle w:val="000010000000" w:firstRow="0" w:lastRow="0" w:firstColumn="0" w:lastColumn="0" w:oddVBand="1" w:evenVBand="0" w:oddHBand="0" w:evenHBand="0" w:firstRowFirstColumn="0" w:firstRowLastColumn="0" w:lastRowFirstColumn="0" w:lastRowLastColumn="0"/>
            <w:tcW w:w="2340" w:type="dxa"/>
            <w:tcBorders>
              <w:left w:val="single" w:sz="4" w:space="0" w:color="auto"/>
              <w:right w:val="single" w:sz="4" w:space="0" w:color="auto"/>
            </w:tcBorders>
            <w:shd w:val="clear" w:color="auto" w:fill="auto"/>
          </w:tcPr>
          <w:p w:rsidR="001B64C0" w:rsidRPr="00F7263B" w:rsidRDefault="001B64C0" w:rsidP="00556F1B">
            <w:pPr>
              <w:contextualSpacing/>
              <w:jc w:val="both"/>
              <w:rPr>
                <w:rFonts w:cs="Times New Roman"/>
                <w:sz w:val="20"/>
                <w:szCs w:val="20"/>
              </w:rPr>
            </w:pPr>
            <w:r w:rsidRPr="00F7263B">
              <w:rPr>
                <w:rFonts w:cs="Times New Roman"/>
                <w:sz w:val="20"/>
                <w:szCs w:val="20"/>
              </w:rPr>
              <w:t>Country Office based</w:t>
            </w:r>
          </w:p>
        </w:tc>
      </w:tr>
    </w:tbl>
    <w:p w:rsidR="00C47E57" w:rsidRPr="00F7263B" w:rsidRDefault="00C47E57" w:rsidP="008C54FA">
      <w:pPr>
        <w:pStyle w:val="Caption"/>
        <w:jc w:val="both"/>
        <w:rPr>
          <w:highlight w:val="yellow"/>
        </w:rPr>
        <w:sectPr w:rsidR="00C47E57" w:rsidRPr="00F7263B">
          <w:footerReference w:type="first" r:id="rId28"/>
          <w:pgSz w:w="12240" w:h="15840"/>
          <w:pgMar w:top="1440" w:right="1440" w:bottom="1440" w:left="1440" w:header="720" w:footer="720" w:gutter="0"/>
          <w:cols w:space="720"/>
          <w:docGrid w:linePitch="360"/>
        </w:sectPr>
      </w:pPr>
    </w:p>
    <w:p w:rsidR="004E5FF1" w:rsidRPr="00F7263B" w:rsidRDefault="0058216F" w:rsidP="0058216F">
      <w:pPr>
        <w:pStyle w:val="Caption"/>
        <w:jc w:val="center"/>
      </w:pPr>
      <w:bookmarkStart w:id="106" w:name="_Toc380087836"/>
      <w:bookmarkStart w:id="107" w:name="_Toc374060185"/>
      <w:r w:rsidRPr="00F7263B">
        <w:lastRenderedPageBreak/>
        <w:t xml:space="preserve">Annex </w:t>
      </w:r>
      <w:r w:rsidR="00B845BE" w:rsidRPr="00F7263B">
        <w:fldChar w:fldCharType="begin"/>
      </w:r>
      <w:r w:rsidRPr="00F7263B">
        <w:instrText xml:space="preserve"> SEQ Annex \* ARABIC </w:instrText>
      </w:r>
      <w:r w:rsidR="00B845BE" w:rsidRPr="00F7263B">
        <w:fldChar w:fldCharType="separate"/>
      </w:r>
      <w:r w:rsidR="00933073">
        <w:rPr>
          <w:noProof/>
        </w:rPr>
        <w:t>10</w:t>
      </w:r>
      <w:r w:rsidR="00B845BE" w:rsidRPr="00F7263B">
        <w:fldChar w:fldCharType="end"/>
      </w:r>
      <w:r w:rsidR="004E5FF1" w:rsidRPr="00F7263B">
        <w:t>: Program Minimum Conditions and Performance Measures</w:t>
      </w:r>
      <w:bookmarkEnd w:id="106"/>
    </w:p>
    <w:p w:rsidR="004E5FF1" w:rsidRPr="00F7263B" w:rsidRDefault="004E5FF1" w:rsidP="004E5FF1">
      <w:pPr>
        <w:rPr>
          <w:sz w:val="20"/>
          <w:szCs w:val="20"/>
        </w:rPr>
      </w:pPr>
    </w:p>
    <w:p w:rsidR="004E5FF1" w:rsidRPr="00F7263B" w:rsidRDefault="004E5FF1" w:rsidP="004E5FF1">
      <w:pPr>
        <w:rPr>
          <w:b/>
          <w:sz w:val="20"/>
          <w:szCs w:val="20"/>
        </w:rPr>
      </w:pPr>
      <w:r w:rsidRPr="00F7263B">
        <w:rPr>
          <w:b/>
          <w:sz w:val="20"/>
          <w:szCs w:val="20"/>
        </w:rPr>
        <w:t xml:space="preserve">Entry-level condition – Prior to Release: </w:t>
      </w:r>
    </w:p>
    <w:p w:rsidR="004E5FF1" w:rsidRPr="00F7263B" w:rsidRDefault="004E5FF1" w:rsidP="004E5FF1">
      <w:pPr>
        <w:rPr>
          <w:b/>
          <w:sz w:val="20"/>
          <w:szCs w:val="20"/>
        </w:rPr>
      </w:pPr>
    </w:p>
    <w:tbl>
      <w:tblPr>
        <w:tblStyle w:val="TableGrid"/>
        <w:tblW w:w="13716" w:type="dxa"/>
        <w:shd w:val="clear" w:color="auto" w:fill="CCFFCC"/>
        <w:tblLook w:val="00A0" w:firstRow="1" w:lastRow="0" w:firstColumn="1" w:lastColumn="0" w:noHBand="0" w:noVBand="0"/>
      </w:tblPr>
      <w:tblGrid>
        <w:gridCol w:w="4610"/>
        <w:gridCol w:w="4228"/>
        <w:gridCol w:w="4878"/>
      </w:tblGrid>
      <w:tr w:rsidR="004E5FF1" w:rsidRPr="00F7263B">
        <w:tc>
          <w:tcPr>
            <w:tcW w:w="4610" w:type="dxa"/>
            <w:shd w:val="clear" w:color="auto" w:fill="CCFFCC"/>
          </w:tcPr>
          <w:p w:rsidR="004E5FF1" w:rsidRPr="00F7263B" w:rsidRDefault="004E5FF1" w:rsidP="004E5FF1">
            <w:pPr>
              <w:rPr>
                <w:sz w:val="20"/>
                <w:szCs w:val="20"/>
              </w:rPr>
            </w:pPr>
            <w:r w:rsidRPr="00F7263B">
              <w:rPr>
                <w:sz w:val="20"/>
                <w:szCs w:val="20"/>
              </w:rPr>
              <w:t>Participatory performance agreement (PPA) signed with MUDHCo</w:t>
            </w:r>
          </w:p>
        </w:tc>
        <w:tc>
          <w:tcPr>
            <w:tcW w:w="4228" w:type="dxa"/>
            <w:shd w:val="clear" w:color="auto" w:fill="CCFFCC"/>
          </w:tcPr>
          <w:p w:rsidR="004E5FF1" w:rsidRPr="00F7263B" w:rsidRDefault="004E5FF1" w:rsidP="004E5FF1">
            <w:pPr>
              <w:rPr>
                <w:sz w:val="20"/>
                <w:szCs w:val="20"/>
              </w:rPr>
            </w:pPr>
            <w:r w:rsidRPr="00F7263B">
              <w:rPr>
                <w:sz w:val="20"/>
                <w:szCs w:val="20"/>
              </w:rPr>
              <w:t>Show commitment by all parties and defines the rules of the system</w:t>
            </w:r>
          </w:p>
        </w:tc>
        <w:tc>
          <w:tcPr>
            <w:tcW w:w="4878" w:type="dxa"/>
            <w:shd w:val="clear" w:color="auto" w:fill="CCFFCC"/>
          </w:tcPr>
          <w:p w:rsidR="004E5FF1" w:rsidRPr="00F7263B" w:rsidRDefault="004E5FF1" w:rsidP="004E5FF1">
            <w:pPr>
              <w:rPr>
                <w:sz w:val="20"/>
                <w:szCs w:val="20"/>
              </w:rPr>
            </w:pPr>
            <w:r w:rsidRPr="00F7263B">
              <w:rPr>
                <w:sz w:val="20"/>
                <w:szCs w:val="20"/>
              </w:rPr>
              <w:t>Update the PPAs.  Should be included in the ULGDP II</w:t>
            </w:r>
            <w:r w:rsidR="007414BF" w:rsidRPr="00F7263B">
              <w:rPr>
                <w:sz w:val="20"/>
                <w:szCs w:val="20"/>
              </w:rPr>
              <w:t>Operational Manual</w:t>
            </w:r>
            <w:r w:rsidRPr="00F7263B">
              <w:rPr>
                <w:sz w:val="20"/>
                <w:szCs w:val="20"/>
              </w:rPr>
              <w:t xml:space="preserve">. </w:t>
            </w:r>
          </w:p>
        </w:tc>
      </w:tr>
    </w:tbl>
    <w:p w:rsidR="004E5FF1" w:rsidRPr="00F7263B" w:rsidRDefault="004E5FF1" w:rsidP="004E5FF1">
      <w:pPr>
        <w:rPr>
          <w:b/>
          <w:sz w:val="20"/>
          <w:szCs w:val="20"/>
        </w:rPr>
      </w:pPr>
    </w:p>
    <w:p w:rsidR="004E5FF1" w:rsidRPr="00F7263B" w:rsidRDefault="004E5FF1" w:rsidP="004E5FF1">
      <w:pPr>
        <w:rPr>
          <w:b/>
          <w:sz w:val="20"/>
          <w:szCs w:val="20"/>
          <w:lang w:val="fr-FR"/>
        </w:rPr>
      </w:pPr>
      <w:r w:rsidRPr="00F7263B">
        <w:rPr>
          <w:b/>
          <w:sz w:val="20"/>
          <w:szCs w:val="20"/>
          <w:lang w:val="fr-FR"/>
        </w:rPr>
        <w:t>DLI: Minimum Conditions (minimum conditions)</w:t>
      </w:r>
    </w:p>
    <w:p w:rsidR="004E5FF1" w:rsidRPr="00F7263B" w:rsidRDefault="004E5FF1" w:rsidP="004E5FF1">
      <w:pPr>
        <w:rPr>
          <w:i/>
          <w:sz w:val="20"/>
          <w:szCs w:val="20"/>
          <w:lang w:val="fr-FR"/>
        </w:rPr>
      </w:pPr>
    </w:p>
    <w:tbl>
      <w:tblPr>
        <w:tblStyle w:val="TableGrid"/>
        <w:tblW w:w="13682" w:type="dxa"/>
        <w:shd w:val="clear" w:color="auto" w:fill="CCFFCC"/>
        <w:tblLook w:val="00A0" w:firstRow="1" w:lastRow="0" w:firstColumn="1" w:lastColumn="0" w:noHBand="0" w:noVBand="0"/>
      </w:tblPr>
      <w:tblGrid>
        <w:gridCol w:w="675"/>
        <w:gridCol w:w="3969"/>
        <w:gridCol w:w="4194"/>
        <w:gridCol w:w="4844"/>
      </w:tblGrid>
      <w:tr w:rsidR="004E5FF1" w:rsidRPr="00F7263B">
        <w:trPr>
          <w:tblHeader/>
        </w:trPr>
        <w:tc>
          <w:tcPr>
            <w:tcW w:w="675" w:type="dxa"/>
            <w:shd w:val="clear" w:color="auto" w:fill="CCFFCC"/>
          </w:tcPr>
          <w:p w:rsidR="004E5FF1" w:rsidRPr="00F7263B" w:rsidRDefault="004E5FF1" w:rsidP="004E5FF1">
            <w:pPr>
              <w:rPr>
                <w:b/>
                <w:sz w:val="20"/>
                <w:szCs w:val="20"/>
              </w:rPr>
            </w:pPr>
            <w:r w:rsidRPr="00F7263B">
              <w:rPr>
                <w:b/>
                <w:sz w:val="20"/>
                <w:szCs w:val="20"/>
              </w:rPr>
              <w:t xml:space="preserve">No. </w:t>
            </w:r>
          </w:p>
        </w:tc>
        <w:tc>
          <w:tcPr>
            <w:tcW w:w="3969" w:type="dxa"/>
            <w:shd w:val="clear" w:color="auto" w:fill="CCFFCC"/>
          </w:tcPr>
          <w:p w:rsidR="004E5FF1" w:rsidRPr="00F7263B" w:rsidRDefault="004E5FF1" w:rsidP="004E5FF1">
            <w:pPr>
              <w:rPr>
                <w:b/>
                <w:i/>
                <w:sz w:val="20"/>
                <w:szCs w:val="20"/>
              </w:rPr>
            </w:pPr>
            <w:r w:rsidRPr="00F7263B">
              <w:rPr>
                <w:b/>
                <w:i/>
                <w:sz w:val="20"/>
                <w:szCs w:val="20"/>
              </w:rPr>
              <w:t>Minimum Condition</w:t>
            </w:r>
          </w:p>
        </w:tc>
        <w:tc>
          <w:tcPr>
            <w:tcW w:w="4194" w:type="dxa"/>
            <w:shd w:val="clear" w:color="auto" w:fill="CCFFCC"/>
          </w:tcPr>
          <w:p w:rsidR="004E5FF1" w:rsidRPr="00F7263B" w:rsidRDefault="004E5FF1" w:rsidP="004E5FF1">
            <w:pPr>
              <w:rPr>
                <w:b/>
                <w:i/>
                <w:sz w:val="20"/>
                <w:szCs w:val="20"/>
              </w:rPr>
            </w:pPr>
            <w:r w:rsidRPr="00F7263B">
              <w:rPr>
                <w:b/>
                <w:i/>
                <w:sz w:val="20"/>
                <w:szCs w:val="20"/>
              </w:rPr>
              <w:t>Reason</w:t>
            </w:r>
          </w:p>
        </w:tc>
        <w:tc>
          <w:tcPr>
            <w:tcW w:w="4844" w:type="dxa"/>
            <w:shd w:val="clear" w:color="auto" w:fill="CCFFCC"/>
          </w:tcPr>
          <w:p w:rsidR="004E5FF1" w:rsidRPr="00F7263B" w:rsidRDefault="004E5FF1" w:rsidP="004E5FF1">
            <w:pPr>
              <w:rPr>
                <w:b/>
                <w:i/>
                <w:sz w:val="20"/>
                <w:szCs w:val="20"/>
              </w:rPr>
            </w:pPr>
            <w:r w:rsidRPr="00F7263B">
              <w:rPr>
                <w:b/>
                <w:i/>
                <w:sz w:val="20"/>
                <w:szCs w:val="20"/>
              </w:rPr>
              <w:t xml:space="preserve">Comments – phasing in etc. </w:t>
            </w: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t>1.</w:t>
            </w:r>
          </w:p>
        </w:tc>
        <w:tc>
          <w:tcPr>
            <w:tcW w:w="3969" w:type="dxa"/>
            <w:shd w:val="clear" w:color="auto" w:fill="auto"/>
          </w:tcPr>
          <w:p w:rsidR="004E5FF1" w:rsidRPr="00F7263B" w:rsidRDefault="004E5FF1" w:rsidP="004E5FF1">
            <w:pPr>
              <w:rPr>
                <w:sz w:val="20"/>
                <w:szCs w:val="20"/>
              </w:rPr>
            </w:pPr>
            <w:r w:rsidRPr="00F7263B">
              <w:rPr>
                <w:sz w:val="20"/>
                <w:szCs w:val="20"/>
              </w:rPr>
              <w:t>ULG has produced and the council approved a:</w:t>
            </w:r>
          </w:p>
          <w:p w:rsidR="004E5FF1" w:rsidRPr="00F7263B" w:rsidRDefault="004E5FF1" w:rsidP="004E5FF1">
            <w:pPr>
              <w:rPr>
                <w:sz w:val="20"/>
                <w:szCs w:val="20"/>
              </w:rPr>
            </w:pPr>
          </w:p>
          <w:p w:rsidR="004E5FF1" w:rsidRPr="00F7263B" w:rsidRDefault="004E5FF1" w:rsidP="004E5FF1">
            <w:pPr>
              <w:pStyle w:val="ListParagraph"/>
              <w:numPr>
                <w:ilvl w:val="0"/>
                <w:numId w:val="78"/>
              </w:numPr>
              <w:ind w:left="315" w:hanging="270"/>
              <w:rPr>
                <w:sz w:val="20"/>
                <w:szCs w:val="20"/>
              </w:rPr>
            </w:pPr>
            <w:r w:rsidRPr="00F7263B">
              <w:rPr>
                <w:sz w:val="20"/>
                <w:szCs w:val="20"/>
              </w:rPr>
              <w:t>Rolling three year capital investment plan (CIP) with</w:t>
            </w:r>
          </w:p>
          <w:p w:rsidR="004E5FF1" w:rsidRPr="00F7263B" w:rsidRDefault="004E5FF1" w:rsidP="004E5FF1">
            <w:pPr>
              <w:pStyle w:val="ListParagraph"/>
              <w:numPr>
                <w:ilvl w:val="0"/>
                <w:numId w:val="78"/>
              </w:numPr>
              <w:ind w:left="315" w:hanging="270"/>
              <w:rPr>
                <w:sz w:val="20"/>
                <w:szCs w:val="20"/>
              </w:rPr>
            </w:pPr>
            <w:r w:rsidRPr="00F7263B">
              <w:rPr>
                <w:sz w:val="20"/>
                <w:szCs w:val="20"/>
              </w:rPr>
              <w:t>Annual action plan;</w:t>
            </w:r>
          </w:p>
          <w:p w:rsidR="004E5FF1" w:rsidRPr="00F7263B" w:rsidRDefault="004E5FF1" w:rsidP="004E5FF1">
            <w:pPr>
              <w:pStyle w:val="ListParagraph"/>
              <w:numPr>
                <w:ilvl w:val="0"/>
                <w:numId w:val="78"/>
              </w:numPr>
              <w:ind w:left="315" w:hanging="270"/>
              <w:rPr>
                <w:sz w:val="20"/>
                <w:szCs w:val="20"/>
              </w:rPr>
            </w:pPr>
            <w:r w:rsidRPr="00F7263B">
              <w:rPr>
                <w:sz w:val="20"/>
                <w:szCs w:val="20"/>
              </w:rPr>
              <w:t xml:space="preserve">Annual budget </w:t>
            </w:r>
          </w:p>
          <w:p w:rsidR="004E5FF1" w:rsidRPr="00F7263B" w:rsidRDefault="004E5FF1" w:rsidP="004E5FF1">
            <w:pPr>
              <w:pStyle w:val="ListParagraph"/>
              <w:numPr>
                <w:ilvl w:val="0"/>
                <w:numId w:val="78"/>
              </w:numPr>
              <w:ind w:left="315" w:hanging="270"/>
              <w:rPr>
                <w:i/>
                <w:sz w:val="20"/>
                <w:szCs w:val="20"/>
              </w:rPr>
            </w:pPr>
            <w:r w:rsidRPr="00F7263B">
              <w:rPr>
                <w:sz w:val="20"/>
                <w:szCs w:val="20"/>
              </w:rPr>
              <w:t>Annual procurement plan</w:t>
            </w:r>
          </w:p>
          <w:p w:rsidR="004E5FF1" w:rsidRPr="00F7263B" w:rsidRDefault="004E5FF1" w:rsidP="004E5FF1">
            <w:pPr>
              <w:rPr>
                <w:i/>
                <w:sz w:val="20"/>
                <w:szCs w:val="20"/>
              </w:rPr>
            </w:pPr>
          </w:p>
          <w:p w:rsidR="004E5FF1" w:rsidRPr="00F7263B" w:rsidRDefault="004E5FF1" w:rsidP="004E5FF1">
            <w:pPr>
              <w:pStyle w:val="ListParagraph"/>
              <w:numPr>
                <w:ilvl w:val="0"/>
                <w:numId w:val="78"/>
              </w:numPr>
              <w:ind w:left="315" w:hanging="270"/>
              <w:rPr>
                <w:sz w:val="20"/>
                <w:szCs w:val="20"/>
              </w:rPr>
            </w:pPr>
            <w:r w:rsidRPr="00F7263B">
              <w:rPr>
                <w:b/>
                <w:sz w:val="20"/>
                <w:szCs w:val="20"/>
              </w:rPr>
              <w:t>The planned use of the performance-based grants from ULGDP II is in compliance with investment menu (</w:t>
            </w:r>
            <w:r w:rsidRPr="00F7263B">
              <w:rPr>
                <w:i/>
                <w:sz w:val="20"/>
                <w:szCs w:val="20"/>
              </w:rPr>
              <w:t>only from assessment in 2015 of the performance in FY 2014/15).</w:t>
            </w:r>
          </w:p>
        </w:tc>
        <w:tc>
          <w:tcPr>
            <w:tcW w:w="4194" w:type="dxa"/>
            <w:shd w:val="clear" w:color="auto" w:fill="auto"/>
          </w:tcPr>
          <w:p w:rsidR="004E5FF1" w:rsidRPr="00F7263B" w:rsidRDefault="004E5FF1" w:rsidP="004E5FF1">
            <w:pPr>
              <w:rPr>
                <w:sz w:val="20"/>
                <w:szCs w:val="20"/>
              </w:rPr>
            </w:pPr>
            <w:r w:rsidRPr="00F7263B">
              <w:rPr>
                <w:sz w:val="20"/>
                <w:szCs w:val="20"/>
              </w:rPr>
              <w:t xml:space="preserve">Document minimum capacity in planning and project handling. </w:t>
            </w:r>
          </w:p>
          <w:p w:rsidR="004E5FF1" w:rsidRPr="00F7263B" w:rsidRDefault="004E5FF1" w:rsidP="004E5FF1">
            <w:pPr>
              <w:rPr>
                <w:sz w:val="20"/>
                <w:szCs w:val="20"/>
              </w:rPr>
            </w:pPr>
          </w:p>
          <w:p w:rsidR="004E5FF1" w:rsidRPr="00F7263B" w:rsidRDefault="004E5FF1" w:rsidP="004E5FF1">
            <w:pPr>
              <w:rPr>
                <w:i/>
                <w:sz w:val="20"/>
                <w:szCs w:val="20"/>
              </w:rPr>
            </w:pPr>
            <w:r w:rsidRPr="00F7263B">
              <w:rPr>
                <w:sz w:val="20"/>
                <w:szCs w:val="20"/>
              </w:rPr>
              <w:t>Implementation readiness.</w:t>
            </w:r>
          </w:p>
        </w:tc>
        <w:tc>
          <w:tcPr>
            <w:tcW w:w="4844" w:type="dxa"/>
            <w:shd w:val="clear" w:color="auto" w:fill="auto"/>
          </w:tcPr>
          <w:p w:rsidR="004E5FF1" w:rsidRPr="00F7263B" w:rsidRDefault="004E5FF1" w:rsidP="004E5FF1">
            <w:pPr>
              <w:rPr>
                <w:sz w:val="20"/>
                <w:szCs w:val="20"/>
              </w:rPr>
            </w:pPr>
            <w:r w:rsidRPr="00F7263B">
              <w:rPr>
                <w:sz w:val="20"/>
                <w:szCs w:val="20"/>
              </w:rPr>
              <w:t>The subject for review is the plans developed in the previous year for the year where assessments are conducted, e.g. if assessment is conducted in August 2014, it is the plans for FY 2014/15 /EFY 2007), which are typically developed from March – June 2014.</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In the assessment for FY 2014/15 (EFY 2007) budget allocations, which is expected conducted in March 2014, it is the plans for FY 2013/14 (EFY 2006), which are reviewed, hence the exact plan will depend on timing of the APA.</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 xml:space="preserve">To make this effective it is important that the APAs are conducted timely in the future, see Section on APA procedures.  </w:t>
            </w:r>
          </w:p>
          <w:p w:rsidR="004E5FF1" w:rsidRPr="00F7263B" w:rsidRDefault="004E5FF1" w:rsidP="004E5FF1">
            <w:pPr>
              <w:rPr>
                <w:i/>
                <w:sz w:val="20"/>
                <w:szCs w:val="20"/>
              </w:rPr>
            </w:pPr>
          </w:p>
          <w:p w:rsidR="004E5FF1" w:rsidRPr="00F7263B" w:rsidRDefault="004E5FF1" w:rsidP="004E5FF1">
            <w:pPr>
              <w:rPr>
                <w:i/>
                <w:sz w:val="20"/>
                <w:szCs w:val="20"/>
              </w:rPr>
            </w:pPr>
            <w:r w:rsidRPr="00F7263B">
              <w:rPr>
                <w:i/>
                <w:sz w:val="20"/>
                <w:szCs w:val="20"/>
              </w:rPr>
              <w:t xml:space="preserve">Transitional arrangements.  For new ULGs, </w:t>
            </w:r>
            <w:r w:rsidRPr="00F7263B">
              <w:rPr>
                <w:i/>
                <w:sz w:val="20"/>
                <w:szCs w:val="20"/>
                <w:u w:val="single"/>
              </w:rPr>
              <w:t>procurement</w:t>
            </w:r>
            <w:r w:rsidRPr="00F7263B">
              <w:rPr>
                <w:i/>
                <w:sz w:val="20"/>
                <w:szCs w:val="20"/>
              </w:rPr>
              <w:t xml:space="preserve"> plans will only a </w:t>
            </w:r>
            <w:r w:rsidR="00D81609" w:rsidRPr="00F7263B">
              <w:rPr>
                <w:i/>
                <w:sz w:val="20"/>
                <w:szCs w:val="20"/>
              </w:rPr>
              <w:t>minimum condition</w:t>
            </w:r>
            <w:r w:rsidRPr="00F7263B">
              <w:rPr>
                <w:i/>
                <w:sz w:val="20"/>
                <w:szCs w:val="20"/>
              </w:rPr>
              <w:t xml:space="preserve"> for the second year, see also below. </w:t>
            </w:r>
          </w:p>
          <w:p w:rsidR="004E5FF1" w:rsidRPr="00F7263B" w:rsidRDefault="004E5FF1" w:rsidP="004E5FF1">
            <w:pPr>
              <w:rPr>
                <w:i/>
                <w:sz w:val="20"/>
                <w:szCs w:val="20"/>
              </w:rPr>
            </w:pPr>
            <w:r w:rsidRPr="00F7263B">
              <w:rPr>
                <w:i/>
                <w:sz w:val="20"/>
                <w:szCs w:val="20"/>
              </w:rPr>
              <w:t>The investment menu will only be assessed from the second assessment where there has been the first planning/budgeting on the use of the performance-based grants. From the third assessment, the actual utilization of grants in the previous year will also be assessed.</w:t>
            </w: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t>2.</w:t>
            </w:r>
          </w:p>
        </w:tc>
        <w:tc>
          <w:tcPr>
            <w:tcW w:w="3969" w:type="dxa"/>
            <w:shd w:val="clear" w:color="auto" w:fill="auto"/>
          </w:tcPr>
          <w:p w:rsidR="004E5FF1" w:rsidRPr="00F7263B" w:rsidRDefault="004E5FF1" w:rsidP="004E5FF1">
            <w:pPr>
              <w:rPr>
                <w:sz w:val="20"/>
                <w:szCs w:val="20"/>
              </w:rPr>
            </w:pPr>
            <w:r w:rsidRPr="00F7263B">
              <w:rPr>
                <w:sz w:val="20"/>
                <w:szCs w:val="20"/>
              </w:rPr>
              <w:t>Submission of financial statements for the last FY (closure of the FY on time).</w:t>
            </w:r>
          </w:p>
        </w:tc>
        <w:tc>
          <w:tcPr>
            <w:tcW w:w="4194" w:type="dxa"/>
            <w:shd w:val="clear" w:color="auto" w:fill="auto"/>
          </w:tcPr>
          <w:p w:rsidR="004E5FF1" w:rsidRPr="00F7263B" w:rsidRDefault="004E5FF1" w:rsidP="004E5FF1">
            <w:pPr>
              <w:rPr>
                <w:sz w:val="20"/>
                <w:szCs w:val="20"/>
              </w:rPr>
            </w:pPr>
            <w:r w:rsidRPr="00F7263B">
              <w:rPr>
                <w:sz w:val="20"/>
                <w:szCs w:val="20"/>
              </w:rPr>
              <w:t>Show evidence on minimum capacity in PFM</w:t>
            </w:r>
          </w:p>
        </w:tc>
        <w:tc>
          <w:tcPr>
            <w:tcW w:w="4844" w:type="dxa"/>
            <w:shd w:val="clear" w:color="auto" w:fill="auto"/>
          </w:tcPr>
          <w:p w:rsidR="004E5FF1" w:rsidRPr="00F7263B" w:rsidRDefault="004E5FF1" w:rsidP="004E5FF1">
            <w:pPr>
              <w:rPr>
                <w:sz w:val="20"/>
                <w:szCs w:val="20"/>
              </w:rPr>
            </w:pPr>
            <w:r w:rsidRPr="00F7263B">
              <w:rPr>
                <w:sz w:val="20"/>
                <w:szCs w:val="20"/>
              </w:rPr>
              <w:t>In order for the external audits to start as early as possible cities should close their accounts by</w:t>
            </w:r>
            <w:r w:rsidRPr="00F7263B">
              <w:rPr>
                <w:b/>
                <w:sz w:val="20"/>
                <w:szCs w:val="20"/>
              </w:rPr>
              <w:t>end of September/ each</w:t>
            </w:r>
            <w:r w:rsidRPr="00F7263B">
              <w:rPr>
                <w:sz w:val="20"/>
                <w:szCs w:val="20"/>
              </w:rPr>
              <w:t xml:space="preserve"> year.</w:t>
            </w:r>
          </w:p>
          <w:p w:rsidR="004E5FF1" w:rsidRPr="00F7263B" w:rsidRDefault="004E5FF1" w:rsidP="004E5FF1">
            <w:pPr>
              <w:rPr>
                <w:sz w:val="20"/>
                <w:szCs w:val="20"/>
              </w:rPr>
            </w:pPr>
          </w:p>
          <w:p w:rsidR="004E5FF1" w:rsidRPr="00F7263B" w:rsidRDefault="004E5FF1" w:rsidP="004E5FF1">
            <w:pPr>
              <w:rPr>
                <w:i/>
                <w:sz w:val="20"/>
                <w:szCs w:val="20"/>
              </w:rPr>
            </w:pPr>
            <w:r w:rsidRPr="00F7263B">
              <w:rPr>
                <w:i/>
                <w:sz w:val="20"/>
                <w:szCs w:val="20"/>
              </w:rPr>
              <w:t xml:space="preserve">Phasing in the first year: The new ULGs participating in the Program should have completed the financial </w:t>
            </w:r>
            <w:r w:rsidRPr="00F7263B">
              <w:rPr>
                <w:i/>
                <w:sz w:val="20"/>
                <w:szCs w:val="20"/>
              </w:rPr>
              <w:lastRenderedPageBreak/>
              <w:t xml:space="preserve">statements before the start of the assessment. </w:t>
            </w:r>
          </w:p>
          <w:p w:rsidR="004E5FF1" w:rsidRPr="00F7263B" w:rsidRDefault="004E5FF1" w:rsidP="004E5FF1">
            <w:pPr>
              <w:rPr>
                <w:sz w:val="20"/>
                <w:szCs w:val="20"/>
              </w:rPr>
            </w:pP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lastRenderedPageBreak/>
              <w:t>3.</w:t>
            </w:r>
          </w:p>
        </w:tc>
        <w:tc>
          <w:tcPr>
            <w:tcW w:w="3969" w:type="dxa"/>
            <w:shd w:val="clear" w:color="auto" w:fill="auto"/>
          </w:tcPr>
          <w:p w:rsidR="004E5FF1" w:rsidRPr="00F7263B" w:rsidRDefault="004E5FF1" w:rsidP="004E5FF1">
            <w:pPr>
              <w:rPr>
                <w:sz w:val="20"/>
                <w:szCs w:val="20"/>
              </w:rPr>
            </w:pPr>
            <w:r w:rsidRPr="00F7263B">
              <w:rPr>
                <w:sz w:val="20"/>
                <w:szCs w:val="20"/>
              </w:rPr>
              <w:t>Audit report from previous FY should not be adverse or with a disclaimer opinion.</w:t>
            </w:r>
          </w:p>
        </w:tc>
        <w:tc>
          <w:tcPr>
            <w:tcW w:w="4194" w:type="dxa"/>
            <w:shd w:val="clear" w:color="auto" w:fill="auto"/>
          </w:tcPr>
          <w:p w:rsidR="004E5FF1" w:rsidRPr="00F7263B" w:rsidRDefault="004E5FF1" w:rsidP="004E5FF1">
            <w:pPr>
              <w:rPr>
                <w:sz w:val="20"/>
                <w:szCs w:val="20"/>
              </w:rPr>
            </w:pPr>
            <w:r w:rsidRPr="00F7263B">
              <w:rPr>
                <w:sz w:val="20"/>
                <w:szCs w:val="20"/>
              </w:rPr>
              <w:t>To reduce fiduciary risks</w:t>
            </w:r>
          </w:p>
        </w:tc>
        <w:tc>
          <w:tcPr>
            <w:tcW w:w="4844" w:type="dxa"/>
            <w:shd w:val="clear" w:color="auto" w:fill="auto"/>
          </w:tcPr>
          <w:p w:rsidR="004E5FF1" w:rsidRPr="00F7263B" w:rsidRDefault="004E5FF1" w:rsidP="004E5FF1">
            <w:pPr>
              <w:rPr>
                <w:sz w:val="20"/>
                <w:szCs w:val="20"/>
              </w:rPr>
            </w:pPr>
            <w:r w:rsidRPr="00F7263B">
              <w:rPr>
                <w:sz w:val="20"/>
                <w:szCs w:val="20"/>
              </w:rPr>
              <w:t>It should be ensured that audit quality continues, and there is need to combine with other minimum conditions to ensure sufficient safeguards on PFM. Compared to previous system, this is a strengthening of the requirements, as it is reviewing the audit report from previous FY.</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 xml:space="preserve">If the ORAG cannot conduct the audit in time, external audit firms will have to be contracted, and their results applied. (ORAG should clear the TOR and makes QA/endorsement of the results). </w:t>
            </w:r>
          </w:p>
          <w:p w:rsidR="004E5FF1" w:rsidRPr="00F7263B" w:rsidRDefault="004E5FF1" w:rsidP="004E5FF1">
            <w:pPr>
              <w:rPr>
                <w:sz w:val="20"/>
                <w:szCs w:val="20"/>
              </w:rPr>
            </w:pPr>
          </w:p>
          <w:p w:rsidR="004E5FF1" w:rsidRPr="00F7263B" w:rsidRDefault="004E5FF1" w:rsidP="004E5FF1">
            <w:pPr>
              <w:rPr>
                <w:i/>
                <w:sz w:val="20"/>
                <w:szCs w:val="20"/>
              </w:rPr>
            </w:pPr>
            <w:r w:rsidRPr="00F7263B">
              <w:rPr>
                <w:i/>
                <w:sz w:val="20"/>
                <w:szCs w:val="20"/>
              </w:rPr>
              <w:t>Transitional arrangements:</w:t>
            </w:r>
          </w:p>
          <w:p w:rsidR="004E5FF1" w:rsidRPr="00F7263B" w:rsidRDefault="004E5FF1" w:rsidP="004E5FF1">
            <w:pPr>
              <w:rPr>
                <w:i/>
                <w:sz w:val="20"/>
                <w:szCs w:val="20"/>
              </w:rPr>
            </w:pPr>
            <w:r w:rsidRPr="00F7263B">
              <w:rPr>
                <w:i/>
                <w:sz w:val="20"/>
                <w:szCs w:val="20"/>
              </w:rPr>
              <w:t xml:space="preserve">A waiver is provided in the first FY for </w:t>
            </w:r>
            <w:r w:rsidRPr="00F7263B">
              <w:rPr>
                <w:i/>
                <w:sz w:val="20"/>
                <w:szCs w:val="20"/>
                <w:u w:val="single"/>
              </w:rPr>
              <w:t>the new</w:t>
            </w:r>
            <w:r w:rsidRPr="00F7263B">
              <w:rPr>
                <w:i/>
                <w:sz w:val="20"/>
                <w:szCs w:val="20"/>
              </w:rPr>
              <w:t xml:space="preserve"> ULGDP ULGs providing them with sufficient time to improve, but as a minimum they should have completed the financial statements from previous FY. For the first year for the </w:t>
            </w:r>
            <w:r w:rsidRPr="00F7263B">
              <w:rPr>
                <w:i/>
                <w:sz w:val="20"/>
                <w:szCs w:val="20"/>
                <w:u w:val="single"/>
              </w:rPr>
              <w:t>“current ULGDP</w:t>
            </w:r>
            <w:r w:rsidRPr="00F7263B">
              <w:rPr>
                <w:i/>
                <w:sz w:val="20"/>
                <w:szCs w:val="20"/>
              </w:rPr>
              <w:t xml:space="preserve">” ULGs, the deadline is prior to the effectiveness.  </w:t>
            </w:r>
          </w:p>
          <w:p w:rsidR="004E5FF1" w:rsidRPr="00F7263B" w:rsidRDefault="004E5FF1" w:rsidP="004E5FF1">
            <w:pPr>
              <w:rPr>
                <w:i/>
                <w:sz w:val="20"/>
                <w:szCs w:val="20"/>
              </w:rPr>
            </w:pPr>
          </w:p>
          <w:p w:rsidR="004E5FF1" w:rsidRPr="00F7263B" w:rsidRDefault="004E5FF1" w:rsidP="004E5FF1">
            <w:pPr>
              <w:rPr>
                <w:i/>
                <w:sz w:val="20"/>
                <w:szCs w:val="20"/>
              </w:rPr>
            </w:pPr>
            <w:r w:rsidRPr="00F7263B">
              <w:rPr>
                <w:i/>
                <w:sz w:val="20"/>
                <w:szCs w:val="20"/>
              </w:rPr>
              <w:t xml:space="preserve">Second year: All should be on time, i.e. January 7. </w:t>
            </w:r>
          </w:p>
          <w:p w:rsidR="004E5FF1" w:rsidRPr="00F7263B" w:rsidRDefault="004E5FF1" w:rsidP="004E5FF1">
            <w:pPr>
              <w:rPr>
                <w:i/>
                <w:sz w:val="20"/>
                <w:szCs w:val="20"/>
              </w:rPr>
            </w:pPr>
            <w:r w:rsidRPr="00F7263B">
              <w:rPr>
                <w:i/>
                <w:sz w:val="20"/>
                <w:szCs w:val="20"/>
              </w:rPr>
              <w:t xml:space="preserve">The audit report is the last “trigger” in the assessment process, and will be checked after the field-work, but prior to the consolidation of the results. </w:t>
            </w: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t>4.</w:t>
            </w:r>
          </w:p>
        </w:tc>
        <w:tc>
          <w:tcPr>
            <w:tcW w:w="3969" w:type="dxa"/>
            <w:shd w:val="clear" w:color="auto" w:fill="auto"/>
          </w:tcPr>
          <w:p w:rsidR="004E5FF1" w:rsidRPr="00F7263B" w:rsidRDefault="004E5FF1" w:rsidP="004E5FF1">
            <w:pPr>
              <w:rPr>
                <w:sz w:val="20"/>
                <w:szCs w:val="20"/>
              </w:rPr>
            </w:pPr>
            <w:r w:rsidRPr="00F7263B">
              <w:rPr>
                <w:sz w:val="20"/>
                <w:szCs w:val="20"/>
              </w:rPr>
              <w:t>Co-funding requirements (defined with various rates of co-funding depending on the type of ULG). The co-funding requirements are the following:</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10 % for the new ULGs in the DRS</w:t>
            </w:r>
          </w:p>
          <w:p w:rsidR="004E5FF1" w:rsidRPr="00F7263B" w:rsidRDefault="004E5FF1" w:rsidP="004E5FF1">
            <w:pPr>
              <w:rPr>
                <w:sz w:val="20"/>
                <w:szCs w:val="20"/>
              </w:rPr>
            </w:pPr>
            <w:r w:rsidRPr="00F7263B">
              <w:rPr>
                <w:sz w:val="20"/>
                <w:szCs w:val="20"/>
              </w:rPr>
              <w:t>20 % for the new ULGs in the non-DRS regions.</w:t>
            </w:r>
          </w:p>
          <w:p w:rsidR="004E5FF1" w:rsidRPr="00F7263B" w:rsidRDefault="004E5FF1" w:rsidP="004E5FF1">
            <w:pPr>
              <w:rPr>
                <w:sz w:val="20"/>
                <w:szCs w:val="20"/>
              </w:rPr>
            </w:pPr>
            <w:r w:rsidRPr="00F7263B">
              <w:rPr>
                <w:sz w:val="20"/>
                <w:szCs w:val="20"/>
              </w:rPr>
              <w:t>30 % for the “old” ULGs.</w:t>
            </w:r>
          </w:p>
          <w:p w:rsidR="004E5FF1" w:rsidRPr="00F7263B" w:rsidRDefault="004E5FF1" w:rsidP="004E5FF1">
            <w:pPr>
              <w:rPr>
                <w:sz w:val="20"/>
                <w:szCs w:val="20"/>
              </w:rPr>
            </w:pPr>
            <w:r w:rsidRPr="00F7263B">
              <w:rPr>
                <w:sz w:val="20"/>
                <w:szCs w:val="20"/>
              </w:rPr>
              <w:t xml:space="preserve">50 % for Dire Dawa and Harar. </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 xml:space="preserve">A higher level of co-funding is promoted in the performance measures. </w:t>
            </w:r>
          </w:p>
          <w:p w:rsidR="004E5FF1" w:rsidRPr="00F7263B" w:rsidRDefault="004E5FF1" w:rsidP="004E5FF1">
            <w:pPr>
              <w:rPr>
                <w:sz w:val="20"/>
                <w:szCs w:val="20"/>
              </w:rPr>
            </w:pPr>
          </w:p>
        </w:tc>
        <w:tc>
          <w:tcPr>
            <w:tcW w:w="4194" w:type="dxa"/>
            <w:shd w:val="clear" w:color="auto" w:fill="auto"/>
          </w:tcPr>
          <w:p w:rsidR="004E5FF1" w:rsidRPr="00F7263B" w:rsidRDefault="004E5FF1" w:rsidP="004E5FF1">
            <w:pPr>
              <w:rPr>
                <w:sz w:val="20"/>
                <w:szCs w:val="20"/>
              </w:rPr>
            </w:pPr>
            <w:r w:rsidRPr="00F7263B">
              <w:rPr>
                <w:sz w:val="20"/>
                <w:szCs w:val="20"/>
              </w:rPr>
              <w:lastRenderedPageBreak/>
              <w:t xml:space="preserve">Reflect sustainability of the program and ensure that the rule on counterpart funding is adhered with. The co-funding is set at a realistic level and further contributions are promoted through the performance measures. </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Promote improved revenue mobilization and incentives to focus on longer-term sustainable urban finance.</w:t>
            </w:r>
          </w:p>
        </w:tc>
        <w:tc>
          <w:tcPr>
            <w:tcW w:w="4844" w:type="dxa"/>
            <w:shd w:val="clear" w:color="auto" w:fill="auto"/>
          </w:tcPr>
          <w:p w:rsidR="004E5FF1" w:rsidRPr="00F7263B" w:rsidRDefault="004E5FF1" w:rsidP="004E5FF1">
            <w:pPr>
              <w:rPr>
                <w:sz w:val="20"/>
                <w:szCs w:val="20"/>
              </w:rPr>
            </w:pPr>
            <w:r w:rsidRPr="00F7263B">
              <w:rPr>
                <w:sz w:val="20"/>
                <w:szCs w:val="20"/>
              </w:rPr>
              <w:t>Is combined with performance measures so that contribution above the minimum level is rewarded.</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 xml:space="preserve">Co-funding should be budgeted for prior to the start of the FY, and by the end of a FY ULGs should have contributed with the specific %, measured by actual use of funding on capital investments on areas defined in the investment menu and source of funding (IBEX coding). </w:t>
            </w:r>
          </w:p>
          <w:p w:rsidR="004E5FF1" w:rsidRPr="00F7263B" w:rsidRDefault="004E5FF1" w:rsidP="004E5FF1">
            <w:pPr>
              <w:rPr>
                <w:sz w:val="20"/>
                <w:szCs w:val="20"/>
              </w:rPr>
            </w:pPr>
          </w:p>
          <w:p w:rsidR="004E5FF1" w:rsidRPr="00F7263B" w:rsidRDefault="004E5FF1" w:rsidP="004E5FF1">
            <w:pPr>
              <w:rPr>
                <w:i/>
                <w:sz w:val="20"/>
                <w:szCs w:val="20"/>
              </w:rPr>
            </w:pPr>
            <w:r w:rsidRPr="00F7263B">
              <w:rPr>
                <w:i/>
                <w:sz w:val="20"/>
                <w:szCs w:val="20"/>
              </w:rPr>
              <w:t xml:space="preserve">Transitional arrangements/Phasing in: ULGs can only budget for this in the second assessment, as they do not know the level for this coming FY. The assessment of actual utilization of funds can only be done in the </w:t>
            </w:r>
            <w:r w:rsidRPr="00F7263B">
              <w:rPr>
                <w:i/>
                <w:sz w:val="20"/>
                <w:szCs w:val="20"/>
              </w:rPr>
              <w:lastRenderedPageBreak/>
              <w:t xml:space="preserve">assessment following a year of actual disbursements of ULGDP funds, i.e. from the September 2015 assessment.  </w:t>
            </w: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lastRenderedPageBreak/>
              <w:t>5.</w:t>
            </w:r>
          </w:p>
        </w:tc>
        <w:tc>
          <w:tcPr>
            <w:tcW w:w="3969" w:type="dxa"/>
            <w:shd w:val="clear" w:color="auto" w:fill="auto"/>
          </w:tcPr>
          <w:p w:rsidR="004E5FF1" w:rsidRPr="00F7263B" w:rsidRDefault="004E5FF1" w:rsidP="004E5FF1">
            <w:pPr>
              <w:rPr>
                <w:rFonts w:eastAsia="Times New Roman" w:cs="Times New Roman"/>
                <w:sz w:val="20"/>
                <w:szCs w:val="20"/>
              </w:rPr>
            </w:pPr>
            <w:r w:rsidRPr="00F7263B">
              <w:rPr>
                <w:sz w:val="20"/>
                <w:szCs w:val="20"/>
              </w:rPr>
              <w:t xml:space="preserve">Key positions in place/coordination team with the following positions under the coordination of the city manager: focal persons for revenue, procurement, environmental and social sustainability, M&amp;E, PFM, and civil engineering, plus a functioning internal audit unit. </w:t>
            </w:r>
          </w:p>
        </w:tc>
        <w:tc>
          <w:tcPr>
            <w:tcW w:w="4194" w:type="dxa"/>
            <w:shd w:val="clear" w:color="auto" w:fill="auto"/>
          </w:tcPr>
          <w:p w:rsidR="004E5FF1" w:rsidRPr="00F7263B" w:rsidRDefault="004E5FF1" w:rsidP="004E5FF1">
            <w:pPr>
              <w:rPr>
                <w:sz w:val="20"/>
                <w:szCs w:val="20"/>
              </w:rPr>
            </w:pPr>
            <w:r w:rsidRPr="00F7263B">
              <w:rPr>
                <w:sz w:val="20"/>
                <w:szCs w:val="20"/>
              </w:rPr>
              <w:t>To ensure that there is minimum capacity to handle the entire program implementation process at the ULG level.</w:t>
            </w:r>
          </w:p>
        </w:tc>
        <w:tc>
          <w:tcPr>
            <w:tcW w:w="4844" w:type="dxa"/>
            <w:shd w:val="clear" w:color="auto" w:fill="auto"/>
          </w:tcPr>
          <w:p w:rsidR="004E5FF1" w:rsidRPr="00F7263B" w:rsidRDefault="004E5FF1" w:rsidP="004E5FF1">
            <w:pPr>
              <w:rPr>
                <w:sz w:val="20"/>
                <w:szCs w:val="20"/>
              </w:rPr>
            </w:pPr>
            <w:r w:rsidRPr="00F7263B">
              <w:rPr>
                <w:sz w:val="20"/>
                <w:szCs w:val="20"/>
              </w:rPr>
              <w:t xml:space="preserve">The positions should be in place at point of time for the assessments. </w:t>
            </w: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t>6.</w:t>
            </w:r>
          </w:p>
        </w:tc>
        <w:tc>
          <w:tcPr>
            <w:tcW w:w="3969" w:type="dxa"/>
            <w:shd w:val="clear" w:color="auto" w:fill="auto"/>
          </w:tcPr>
          <w:p w:rsidR="004E5FF1" w:rsidRPr="00F7263B" w:rsidRDefault="004E5FF1" w:rsidP="004E5FF1">
            <w:pPr>
              <w:rPr>
                <w:sz w:val="20"/>
                <w:szCs w:val="20"/>
              </w:rPr>
            </w:pPr>
            <w:r w:rsidRPr="00F7263B">
              <w:rPr>
                <w:sz w:val="20"/>
                <w:szCs w:val="20"/>
              </w:rPr>
              <w:t xml:space="preserve">Safeguards: ULGs have demonstrated that they have established a functional system for environmental and social management as a minimum condition to access the </w:t>
            </w:r>
            <w:r w:rsidR="00D0377C" w:rsidRPr="00F7263B">
              <w:rPr>
                <w:sz w:val="20"/>
                <w:szCs w:val="20"/>
              </w:rPr>
              <w:t>performance-based</w:t>
            </w:r>
            <w:r w:rsidRPr="00F7263B">
              <w:rPr>
                <w:sz w:val="20"/>
                <w:szCs w:val="20"/>
              </w:rPr>
              <w:t xml:space="preserve"> grant, including an environmental and social safeguards focal person.  </w:t>
            </w: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p>
        </w:tc>
        <w:tc>
          <w:tcPr>
            <w:tcW w:w="4194" w:type="dxa"/>
            <w:shd w:val="clear" w:color="auto" w:fill="auto"/>
          </w:tcPr>
          <w:p w:rsidR="004E5FF1" w:rsidRPr="00F7263B" w:rsidRDefault="004E5FF1" w:rsidP="004E5FF1">
            <w:pPr>
              <w:rPr>
                <w:sz w:val="20"/>
                <w:szCs w:val="20"/>
              </w:rPr>
            </w:pPr>
            <w:r w:rsidRPr="00F7263B">
              <w:rPr>
                <w:sz w:val="20"/>
                <w:szCs w:val="20"/>
              </w:rPr>
              <w:t xml:space="preserve">To ensure that there is a mechanism and capacity to screen environmental and social risks of the CIP prior to implementation. </w:t>
            </w:r>
          </w:p>
        </w:tc>
        <w:tc>
          <w:tcPr>
            <w:tcW w:w="4844" w:type="dxa"/>
            <w:shd w:val="clear" w:color="auto" w:fill="auto"/>
          </w:tcPr>
          <w:p w:rsidR="004E5FF1" w:rsidRPr="00F7263B" w:rsidRDefault="004E5FF1" w:rsidP="004E5FF1">
            <w:pPr>
              <w:rPr>
                <w:sz w:val="20"/>
                <w:szCs w:val="20"/>
              </w:rPr>
            </w:pPr>
            <w:r w:rsidRPr="00F7263B">
              <w:rPr>
                <w:sz w:val="20"/>
                <w:szCs w:val="20"/>
              </w:rPr>
              <w:t xml:space="preserve">Defined by: </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Initiation of recruitment of environmental and social safeguards focal person at the city level;</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Endorsement of city level ESMS document that includes procedures for due diligence; institutional procedures for grievance management (see below under No. 8) and environmental, managing resettlement/land take processes and environmental social mitigation and monitoring plan.</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Only from second APA (September 2014)</w:t>
            </w: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t>7.</w:t>
            </w:r>
          </w:p>
        </w:tc>
        <w:tc>
          <w:tcPr>
            <w:tcW w:w="3969" w:type="dxa"/>
            <w:shd w:val="clear" w:color="auto" w:fill="auto"/>
          </w:tcPr>
          <w:p w:rsidR="004E5FF1" w:rsidRPr="00F7263B" w:rsidRDefault="004E5FF1" w:rsidP="004E5FF1">
            <w:pPr>
              <w:rPr>
                <w:sz w:val="20"/>
                <w:szCs w:val="20"/>
              </w:rPr>
            </w:pPr>
            <w:r w:rsidRPr="00F7263B">
              <w:rPr>
                <w:sz w:val="20"/>
                <w:szCs w:val="20"/>
              </w:rPr>
              <w:t>Functional institutional set-up for procurement system in place according to public procurement proclamation including:</w:t>
            </w:r>
          </w:p>
          <w:p w:rsidR="004E5FF1" w:rsidRPr="00F7263B" w:rsidRDefault="004E5FF1" w:rsidP="004E5FF1">
            <w:pPr>
              <w:pStyle w:val="ListParagraph"/>
              <w:numPr>
                <w:ilvl w:val="0"/>
                <w:numId w:val="42"/>
              </w:numPr>
              <w:spacing w:after="200"/>
              <w:rPr>
                <w:sz w:val="20"/>
                <w:szCs w:val="20"/>
              </w:rPr>
            </w:pPr>
            <w:r w:rsidRPr="00F7263B">
              <w:rPr>
                <w:sz w:val="20"/>
                <w:szCs w:val="20"/>
              </w:rPr>
              <w:t xml:space="preserve">Procurement function and minimum core staff in place – at least two procurement specialists; </w:t>
            </w:r>
          </w:p>
          <w:p w:rsidR="004E5FF1" w:rsidRPr="00F7263B" w:rsidRDefault="004E5FF1" w:rsidP="004E5FF1">
            <w:pPr>
              <w:pStyle w:val="ListParagraph"/>
              <w:numPr>
                <w:ilvl w:val="0"/>
                <w:numId w:val="42"/>
              </w:numPr>
              <w:spacing w:after="200"/>
              <w:rPr>
                <w:sz w:val="20"/>
                <w:szCs w:val="20"/>
              </w:rPr>
            </w:pPr>
            <w:r w:rsidRPr="00F7263B">
              <w:rPr>
                <w:sz w:val="20"/>
                <w:szCs w:val="20"/>
              </w:rPr>
              <w:t xml:space="preserve">Functional tender committee/tender award committee (TAC) in place; </w:t>
            </w:r>
          </w:p>
          <w:p w:rsidR="004E5FF1" w:rsidRPr="00F7263B" w:rsidRDefault="004E5FF1" w:rsidP="004E5FF1">
            <w:pPr>
              <w:pStyle w:val="ListParagraph"/>
              <w:numPr>
                <w:ilvl w:val="0"/>
                <w:numId w:val="42"/>
              </w:numPr>
              <w:spacing w:after="200"/>
              <w:rPr>
                <w:sz w:val="20"/>
                <w:szCs w:val="20"/>
              </w:rPr>
            </w:pPr>
            <w:r w:rsidRPr="00F7263B">
              <w:rPr>
                <w:sz w:val="20"/>
                <w:szCs w:val="20"/>
              </w:rPr>
              <w:t>Participating cities have the copies of their respective region’s procurement law, directives, manuals and standard procurement documents and staffs are familiar with these legal documents</w:t>
            </w:r>
          </w:p>
        </w:tc>
        <w:tc>
          <w:tcPr>
            <w:tcW w:w="4194" w:type="dxa"/>
            <w:shd w:val="clear" w:color="auto" w:fill="auto"/>
          </w:tcPr>
          <w:p w:rsidR="004E5FF1" w:rsidRPr="00F7263B" w:rsidRDefault="004E5FF1" w:rsidP="004E5FF1">
            <w:pPr>
              <w:rPr>
                <w:sz w:val="20"/>
                <w:szCs w:val="20"/>
              </w:rPr>
            </w:pPr>
            <w:r w:rsidRPr="00F7263B">
              <w:rPr>
                <w:sz w:val="20"/>
                <w:szCs w:val="20"/>
              </w:rPr>
              <w:t>Procurement is a high-risk area, hence need to ensure that basic systems, and functioning of this is in place prior to transfer of PB grant installments.</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The existence and functionality of the procurement system is basic to make sure that Program systems coupled with the mitigation measures provide reasonable assurance that the financing proceeds will be used for intended purposes with due consideration of economy, efficiency, transparency and fairness.</w:t>
            </w:r>
          </w:p>
        </w:tc>
        <w:tc>
          <w:tcPr>
            <w:tcW w:w="4844" w:type="dxa"/>
            <w:shd w:val="clear" w:color="auto" w:fill="auto"/>
          </w:tcPr>
          <w:p w:rsidR="004E5FF1" w:rsidRPr="00F7263B" w:rsidRDefault="004E5FF1" w:rsidP="004E5FF1">
            <w:pPr>
              <w:rPr>
                <w:sz w:val="20"/>
                <w:szCs w:val="20"/>
              </w:rPr>
            </w:pPr>
          </w:p>
        </w:tc>
      </w:tr>
      <w:tr w:rsidR="004E5FF1" w:rsidRPr="00F7263B">
        <w:tc>
          <w:tcPr>
            <w:tcW w:w="675" w:type="dxa"/>
            <w:shd w:val="clear" w:color="auto" w:fill="auto"/>
          </w:tcPr>
          <w:p w:rsidR="004E5FF1" w:rsidRPr="00F7263B" w:rsidRDefault="004E5FF1" w:rsidP="004E5FF1">
            <w:pPr>
              <w:rPr>
                <w:sz w:val="20"/>
                <w:szCs w:val="20"/>
              </w:rPr>
            </w:pPr>
            <w:r w:rsidRPr="00F7263B">
              <w:rPr>
                <w:sz w:val="20"/>
                <w:szCs w:val="20"/>
              </w:rPr>
              <w:t>8.</w:t>
            </w:r>
          </w:p>
        </w:tc>
        <w:tc>
          <w:tcPr>
            <w:tcW w:w="3969" w:type="dxa"/>
            <w:shd w:val="clear" w:color="auto" w:fill="auto"/>
          </w:tcPr>
          <w:p w:rsidR="004E5FF1" w:rsidRPr="00F7263B" w:rsidDel="00825130" w:rsidRDefault="004E5FF1" w:rsidP="004E5FF1">
            <w:pPr>
              <w:rPr>
                <w:sz w:val="20"/>
                <w:szCs w:val="20"/>
              </w:rPr>
            </w:pPr>
            <w:r w:rsidRPr="00F7263B">
              <w:rPr>
                <w:sz w:val="20"/>
                <w:szCs w:val="20"/>
              </w:rPr>
              <w:t xml:space="preserve">Complaints handling system in place, including system for reporting of complaints,  system for receiving and addressing </w:t>
            </w:r>
            <w:r w:rsidRPr="00F7263B">
              <w:rPr>
                <w:sz w:val="20"/>
                <w:szCs w:val="20"/>
              </w:rPr>
              <w:lastRenderedPageBreak/>
              <w:t>complaints and reporting on corrupt practices and complaints, through the ethics unit.</w:t>
            </w:r>
          </w:p>
        </w:tc>
        <w:tc>
          <w:tcPr>
            <w:tcW w:w="4194" w:type="dxa"/>
            <w:shd w:val="clear" w:color="auto" w:fill="auto"/>
          </w:tcPr>
          <w:p w:rsidR="004E5FF1" w:rsidRPr="00F7263B" w:rsidRDefault="004E5FF1" w:rsidP="004E5FF1">
            <w:pPr>
              <w:rPr>
                <w:sz w:val="20"/>
                <w:szCs w:val="20"/>
              </w:rPr>
            </w:pPr>
            <w:r w:rsidRPr="00F7263B">
              <w:rPr>
                <w:sz w:val="20"/>
                <w:szCs w:val="20"/>
              </w:rPr>
              <w:lastRenderedPageBreak/>
              <w:t xml:space="preserve">Receiving, reviewing and addressing complaints  within core areas such as areas related to environmental degradation of the surrounding: </w:t>
            </w:r>
            <w:r w:rsidRPr="00F7263B">
              <w:rPr>
                <w:sz w:val="20"/>
                <w:szCs w:val="20"/>
              </w:rPr>
              <w:lastRenderedPageBreak/>
              <w:t xml:space="preserve">Environmental health impacts on people; loss of livelihood, income or assets is an important aspect of any GRM. The system will encompass a system for complaints received, registration of these, description of where to send the various types of complaints, to whom, and how?; and description of the procedures. The information about these procedures should be published. </w:t>
            </w:r>
          </w:p>
        </w:tc>
        <w:tc>
          <w:tcPr>
            <w:tcW w:w="4844" w:type="dxa"/>
            <w:shd w:val="clear" w:color="auto" w:fill="auto"/>
          </w:tcPr>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Only from the second APA (September 2014).</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lastRenderedPageBreak/>
              <w:t xml:space="preserve">The POM will further define the requirements within this area. </w:t>
            </w:r>
          </w:p>
        </w:tc>
      </w:tr>
    </w:tbl>
    <w:p w:rsidR="004E5FF1" w:rsidRPr="00F7263B" w:rsidRDefault="004E5FF1" w:rsidP="004E5FF1">
      <w:pPr>
        <w:spacing w:before="100" w:beforeAutospacing="1" w:line="200" w:lineRule="atLeast"/>
        <w:rPr>
          <w:sz w:val="20"/>
          <w:szCs w:val="20"/>
        </w:rPr>
      </w:pPr>
    </w:p>
    <w:p w:rsidR="004E5FF1" w:rsidRPr="00F7263B" w:rsidRDefault="004E5FF1" w:rsidP="004E5FF1">
      <w:pPr>
        <w:rPr>
          <w:b/>
          <w:sz w:val="20"/>
          <w:szCs w:val="20"/>
        </w:rPr>
      </w:pPr>
      <w:r w:rsidRPr="00F7263B">
        <w:rPr>
          <w:b/>
          <w:sz w:val="20"/>
          <w:szCs w:val="20"/>
        </w:rPr>
        <w:t>DLI 2: Institutional Performance</w:t>
      </w:r>
    </w:p>
    <w:p w:rsidR="004E5FF1" w:rsidRPr="00F7263B" w:rsidRDefault="004E5FF1" w:rsidP="004E5FF1">
      <w:pPr>
        <w:rPr>
          <w:b/>
          <w:sz w:val="20"/>
          <w:szCs w:val="20"/>
        </w:rPr>
      </w:pPr>
    </w:p>
    <w:p w:rsidR="004E5FF1" w:rsidRPr="00F7263B" w:rsidRDefault="004E5FF1" w:rsidP="004E5FF1">
      <w:pPr>
        <w:jc w:val="both"/>
        <w:rPr>
          <w:sz w:val="20"/>
          <w:szCs w:val="20"/>
        </w:rPr>
      </w:pPr>
      <w:r w:rsidRPr="00F7263B">
        <w:rPr>
          <w:sz w:val="20"/>
          <w:szCs w:val="20"/>
        </w:rPr>
        <w:t xml:space="preserve">Below is a presentation of the institutional performance measures.  </w:t>
      </w: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Main changes compared to existing ULGDP I performance assessment system are:</w:t>
      </w:r>
    </w:p>
    <w:p w:rsidR="004E5FF1" w:rsidRPr="00F7263B" w:rsidRDefault="004E5FF1" w:rsidP="004E5FF1">
      <w:pPr>
        <w:rPr>
          <w:sz w:val="20"/>
          <w:szCs w:val="20"/>
        </w:rPr>
      </w:pPr>
    </w:p>
    <w:p w:rsidR="004E5FF1" w:rsidRPr="00F7263B" w:rsidRDefault="004E5FF1" w:rsidP="004E5FF1">
      <w:pPr>
        <w:pStyle w:val="ListParagraph"/>
        <w:numPr>
          <w:ilvl w:val="0"/>
          <w:numId w:val="35"/>
        </w:numPr>
        <w:spacing w:after="200"/>
        <w:rPr>
          <w:sz w:val="20"/>
          <w:szCs w:val="20"/>
        </w:rPr>
      </w:pPr>
      <w:r w:rsidRPr="00F7263B">
        <w:rPr>
          <w:sz w:val="20"/>
          <w:szCs w:val="20"/>
        </w:rPr>
        <w:t xml:space="preserve">Division of institutional and service delivery targets in two sets of indicators under each DLI </w:t>
      </w:r>
      <w:r w:rsidR="00864D25" w:rsidRPr="00F7263B">
        <w:rPr>
          <w:sz w:val="20"/>
          <w:szCs w:val="20"/>
        </w:rPr>
        <w:t>2</w:t>
      </w:r>
      <w:r w:rsidRPr="00F7263B">
        <w:rPr>
          <w:sz w:val="20"/>
          <w:szCs w:val="20"/>
        </w:rPr>
        <w:t xml:space="preserve">and </w:t>
      </w:r>
      <w:r w:rsidR="00864D25" w:rsidRPr="00F7263B">
        <w:rPr>
          <w:sz w:val="20"/>
          <w:szCs w:val="20"/>
        </w:rPr>
        <w:t>3.</w:t>
      </w:r>
    </w:p>
    <w:p w:rsidR="004E5FF1" w:rsidRPr="00F7263B" w:rsidRDefault="004E5FF1" w:rsidP="004E5FF1">
      <w:pPr>
        <w:pStyle w:val="ListParagraph"/>
        <w:numPr>
          <w:ilvl w:val="0"/>
          <w:numId w:val="35"/>
        </w:numPr>
        <w:spacing w:after="200"/>
        <w:rPr>
          <w:sz w:val="20"/>
          <w:szCs w:val="20"/>
        </w:rPr>
      </w:pPr>
      <w:r w:rsidRPr="00F7263B">
        <w:rPr>
          <w:sz w:val="20"/>
          <w:szCs w:val="20"/>
        </w:rPr>
        <w:t>Movement of CIP utilization rate to separate DLI (DLI 3), performance linked allocation; Similar for the utilization of maintenance budget</w:t>
      </w:r>
      <w:r w:rsidR="00864D25" w:rsidRPr="00F7263B">
        <w:rPr>
          <w:sz w:val="20"/>
          <w:szCs w:val="20"/>
        </w:rPr>
        <w:t>.</w:t>
      </w:r>
    </w:p>
    <w:p w:rsidR="004E5FF1" w:rsidRPr="00F7263B" w:rsidRDefault="004E5FF1" w:rsidP="004E5FF1">
      <w:pPr>
        <w:pStyle w:val="ListParagraph"/>
        <w:numPr>
          <w:ilvl w:val="0"/>
          <w:numId w:val="35"/>
        </w:numPr>
        <w:spacing w:after="200"/>
        <w:rPr>
          <w:sz w:val="20"/>
          <w:szCs w:val="20"/>
        </w:rPr>
      </w:pPr>
      <w:r w:rsidRPr="00F7263B">
        <w:rPr>
          <w:sz w:val="20"/>
          <w:szCs w:val="20"/>
        </w:rPr>
        <w:t>Improvement and sharpening of indicators in most areas</w:t>
      </w:r>
      <w:r w:rsidR="00864D25" w:rsidRPr="00F7263B">
        <w:rPr>
          <w:sz w:val="20"/>
          <w:szCs w:val="20"/>
        </w:rPr>
        <w:t>.</w:t>
      </w:r>
    </w:p>
    <w:p w:rsidR="004E5FF1" w:rsidRPr="00F7263B" w:rsidRDefault="004E5FF1" w:rsidP="004E5FF1">
      <w:pPr>
        <w:pStyle w:val="ListParagraph"/>
        <w:numPr>
          <w:ilvl w:val="0"/>
          <w:numId w:val="35"/>
        </w:numPr>
        <w:spacing w:after="200"/>
        <w:rPr>
          <w:sz w:val="20"/>
          <w:szCs w:val="20"/>
        </w:rPr>
      </w:pPr>
      <w:r w:rsidRPr="00F7263B">
        <w:rPr>
          <w:sz w:val="20"/>
          <w:szCs w:val="20"/>
        </w:rPr>
        <w:t>New indicators more focusing on the ULGs gaps and areas of importance for activities linked with achievement of targets of the program</w:t>
      </w:r>
      <w:r w:rsidR="00864D25" w:rsidRPr="00F7263B">
        <w:rPr>
          <w:sz w:val="20"/>
          <w:szCs w:val="20"/>
        </w:rPr>
        <w:t>.</w:t>
      </w:r>
    </w:p>
    <w:p w:rsidR="004E5FF1" w:rsidRPr="00F7263B" w:rsidRDefault="004E5FF1" w:rsidP="004E5FF1">
      <w:pPr>
        <w:pStyle w:val="ListParagraph"/>
        <w:numPr>
          <w:ilvl w:val="0"/>
          <w:numId w:val="35"/>
        </w:numPr>
        <w:spacing w:after="200"/>
        <w:rPr>
          <w:sz w:val="20"/>
          <w:szCs w:val="20"/>
        </w:rPr>
      </w:pPr>
      <w:r w:rsidRPr="00F7263B">
        <w:rPr>
          <w:sz w:val="20"/>
          <w:szCs w:val="20"/>
        </w:rPr>
        <w:t>Reorganization of some of the performance areas, and regrouping.</w:t>
      </w:r>
    </w:p>
    <w:p w:rsidR="004E5FF1" w:rsidRPr="00F7263B" w:rsidRDefault="004E5FF1" w:rsidP="004E5FF1">
      <w:pPr>
        <w:pStyle w:val="ListParagraph"/>
        <w:numPr>
          <w:ilvl w:val="0"/>
          <w:numId w:val="35"/>
        </w:numPr>
        <w:spacing w:after="200"/>
        <w:rPr>
          <w:sz w:val="20"/>
          <w:szCs w:val="20"/>
        </w:rPr>
      </w:pPr>
      <w:r w:rsidRPr="00F7263B">
        <w:rPr>
          <w:sz w:val="20"/>
          <w:szCs w:val="20"/>
        </w:rPr>
        <w:t xml:space="preserve">Links to the government policy on Ethiopian Cities Prosperity Initiative are included. </w:t>
      </w:r>
    </w:p>
    <w:p w:rsidR="004E5FF1" w:rsidRPr="00F7263B" w:rsidRDefault="004E5FF1" w:rsidP="004E5FF1">
      <w:pPr>
        <w:jc w:val="both"/>
        <w:rPr>
          <w:b/>
          <w:sz w:val="20"/>
          <w:szCs w:val="20"/>
        </w:rPr>
      </w:pPr>
      <w:r w:rsidRPr="00F7263B">
        <w:rPr>
          <w:b/>
          <w:sz w:val="20"/>
          <w:szCs w:val="20"/>
        </w:rPr>
        <w:t xml:space="preserve">DLI 2: Institutional performance Improvements </w:t>
      </w:r>
    </w:p>
    <w:p w:rsidR="004E5FF1" w:rsidRPr="00F7263B" w:rsidRDefault="004E5FF1" w:rsidP="004E5FF1">
      <w:pPr>
        <w:jc w:val="both"/>
        <w:rPr>
          <w:sz w:val="20"/>
          <w:szCs w:val="20"/>
        </w:rPr>
      </w:pPr>
    </w:p>
    <w:tbl>
      <w:tblPr>
        <w:tblStyle w:val="TableGrid"/>
        <w:tblW w:w="13716" w:type="dxa"/>
        <w:tblLook w:val="04A0" w:firstRow="1" w:lastRow="0" w:firstColumn="1" w:lastColumn="0" w:noHBand="0" w:noVBand="1"/>
      </w:tblPr>
      <w:tblGrid>
        <w:gridCol w:w="984"/>
        <w:gridCol w:w="3724"/>
        <w:gridCol w:w="4166"/>
        <w:gridCol w:w="1999"/>
        <w:gridCol w:w="1232"/>
        <w:gridCol w:w="1611"/>
      </w:tblGrid>
      <w:tr w:rsidR="004E5FF1" w:rsidRPr="00F7263B">
        <w:trPr>
          <w:tblHeader/>
        </w:trPr>
        <w:tc>
          <w:tcPr>
            <w:tcW w:w="984" w:type="dxa"/>
            <w:shd w:val="clear" w:color="auto" w:fill="CCFFCC"/>
          </w:tcPr>
          <w:p w:rsidR="004E5FF1" w:rsidRPr="00F7263B" w:rsidRDefault="004E5FF1" w:rsidP="004E5FF1">
            <w:pPr>
              <w:jc w:val="both"/>
              <w:rPr>
                <w:b/>
                <w:sz w:val="20"/>
                <w:szCs w:val="20"/>
              </w:rPr>
            </w:pPr>
            <w:r w:rsidRPr="00F7263B">
              <w:rPr>
                <w:b/>
                <w:sz w:val="20"/>
                <w:szCs w:val="20"/>
              </w:rPr>
              <w:t>Ser. No.</w:t>
            </w:r>
          </w:p>
        </w:tc>
        <w:tc>
          <w:tcPr>
            <w:tcW w:w="3724" w:type="dxa"/>
            <w:shd w:val="clear" w:color="auto" w:fill="CCFFCC"/>
          </w:tcPr>
          <w:p w:rsidR="004E5FF1" w:rsidRPr="00F7263B" w:rsidRDefault="004E5FF1" w:rsidP="004E5FF1">
            <w:pPr>
              <w:jc w:val="both"/>
              <w:rPr>
                <w:b/>
                <w:sz w:val="20"/>
                <w:szCs w:val="20"/>
              </w:rPr>
            </w:pPr>
            <w:r w:rsidRPr="00F7263B">
              <w:rPr>
                <w:b/>
                <w:sz w:val="20"/>
                <w:szCs w:val="20"/>
              </w:rPr>
              <w:t>Performance Areas</w:t>
            </w:r>
          </w:p>
        </w:tc>
        <w:tc>
          <w:tcPr>
            <w:tcW w:w="4166" w:type="dxa"/>
            <w:shd w:val="clear" w:color="auto" w:fill="CCFFCC"/>
          </w:tcPr>
          <w:p w:rsidR="004E5FF1" w:rsidRPr="00F7263B" w:rsidRDefault="004E5FF1" w:rsidP="004E5FF1">
            <w:pPr>
              <w:jc w:val="both"/>
              <w:rPr>
                <w:b/>
                <w:sz w:val="20"/>
                <w:szCs w:val="20"/>
              </w:rPr>
            </w:pPr>
            <w:r w:rsidRPr="00F7263B">
              <w:rPr>
                <w:b/>
                <w:sz w:val="20"/>
                <w:szCs w:val="20"/>
              </w:rPr>
              <w:t>Performance measure/Indicator/score</w:t>
            </w:r>
          </w:p>
        </w:tc>
        <w:tc>
          <w:tcPr>
            <w:tcW w:w="1999" w:type="dxa"/>
            <w:shd w:val="clear" w:color="auto" w:fill="CCFFCC"/>
          </w:tcPr>
          <w:p w:rsidR="004E5FF1" w:rsidRPr="00F7263B" w:rsidRDefault="004E5FF1" w:rsidP="004E5FF1">
            <w:pPr>
              <w:jc w:val="both"/>
              <w:rPr>
                <w:sz w:val="20"/>
                <w:szCs w:val="20"/>
              </w:rPr>
            </w:pPr>
            <w:r w:rsidRPr="00F7263B">
              <w:rPr>
                <w:b/>
                <w:sz w:val="20"/>
                <w:szCs w:val="20"/>
              </w:rPr>
              <w:t xml:space="preserve">Objective </w:t>
            </w:r>
          </w:p>
        </w:tc>
        <w:tc>
          <w:tcPr>
            <w:tcW w:w="1232" w:type="dxa"/>
            <w:shd w:val="clear" w:color="auto" w:fill="CCFFCC"/>
          </w:tcPr>
          <w:p w:rsidR="004E5FF1" w:rsidRPr="00F7263B" w:rsidRDefault="004E5FF1" w:rsidP="004E5FF1">
            <w:pPr>
              <w:rPr>
                <w:b/>
                <w:sz w:val="20"/>
                <w:szCs w:val="20"/>
              </w:rPr>
            </w:pPr>
            <w:r w:rsidRPr="00F7263B">
              <w:rPr>
                <w:b/>
                <w:sz w:val="20"/>
                <w:szCs w:val="20"/>
              </w:rPr>
              <w:t xml:space="preserve">Links to </w:t>
            </w:r>
            <w:r w:rsidRPr="00F7263B">
              <w:rPr>
                <w:sz w:val="20"/>
                <w:szCs w:val="20"/>
              </w:rPr>
              <w:t>Ethiopian Cities Prosperity Initiative</w:t>
            </w:r>
          </w:p>
        </w:tc>
        <w:tc>
          <w:tcPr>
            <w:tcW w:w="1611" w:type="dxa"/>
            <w:shd w:val="clear" w:color="auto" w:fill="CCFFCC"/>
          </w:tcPr>
          <w:p w:rsidR="004E5FF1" w:rsidRPr="00F7263B" w:rsidRDefault="004E5FF1" w:rsidP="004E5FF1">
            <w:pPr>
              <w:rPr>
                <w:b/>
                <w:sz w:val="20"/>
                <w:szCs w:val="20"/>
              </w:rPr>
            </w:pPr>
            <w:r w:rsidRPr="00F7263B">
              <w:rPr>
                <w:b/>
                <w:sz w:val="20"/>
                <w:szCs w:val="20"/>
              </w:rPr>
              <w:t>Existing or new indicator</w:t>
            </w:r>
          </w:p>
        </w:tc>
      </w:tr>
      <w:tr w:rsidR="004E5FF1" w:rsidRPr="00F7263B">
        <w:tc>
          <w:tcPr>
            <w:tcW w:w="984" w:type="dxa"/>
          </w:tcPr>
          <w:p w:rsidR="004E5FF1" w:rsidRPr="00F7263B" w:rsidRDefault="004E5FF1" w:rsidP="004E5FF1">
            <w:pPr>
              <w:jc w:val="both"/>
              <w:rPr>
                <w:b/>
                <w:sz w:val="20"/>
                <w:szCs w:val="20"/>
              </w:rPr>
            </w:pPr>
            <w:r w:rsidRPr="00F7263B">
              <w:rPr>
                <w:b/>
                <w:sz w:val="20"/>
                <w:szCs w:val="20"/>
              </w:rPr>
              <w:t>1</w:t>
            </w:r>
          </w:p>
        </w:tc>
        <w:tc>
          <w:tcPr>
            <w:tcW w:w="3724" w:type="dxa"/>
          </w:tcPr>
          <w:p w:rsidR="004E5FF1" w:rsidRPr="00F7263B" w:rsidRDefault="004E5FF1" w:rsidP="004E5FF1">
            <w:pPr>
              <w:jc w:val="both"/>
              <w:rPr>
                <w:b/>
                <w:sz w:val="20"/>
                <w:szCs w:val="20"/>
              </w:rPr>
            </w:pPr>
            <w:r w:rsidRPr="00F7263B">
              <w:rPr>
                <w:b/>
                <w:sz w:val="20"/>
                <w:szCs w:val="20"/>
              </w:rPr>
              <w:t xml:space="preserve">Planning and Budgeting </w:t>
            </w:r>
          </w:p>
          <w:p w:rsidR="004E5FF1" w:rsidRPr="00F7263B" w:rsidRDefault="004E5FF1" w:rsidP="004E5FF1">
            <w:pPr>
              <w:jc w:val="both"/>
              <w:rPr>
                <w:b/>
                <w:sz w:val="20"/>
                <w:szCs w:val="20"/>
              </w:rPr>
            </w:pPr>
            <w:r w:rsidRPr="00F7263B">
              <w:rPr>
                <w:b/>
                <w:sz w:val="20"/>
                <w:szCs w:val="20"/>
              </w:rPr>
              <w:t>(maximum 10</w:t>
            </w:r>
          </w:p>
          <w:p w:rsidR="004E5FF1" w:rsidRPr="00F7263B" w:rsidRDefault="004E5FF1" w:rsidP="004E5FF1">
            <w:pPr>
              <w:jc w:val="both"/>
              <w:rPr>
                <w:b/>
                <w:sz w:val="20"/>
                <w:szCs w:val="20"/>
              </w:rPr>
            </w:pPr>
            <w:r w:rsidRPr="00F7263B">
              <w:rPr>
                <w:b/>
                <w:sz w:val="20"/>
                <w:szCs w:val="20"/>
              </w:rPr>
              <w:t xml:space="preserve"> points)</w:t>
            </w:r>
          </w:p>
        </w:tc>
        <w:tc>
          <w:tcPr>
            <w:tcW w:w="4166" w:type="dxa"/>
          </w:tcPr>
          <w:p w:rsidR="004E5FF1" w:rsidRPr="00F7263B" w:rsidRDefault="004E5FF1" w:rsidP="004E5FF1">
            <w:pPr>
              <w:jc w:val="both"/>
              <w:rPr>
                <w:b/>
                <w:sz w:val="20"/>
                <w:szCs w:val="20"/>
              </w:rPr>
            </w:pPr>
          </w:p>
        </w:tc>
        <w:tc>
          <w:tcPr>
            <w:tcW w:w="1999" w:type="dxa"/>
          </w:tcPr>
          <w:p w:rsidR="004E5FF1" w:rsidRPr="00F7263B" w:rsidRDefault="004E5FF1" w:rsidP="004E5FF1">
            <w:pPr>
              <w:jc w:val="both"/>
              <w:rPr>
                <w:b/>
                <w:sz w:val="20"/>
                <w:szCs w:val="20"/>
              </w:rPr>
            </w:pPr>
          </w:p>
        </w:tc>
        <w:tc>
          <w:tcPr>
            <w:tcW w:w="1232" w:type="dxa"/>
          </w:tcPr>
          <w:p w:rsidR="004E5FF1" w:rsidRPr="00F7263B" w:rsidRDefault="004E5FF1" w:rsidP="004E5FF1">
            <w:pPr>
              <w:jc w:val="both"/>
              <w:rPr>
                <w:b/>
                <w:sz w:val="20"/>
                <w:szCs w:val="20"/>
              </w:rPr>
            </w:pPr>
          </w:p>
        </w:tc>
        <w:tc>
          <w:tcPr>
            <w:tcW w:w="1611" w:type="dxa"/>
          </w:tcPr>
          <w:p w:rsidR="004E5FF1" w:rsidRPr="00F7263B" w:rsidRDefault="004E5FF1" w:rsidP="004E5FF1">
            <w:pPr>
              <w:jc w:val="both"/>
              <w:rPr>
                <w:b/>
                <w:sz w:val="20"/>
                <w:szCs w:val="20"/>
              </w:rPr>
            </w:pPr>
          </w:p>
        </w:tc>
      </w:tr>
      <w:tr w:rsidR="004E5FF1" w:rsidRPr="00F7263B">
        <w:tc>
          <w:tcPr>
            <w:tcW w:w="984" w:type="dxa"/>
          </w:tcPr>
          <w:p w:rsidR="004E5FF1" w:rsidRPr="00F7263B" w:rsidRDefault="004E5FF1" w:rsidP="004E5FF1">
            <w:pPr>
              <w:rPr>
                <w:sz w:val="20"/>
                <w:szCs w:val="20"/>
              </w:rPr>
            </w:pPr>
            <w:r w:rsidRPr="00F7263B">
              <w:rPr>
                <w:sz w:val="20"/>
                <w:szCs w:val="20"/>
              </w:rPr>
              <w:t>1.1</w:t>
            </w:r>
          </w:p>
        </w:tc>
        <w:tc>
          <w:tcPr>
            <w:tcW w:w="3724" w:type="dxa"/>
          </w:tcPr>
          <w:p w:rsidR="004E5FF1" w:rsidRPr="00F7263B" w:rsidRDefault="004E5FF1" w:rsidP="004E5FF1">
            <w:pPr>
              <w:rPr>
                <w:sz w:val="20"/>
                <w:szCs w:val="20"/>
              </w:rPr>
            </w:pPr>
            <w:r w:rsidRPr="00F7263B">
              <w:rPr>
                <w:sz w:val="20"/>
                <w:szCs w:val="20"/>
              </w:rPr>
              <w:t xml:space="preserve">Rolling three year CIP, with linkages between the annual budget, annual action plan, and annual procurement plan </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(Maximum 3 points)</w:t>
            </w:r>
          </w:p>
        </w:tc>
        <w:tc>
          <w:tcPr>
            <w:tcW w:w="4166" w:type="dxa"/>
          </w:tcPr>
          <w:p w:rsidR="004E5FF1" w:rsidRPr="00F7263B" w:rsidRDefault="004E5FF1" w:rsidP="004E5FF1">
            <w:pPr>
              <w:pStyle w:val="ListParagraph"/>
              <w:numPr>
                <w:ilvl w:val="0"/>
                <w:numId w:val="51"/>
              </w:numPr>
              <w:spacing w:after="200"/>
              <w:rPr>
                <w:sz w:val="20"/>
                <w:szCs w:val="20"/>
              </w:rPr>
            </w:pPr>
            <w:r w:rsidRPr="00F7263B">
              <w:rPr>
                <w:sz w:val="20"/>
                <w:szCs w:val="20"/>
              </w:rPr>
              <w:t>Consistency of figures and alignment with revenue enhancement plan and asset management plan: 2 points.</w:t>
            </w:r>
          </w:p>
          <w:p w:rsidR="004E5FF1" w:rsidRPr="00F7263B" w:rsidRDefault="004E5FF1" w:rsidP="004E5FF1">
            <w:pPr>
              <w:pStyle w:val="ListParagraph"/>
              <w:numPr>
                <w:ilvl w:val="0"/>
                <w:numId w:val="51"/>
              </w:numPr>
              <w:spacing w:after="200"/>
              <w:rPr>
                <w:sz w:val="20"/>
                <w:szCs w:val="20"/>
              </w:rPr>
            </w:pPr>
            <w:r w:rsidRPr="00F7263B">
              <w:rPr>
                <w:sz w:val="20"/>
                <w:szCs w:val="20"/>
              </w:rPr>
              <w:t xml:space="preserve">Capturing of operational and recurrent costs of investments in the plans: 1 </w:t>
            </w:r>
            <w:r w:rsidRPr="00F7263B">
              <w:rPr>
                <w:sz w:val="20"/>
                <w:szCs w:val="20"/>
              </w:rPr>
              <w:lastRenderedPageBreak/>
              <w:t>point.</w:t>
            </w:r>
          </w:p>
          <w:p w:rsidR="004E5FF1" w:rsidRPr="00F7263B" w:rsidRDefault="004E5FF1" w:rsidP="004E5FF1">
            <w:pPr>
              <w:pStyle w:val="ListParagraph"/>
              <w:rPr>
                <w:sz w:val="20"/>
                <w:szCs w:val="20"/>
              </w:rPr>
            </w:pPr>
          </w:p>
        </w:tc>
        <w:tc>
          <w:tcPr>
            <w:tcW w:w="1999" w:type="dxa"/>
          </w:tcPr>
          <w:p w:rsidR="004E5FF1" w:rsidRPr="00F7263B" w:rsidRDefault="004E5FF1" w:rsidP="004E5FF1">
            <w:pPr>
              <w:rPr>
                <w:sz w:val="20"/>
                <w:szCs w:val="20"/>
              </w:rPr>
            </w:pPr>
            <w:r w:rsidRPr="00F7263B">
              <w:rPr>
                <w:sz w:val="20"/>
                <w:szCs w:val="20"/>
              </w:rPr>
              <w:lastRenderedPageBreak/>
              <w:t xml:space="preserve">Promote efficient planning, budgeting and procurement for efficient infrastructure </w:t>
            </w:r>
            <w:r w:rsidRPr="00F7263B">
              <w:rPr>
                <w:sz w:val="20"/>
                <w:szCs w:val="20"/>
              </w:rPr>
              <w:lastRenderedPageBreak/>
              <w:t>development</w:t>
            </w:r>
          </w:p>
          <w:p w:rsidR="004E5FF1" w:rsidRPr="00F7263B" w:rsidRDefault="004E5FF1" w:rsidP="004E5FF1">
            <w:pPr>
              <w:rPr>
                <w:sz w:val="20"/>
                <w:szCs w:val="20"/>
              </w:rPr>
            </w:pPr>
          </w:p>
          <w:p w:rsidR="004E5FF1" w:rsidRPr="00F7263B" w:rsidRDefault="004E5FF1" w:rsidP="004E5FF1">
            <w:pPr>
              <w:rPr>
                <w:sz w:val="20"/>
                <w:szCs w:val="20"/>
              </w:rPr>
            </w:pPr>
          </w:p>
        </w:tc>
        <w:tc>
          <w:tcPr>
            <w:tcW w:w="1232" w:type="dxa"/>
          </w:tcPr>
          <w:p w:rsidR="004E5FF1" w:rsidRPr="00F7263B" w:rsidRDefault="004E5FF1" w:rsidP="004E5FF1">
            <w:pPr>
              <w:rPr>
                <w:sz w:val="20"/>
                <w:szCs w:val="20"/>
              </w:rPr>
            </w:pPr>
            <w:r w:rsidRPr="00F7263B">
              <w:rPr>
                <w:sz w:val="20"/>
                <w:szCs w:val="20"/>
              </w:rPr>
              <w:lastRenderedPageBreak/>
              <w:t>Pillars 2, 3 and 4</w:t>
            </w: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lastRenderedPageBreak/>
              <w:t>Pillar 3</w:t>
            </w: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p>
        </w:tc>
        <w:tc>
          <w:tcPr>
            <w:tcW w:w="1611" w:type="dxa"/>
          </w:tcPr>
          <w:p w:rsidR="004E5FF1" w:rsidRPr="00F7263B" w:rsidRDefault="004E5FF1" w:rsidP="004E5FF1">
            <w:pPr>
              <w:rPr>
                <w:sz w:val="20"/>
                <w:szCs w:val="20"/>
              </w:rPr>
            </w:pPr>
            <w:r w:rsidRPr="00F7263B">
              <w:rPr>
                <w:sz w:val="20"/>
                <w:szCs w:val="20"/>
              </w:rPr>
              <w:lastRenderedPageBreak/>
              <w:t>Existing</w:t>
            </w: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lastRenderedPageBreak/>
              <w:t>Existing</w:t>
            </w:r>
          </w:p>
          <w:p w:rsidR="004E5FF1" w:rsidRPr="00F7263B" w:rsidRDefault="004E5FF1" w:rsidP="004E5FF1">
            <w:pPr>
              <w:rPr>
                <w:sz w:val="20"/>
                <w:szCs w:val="20"/>
              </w:rPr>
            </w:pPr>
          </w:p>
          <w:p w:rsidR="004E5FF1" w:rsidRPr="00F7263B" w:rsidRDefault="004E5FF1" w:rsidP="004E5FF1">
            <w:pPr>
              <w:rPr>
                <w:sz w:val="20"/>
                <w:szCs w:val="20"/>
              </w:rPr>
            </w:pPr>
          </w:p>
        </w:tc>
      </w:tr>
      <w:tr w:rsidR="004E5FF1" w:rsidRPr="00F7263B">
        <w:tc>
          <w:tcPr>
            <w:tcW w:w="984" w:type="dxa"/>
          </w:tcPr>
          <w:p w:rsidR="004E5FF1" w:rsidRPr="00F7263B" w:rsidRDefault="004E5FF1" w:rsidP="004E5FF1">
            <w:pPr>
              <w:rPr>
                <w:sz w:val="20"/>
                <w:szCs w:val="20"/>
              </w:rPr>
            </w:pPr>
            <w:r w:rsidRPr="00F7263B">
              <w:rPr>
                <w:sz w:val="20"/>
                <w:szCs w:val="20"/>
              </w:rPr>
              <w:lastRenderedPageBreak/>
              <w:t>1.2</w:t>
            </w:r>
          </w:p>
        </w:tc>
        <w:tc>
          <w:tcPr>
            <w:tcW w:w="3724" w:type="dxa"/>
          </w:tcPr>
          <w:p w:rsidR="004E5FF1" w:rsidRPr="00F7263B" w:rsidRDefault="004E5FF1" w:rsidP="004E5FF1">
            <w:pPr>
              <w:rPr>
                <w:sz w:val="20"/>
                <w:szCs w:val="20"/>
              </w:rPr>
            </w:pPr>
            <w:r w:rsidRPr="00F7263B">
              <w:rPr>
                <w:sz w:val="20"/>
                <w:szCs w:val="20"/>
              </w:rPr>
              <w:t xml:space="preserve">Participation of citizens in the planning process to meet service delivery priorities identified by citizens </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(Maximum 4 points)</w:t>
            </w:r>
          </w:p>
        </w:tc>
        <w:tc>
          <w:tcPr>
            <w:tcW w:w="4166" w:type="dxa"/>
          </w:tcPr>
          <w:p w:rsidR="004E5FF1" w:rsidRPr="00F7263B" w:rsidRDefault="004E5FF1" w:rsidP="004E5FF1">
            <w:pPr>
              <w:pStyle w:val="ListParagraph"/>
              <w:numPr>
                <w:ilvl w:val="0"/>
                <w:numId w:val="53"/>
              </w:numPr>
              <w:spacing w:after="200"/>
              <w:rPr>
                <w:sz w:val="20"/>
                <w:szCs w:val="20"/>
              </w:rPr>
            </w:pPr>
            <w:r w:rsidRPr="00F7263B">
              <w:rPr>
                <w:sz w:val="20"/>
                <w:szCs w:val="20"/>
              </w:rPr>
              <w:t>Evidence of participatory planning process with involvement of citizens</w:t>
            </w:r>
          </w:p>
          <w:p w:rsidR="004E5FF1" w:rsidRPr="00F7263B" w:rsidRDefault="004E5FF1" w:rsidP="004E5FF1">
            <w:pPr>
              <w:rPr>
                <w:sz w:val="20"/>
                <w:szCs w:val="20"/>
              </w:rPr>
            </w:pPr>
            <w:r w:rsidRPr="00F7263B">
              <w:rPr>
                <w:sz w:val="20"/>
                <w:szCs w:val="20"/>
              </w:rPr>
              <w:t>Measured by:</w:t>
            </w:r>
          </w:p>
          <w:p w:rsidR="004E5FF1" w:rsidRPr="00F7263B" w:rsidRDefault="004E5FF1" w:rsidP="004E5FF1">
            <w:pPr>
              <w:pStyle w:val="ListParagraph"/>
              <w:numPr>
                <w:ilvl w:val="0"/>
                <w:numId w:val="53"/>
              </w:numPr>
              <w:spacing w:after="200"/>
              <w:rPr>
                <w:sz w:val="20"/>
                <w:szCs w:val="20"/>
              </w:rPr>
            </w:pPr>
            <w:r w:rsidRPr="00F7263B">
              <w:rPr>
                <w:sz w:val="20"/>
                <w:szCs w:val="20"/>
              </w:rPr>
              <w:t>Number of public consultations (minimum two per year: 1 point)</w:t>
            </w:r>
          </w:p>
          <w:p w:rsidR="004E5FF1" w:rsidRPr="00F7263B" w:rsidRDefault="004E5FF1" w:rsidP="004E5FF1">
            <w:pPr>
              <w:pStyle w:val="ListParagraph"/>
              <w:numPr>
                <w:ilvl w:val="0"/>
                <w:numId w:val="53"/>
              </w:numPr>
              <w:spacing w:after="200"/>
              <w:rPr>
                <w:sz w:val="20"/>
                <w:szCs w:val="20"/>
              </w:rPr>
            </w:pPr>
            <w:r w:rsidRPr="00F7263B">
              <w:rPr>
                <w:sz w:val="20"/>
                <w:szCs w:val="20"/>
              </w:rPr>
              <w:t xml:space="preserve">Increase or stable level of number of people involved in planning discussions and the % of women involvement is more than 40 %: 1 point. </w:t>
            </w:r>
          </w:p>
          <w:p w:rsidR="004E5FF1" w:rsidRPr="00F7263B" w:rsidRDefault="004E5FF1" w:rsidP="004E5FF1">
            <w:pPr>
              <w:pStyle w:val="ListParagraph"/>
              <w:numPr>
                <w:ilvl w:val="0"/>
                <w:numId w:val="53"/>
              </w:numPr>
              <w:spacing w:after="200"/>
              <w:rPr>
                <w:sz w:val="20"/>
                <w:szCs w:val="20"/>
              </w:rPr>
            </w:pPr>
            <w:r w:rsidRPr="00F7263B">
              <w:rPr>
                <w:sz w:val="20"/>
                <w:szCs w:val="20"/>
              </w:rPr>
              <w:t>Existence of a meeting agenda and other information has been shared in advance and evidence that issues discussed have included the prioritization of projects in the up-date of the CIP/annual plan: 1 point.</w:t>
            </w:r>
          </w:p>
          <w:p w:rsidR="004E5FF1" w:rsidRPr="00F7263B" w:rsidRDefault="004E5FF1" w:rsidP="004E5FF1">
            <w:pPr>
              <w:pStyle w:val="ListParagraph"/>
              <w:numPr>
                <w:ilvl w:val="0"/>
                <w:numId w:val="53"/>
              </w:numPr>
              <w:spacing w:after="200"/>
              <w:rPr>
                <w:sz w:val="20"/>
                <w:szCs w:val="20"/>
              </w:rPr>
            </w:pPr>
            <w:r w:rsidRPr="00F7263B">
              <w:rPr>
                <w:sz w:val="20"/>
                <w:szCs w:val="20"/>
              </w:rPr>
              <w:t>Good governance procedures on planning reflected by minutes from the consultation meetings: 1 point.</w:t>
            </w:r>
          </w:p>
        </w:tc>
        <w:tc>
          <w:tcPr>
            <w:tcW w:w="1999" w:type="dxa"/>
          </w:tcPr>
          <w:p w:rsidR="004E5FF1" w:rsidRPr="00F7263B" w:rsidRDefault="004E5FF1" w:rsidP="004E5FF1">
            <w:pPr>
              <w:rPr>
                <w:sz w:val="20"/>
                <w:szCs w:val="20"/>
              </w:rPr>
            </w:pPr>
            <w:r w:rsidRPr="00F7263B">
              <w:rPr>
                <w:sz w:val="20"/>
                <w:szCs w:val="20"/>
              </w:rPr>
              <w:t>Citizens involvement and good governance</w:t>
            </w:r>
          </w:p>
        </w:tc>
        <w:tc>
          <w:tcPr>
            <w:tcW w:w="1232" w:type="dxa"/>
          </w:tcPr>
          <w:p w:rsidR="004E5FF1" w:rsidRPr="00F7263B" w:rsidRDefault="004E5FF1" w:rsidP="004E5FF1">
            <w:pPr>
              <w:rPr>
                <w:sz w:val="20"/>
                <w:szCs w:val="20"/>
              </w:rPr>
            </w:pPr>
            <w:r w:rsidRPr="00F7263B">
              <w:rPr>
                <w:sz w:val="20"/>
                <w:szCs w:val="20"/>
              </w:rPr>
              <w:t>Pillars 3 and 7</w:t>
            </w:r>
          </w:p>
        </w:tc>
        <w:tc>
          <w:tcPr>
            <w:tcW w:w="1611" w:type="dxa"/>
          </w:tcPr>
          <w:p w:rsidR="004E5FF1" w:rsidRPr="00F7263B" w:rsidRDefault="004E5FF1" w:rsidP="004E5FF1">
            <w:pPr>
              <w:rPr>
                <w:sz w:val="20"/>
                <w:szCs w:val="20"/>
              </w:rPr>
            </w:pPr>
            <w:r w:rsidRPr="00F7263B">
              <w:rPr>
                <w:sz w:val="20"/>
                <w:szCs w:val="20"/>
              </w:rPr>
              <w:t>Yes, but strengthened</w:t>
            </w:r>
          </w:p>
        </w:tc>
      </w:tr>
      <w:tr w:rsidR="004E5FF1" w:rsidRPr="00F7263B">
        <w:tc>
          <w:tcPr>
            <w:tcW w:w="984" w:type="dxa"/>
          </w:tcPr>
          <w:p w:rsidR="004E5FF1" w:rsidRPr="00F7263B" w:rsidRDefault="004E5FF1" w:rsidP="004E5FF1">
            <w:pPr>
              <w:rPr>
                <w:sz w:val="20"/>
                <w:szCs w:val="20"/>
              </w:rPr>
            </w:pPr>
            <w:r w:rsidRPr="00F7263B">
              <w:rPr>
                <w:sz w:val="20"/>
                <w:szCs w:val="20"/>
              </w:rPr>
              <w:t>1.3</w:t>
            </w:r>
          </w:p>
        </w:tc>
        <w:tc>
          <w:tcPr>
            <w:tcW w:w="3724" w:type="dxa"/>
          </w:tcPr>
          <w:p w:rsidR="004E5FF1" w:rsidRPr="00F7263B" w:rsidRDefault="004E5FF1" w:rsidP="004E5FF1">
            <w:pPr>
              <w:rPr>
                <w:sz w:val="20"/>
                <w:szCs w:val="20"/>
              </w:rPr>
            </w:pPr>
            <w:r w:rsidRPr="00F7263B">
              <w:rPr>
                <w:sz w:val="20"/>
                <w:szCs w:val="20"/>
              </w:rPr>
              <w:t xml:space="preserve">Budget appropriation </w:t>
            </w:r>
          </w:p>
          <w:p w:rsidR="004E5FF1" w:rsidRPr="00F7263B" w:rsidRDefault="004E5FF1" w:rsidP="004E5FF1">
            <w:pPr>
              <w:rPr>
                <w:sz w:val="20"/>
                <w:szCs w:val="20"/>
              </w:rPr>
            </w:pPr>
            <w:r w:rsidRPr="00F7263B">
              <w:rPr>
                <w:sz w:val="20"/>
                <w:szCs w:val="20"/>
              </w:rPr>
              <w:t>(Maximum 2 points)</w:t>
            </w:r>
          </w:p>
        </w:tc>
        <w:tc>
          <w:tcPr>
            <w:tcW w:w="4166" w:type="dxa"/>
          </w:tcPr>
          <w:p w:rsidR="004E5FF1" w:rsidRPr="00F7263B" w:rsidRDefault="004E5FF1" w:rsidP="004E5FF1">
            <w:pPr>
              <w:pStyle w:val="ListParagraph"/>
              <w:numPr>
                <w:ilvl w:val="0"/>
                <w:numId w:val="52"/>
              </w:numPr>
              <w:spacing w:after="200"/>
              <w:rPr>
                <w:sz w:val="20"/>
                <w:szCs w:val="20"/>
              </w:rPr>
            </w:pPr>
            <w:r w:rsidRPr="00F7263B">
              <w:rPr>
                <w:sz w:val="20"/>
                <w:szCs w:val="20"/>
              </w:rPr>
              <w:t xml:space="preserve">Budget approved by Council and proclaimed in the budget proclamation following the standard charts of accounts: 2 points. Note that both conditions have to be complied with to achieve the points. </w:t>
            </w:r>
          </w:p>
        </w:tc>
        <w:tc>
          <w:tcPr>
            <w:tcW w:w="1999" w:type="dxa"/>
          </w:tcPr>
          <w:p w:rsidR="004E5FF1" w:rsidRPr="00F7263B" w:rsidRDefault="004E5FF1" w:rsidP="004E5FF1">
            <w:pPr>
              <w:rPr>
                <w:sz w:val="20"/>
                <w:szCs w:val="20"/>
              </w:rPr>
            </w:pPr>
            <w:r w:rsidRPr="00F7263B">
              <w:rPr>
                <w:sz w:val="20"/>
                <w:szCs w:val="20"/>
              </w:rPr>
              <w:t>Promote political leadership and governance</w:t>
            </w:r>
          </w:p>
        </w:tc>
        <w:tc>
          <w:tcPr>
            <w:tcW w:w="1232" w:type="dxa"/>
          </w:tcPr>
          <w:p w:rsidR="004E5FF1" w:rsidRPr="00F7263B" w:rsidRDefault="004E5FF1" w:rsidP="004E5FF1">
            <w:pPr>
              <w:rPr>
                <w:sz w:val="20"/>
                <w:szCs w:val="20"/>
              </w:rPr>
            </w:pPr>
            <w:r w:rsidRPr="00F7263B">
              <w:rPr>
                <w:sz w:val="20"/>
                <w:szCs w:val="20"/>
              </w:rPr>
              <w:t>Pillar 1</w:t>
            </w:r>
          </w:p>
        </w:tc>
        <w:tc>
          <w:tcPr>
            <w:tcW w:w="1611" w:type="dxa"/>
          </w:tcPr>
          <w:p w:rsidR="004E5FF1" w:rsidRPr="00F7263B" w:rsidRDefault="004E5FF1" w:rsidP="004E5FF1">
            <w:pPr>
              <w:rPr>
                <w:sz w:val="20"/>
                <w:szCs w:val="20"/>
              </w:rPr>
            </w:pPr>
            <w:r w:rsidRPr="00F7263B">
              <w:rPr>
                <w:sz w:val="20"/>
                <w:szCs w:val="20"/>
              </w:rPr>
              <w:t>New</w:t>
            </w:r>
          </w:p>
        </w:tc>
      </w:tr>
      <w:tr w:rsidR="004E5FF1" w:rsidRPr="00F7263B">
        <w:tc>
          <w:tcPr>
            <w:tcW w:w="984" w:type="dxa"/>
          </w:tcPr>
          <w:p w:rsidR="004E5FF1" w:rsidRPr="00F7263B" w:rsidRDefault="004E5FF1" w:rsidP="004E5FF1">
            <w:pPr>
              <w:rPr>
                <w:sz w:val="20"/>
                <w:szCs w:val="20"/>
              </w:rPr>
            </w:pPr>
            <w:r w:rsidRPr="00F7263B">
              <w:rPr>
                <w:sz w:val="20"/>
                <w:szCs w:val="20"/>
              </w:rPr>
              <w:t>1.4</w:t>
            </w:r>
          </w:p>
        </w:tc>
        <w:tc>
          <w:tcPr>
            <w:tcW w:w="3724" w:type="dxa"/>
          </w:tcPr>
          <w:p w:rsidR="004E5FF1" w:rsidRPr="00F7263B" w:rsidRDefault="004E5FF1" w:rsidP="004E5FF1">
            <w:pPr>
              <w:rPr>
                <w:sz w:val="20"/>
                <w:szCs w:val="20"/>
              </w:rPr>
            </w:pPr>
            <w:r w:rsidRPr="00F7263B">
              <w:rPr>
                <w:sz w:val="20"/>
                <w:szCs w:val="20"/>
              </w:rPr>
              <w:t xml:space="preserve">Budget reliability </w:t>
            </w:r>
          </w:p>
          <w:p w:rsidR="004E5FF1" w:rsidRPr="00F7263B" w:rsidRDefault="004E5FF1" w:rsidP="004E5FF1">
            <w:pPr>
              <w:rPr>
                <w:sz w:val="20"/>
                <w:szCs w:val="20"/>
              </w:rPr>
            </w:pPr>
            <w:r w:rsidRPr="00F7263B">
              <w:rPr>
                <w:sz w:val="20"/>
                <w:szCs w:val="20"/>
              </w:rPr>
              <w:t>(Maximum 1 points)</w:t>
            </w:r>
          </w:p>
        </w:tc>
        <w:tc>
          <w:tcPr>
            <w:tcW w:w="4166" w:type="dxa"/>
          </w:tcPr>
          <w:p w:rsidR="004E5FF1" w:rsidRPr="00F7263B" w:rsidRDefault="004E5FF1" w:rsidP="004E5FF1">
            <w:pPr>
              <w:pStyle w:val="ListParagraph"/>
              <w:numPr>
                <w:ilvl w:val="0"/>
                <w:numId w:val="52"/>
              </w:numPr>
              <w:spacing w:after="200"/>
              <w:rPr>
                <w:sz w:val="20"/>
                <w:szCs w:val="20"/>
              </w:rPr>
            </w:pPr>
            <w:r w:rsidRPr="00F7263B">
              <w:rPr>
                <w:sz w:val="20"/>
                <w:szCs w:val="20"/>
              </w:rPr>
              <w:t>Variance in % between total budget and actual for the previous FY (related with total budget expenditures on municipal services) is less than 10 %: 1 point.</w:t>
            </w:r>
          </w:p>
          <w:p w:rsidR="004E5FF1" w:rsidRPr="00F7263B" w:rsidRDefault="004E5FF1" w:rsidP="004E5FF1">
            <w:pPr>
              <w:pStyle w:val="ListParagraph"/>
              <w:spacing w:after="200"/>
              <w:rPr>
                <w:sz w:val="20"/>
                <w:szCs w:val="20"/>
              </w:rPr>
            </w:pPr>
          </w:p>
        </w:tc>
        <w:tc>
          <w:tcPr>
            <w:tcW w:w="1999" w:type="dxa"/>
          </w:tcPr>
          <w:p w:rsidR="004E5FF1" w:rsidRPr="00F7263B" w:rsidRDefault="004E5FF1" w:rsidP="004E5FF1">
            <w:pPr>
              <w:rPr>
                <w:sz w:val="20"/>
                <w:szCs w:val="20"/>
              </w:rPr>
            </w:pPr>
            <w:r w:rsidRPr="00F7263B">
              <w:rPr>
                <w:sz w:val="20"/>
                <w:szCs w:val="20"/>
              </w:rPr>
              <w:lastRenderedPageBreak/>
              <w:t>Promote proper budgeting and implementation</w:t>
            </w:r>
          </w:p>
        </w:tc>
        <w:tc>
          <w:tcPr>
            <w:tcW w:w="1232" w:type="dxa"/>
          </w:tcPr>
          <w:p w:rsidR="004E5FF1" w:rsidRPr="00F7263B" w:rsidRDefault="004E5FF1" w:rsidP="004E5FF1">
            <w:pPr>
              <w:rPr>
                <w:sz w:val="20"/>
                <w:szCs w:val="20"/>
              </w:rPr>
            </w:pPr>
            <w:r w:rsidRPr="00F7263B">
              <w:rPr>
                <w:sz w:val="20"/>
                <w:szCs w:val="20"/>
              </w:rPr>
              <w:t>Pillars 3 and 5</w:t>
            </w:r>
          </w:p>
        </w:tc>
        <w:tc>
          <w:tcPr>
            <w:tcW w:w="1611" w:type="dxa"/>
          </w:tcPr>
          <w:p w:rsidR="004E5FF1" w:rsidRPr="00F7263B" w:rsidRDefault="004E5FF1" w:rsidP="004E5FF1">
            <w:pPr>
              <w:rPr>
                <w:sz w:val="20"/>
                <w:szCs w:val="20"/>
              </w:rPr>
            </w:pPr>
            <w:r w:rsidRPr="00F7263B">
              <w:rPr>
                <w:sz w:val="20"/>
                <w:szCs w:val="20"/>
              </w:rPr>
              <w:t>Existing (but only partial)</w:t>
            </w:r>
          </w:p>
        </w:tc>
      </w:tr>
      <w:tr w:rsidR="004E5FF1" w:rsidRPr="00F7263B">
        <w:tc>
          <w:tcPr>
            <w:tcW w:w="984" w:type="dxa"/>
          </w:tcPr>
          <w:p w:rsidR="004E5FF1" w:rsidRPr="00F7263B" w:rsidRDefault="004E5FF1" w:rsidP="004E5FF1">
            <w:pPr>
              <w:jc w:val="both"/>
              <w:rPr>
                <w:b/>
                <w:sz w:val="20"/>
                <w:szCs w:val="20"/>
              </w:rPr>
            </w:pPr>
            <w:r w:rsidRPr="00F7263B">
              <w:rPr>
                <w:b/>
                <w:sz w:val="20"/>
                <w:szCs w:val="20"/>
              </w:rPr>
              <w:lastRenderedPageBreak/>
              <w:t>2</w:t>
            </w:r>
          </w:p>
        </w:tc>
        <w:tc>
          <w:tcPr>
            <w:tcW w:w="3724" w:type="dxa"/>
          </w:tcPr>
          <w:p w:rsidR="004E5FF1" w:rsidRPr="00F7263B" w:rsidRDefault="004E5FF1" w:rsidP="004E5FF1">
            <w:pPr>
              <w:rPr>
                <w:b/>
                <w:sz w:val="20"/>
                <w:szCs w:val="20"/>
              </w:rPr>
            </w:pPr>
            <w:r w:rsidRPr="00F7263B">
              <w:rPr>
                <w:b/>
                <w:sz w:val="20"/>
                <w:szCs w:val="20"/>
              </w:rPr>
              <w:t xml:space="preserve">Assets Management </w:t>
            </w:r>
          </w:p>
          <w:p w:rsidR="004E5FF1" w:rsidRPr="00F7263B" w:rsidRDefault="004E5FF1" w:rsidP="004E5FF1">
            <w:pPr>
              <w:rPr>
                <w:b/>
                <w:sz w:val="20"/>
                <w:szCs w:val="20"/>
              </w:rPr>
            </w:pPr>
            <w:r w:rsidRPr="00F7263B">
              <w:rPr>
                <w:b/>
                <w:sz w:val="20"/>
                <w:szCs w:val="20"/>
              </w:rPr>
              <w:t>(10 points)</w:t>
            </w:r>
          </w:p>
        </w:tc>
        <w:tc>
          <w:tcPr>
            <w:tcW w:w="4166" w:type="dxa"/>
          </w:tcPr>
          <w:p w:rsidR="004E5FF1" w:rsidRPr="00F7263B" w:rsidRDefault="004E5FF1" w:rsidP="004E5FF1">
            <w:pPr>
              <w:rPr>
                <w:b/>
                <w:sz w:val="20"/>
                <w:szCs w:val="20"/>
              </w:rPr>
            </w:pPr>
          </w:p>
        </w:tc>
        <w:tc>
          <w:tcPr>
            <w:tcW w:w="1999" w:type="dxa"/>
          </w:tcPr>
          <w:p w:rsidR="004E5FF1" w:rsidRPr="00F7263B" w:rsidRDefault="004E5FF1" w:rsidP="004E5FF1">
            <w:pPr>
              <w:jc w:val="both"/>
              <w:rPr>
                <w:b/>
                <w:sz w:val="20"/>
                <w:szCs w:val="20"/>
              </w:rPr>
            </w:pPr>
          </w:p>
        </w:tc>
        <w:tc>
          <w:tcPr>
            <w:tcW w:w="1232" w:type="dxa"/>
          </w:tcPr>
          <w:p w:rsidR="004E5FF1" w:rsidRPr="00F7263B" w:rsidRDefault="004E5FF1" w:rsidP="004E5FF1">
            <w:pPr>
              <w:jc w:val="both"/>
              <w:rPr>
                <w:b/>
                <w:sz w:val="20"/>
                <w:szCs w:val="20"/>
              </w:rPr>
            </w:pPr>
          </w:p>
        </w:tc>
        <w:tc>
          <w:tcPr>
            <w:tcW w:w="1611" w:type="dxa"/>
          </w:tcPr>
          <w:p w:rsidR="004E5FF1" w:rsidRPr="00F7263B" w:rsidRDefault="004E5FF1" w:rsidP="004E5FF1">
            <w:pPr>
              <w:jc w:val="both"/>
              <w:rPr>
                <w:b/>
                <w:sz w:val="20"/>
                <w:szCs w:val="20"/>
              </w:rPr>
            </w:pPr>
          </w:p>
        </w:tc>
      </w:tr>
      <w:tr w:rsidR="004E5FF1" w:rsidRPr="00F7263B">
        <w:tc>
          <w:tcPr>
            <w:tcW w:w="984" w:type="dxa"/>
          </w:tcPr>
          <w:p w:rsidR="004E5FF1" w:rsidRPr="00F7263B" w:rsidRDefault="004E5FF1" w:rsidP="004E5FF1">
            <w:pPr>
              <w:jc w:val="both"/>
              <w:rPr>
                <w:sz w:val="20"/>
                <w:szCs w:val="20"/>
              </w:rPr>
            </w:pPr>
            <w:r w:rsidRPr="00F7263B">
              <w:rPr>
                <w:sz w:val="20"/>
                <w:szCs w:val="20"/>
              </w:rPr>
              <w:t>2.1</w:t>
            </w:r>
          </w:p>
        </w:tc>
        <w:tc>
          <w:tcPr>
            <w:tcW w:w="3724" w:type="dxa"/>
          </w:tcPr>
          <w:p w:rsidR="004E5FF1" w:rsidRPr="00F7263B" w:rsidRDefault="004E5FF1" w:rsidP="004E5FF1">
            <w:pPr>
              <w:jc w:val="both"/>
              <w:rPr>
                <w:sz w:val="20"/>
                <w:szCs w:val="20"/>
              </w:rPr>
            </w:pPr>
            <w:r w:rsidRPr="00F7263B">
              <w:rPr>
                <w:sz w:val="20"/>
                <w:szCs w:val="20"/>
              </w:rPr>
              <w:t xml:space="preserve">Assets management plan prepared and updated  </w:t>
            </w:r>
          </w:p>
          <w:p w:rsidR="004E5FF1" w:rsidRPr="00F7263B" w:rsidRDefault="004E5FF1" w:rsidP="004E5FF1">
            <w:pPr>
              <w:jc w:val="both"/>
              <w:rPr>
                <w:sz w:val="20"/>
                <w:szCs w:val="20"/>
              </w:rPr>
            </w:pPr>
            <w:r w:rsidRPr="00F7263B">
              <w:rPr>
                <w:sz w:val="20"/>
                <w:szCs w:val="20"/>
              </w:rPr>
              <w:t>(Maximum 10 points)</w:t>
            </w:r>
          </w:p>
        </w:tc>
        <w:tc>
          <w:tcPr>
            <w:tcW w:w="4166" w:type="dxa"/>
          </w:tcPr>
          <w:p w:rsidR="004E5FF1" w:rsidRPr="00F7263B" w:rsidRDefault="004E5FF1" w:rsidP="004E5FF1">
            <w:pPr>
              <w:spacing w:after="200"/>
              <w:rPr>
                <w:sz w:val="20"/>
                <w:szCs w:val="20"/>
              </w:rPr>
            </w:pPr>
          </w:p>
          <w:p w:rsidR="004E5FF1" w:rsidRPr="00F7263B" w:rsidRDefault="004E5FF1" w:rsidP="004E5FF1">
            <w:pPr>
              <w:pStyle w:val="ListParagraph"/>
              <w:numPr>
                <w:ilvl w:val="0"/>
                <w:numId w:val="54"/>
              </w:numPr>
              <w:spacing w:after="200"/>
              <w:rPr>
                <w:sz w:val="20"/>
                <w:szCs w:val="20"/>
              </w:rPr>
            </w:pPr>
            <w:r w:rsidRPr="00F7263B">
              <w:rPr>
                <w:sz w:val="20"/>
                <w:szCs w:val="20"/>
              </w:rPr>
              <w:t>Asset inventory updated, featuring a tabular and spatial database of all infrastructure, with specification and characteristics, at least for the five categories of municipal assets (Road &amp;Drainage, Solid and Liquid waste, Socioeconomic infrastructure &amp;greeneries, Utilities, Public buildings including abattoirs  (2 points)</w:t>
            </w:r>
          </w:p>
          <w:p w:rsidR="004E5FF1" w:rsidRPr="00F7263B" w:rsidRDefault="004E5FF1" w:rsidP="004E5FF1">
            <w:pPr>
              <w:pStyle w:val="ListParagraph"/>
              <w:numPr>
                <w:ilvl w:val="0"/>
                <w:numId w:val="54"/>
              </w:numPr>
              <w:spacing w:after="200"/>
              <w:rPr>
                <w:sz w:val="20"/>
                <w:szCs w:val="20"/>
              </w:rPr>
            </w:pPr>
            <w:r w:rsidRPr="00F7263B">
              <w:rPr>
                <w:sz w:val="20"/>
                <w:szCs w:val="20"/>
              </w:rPr>
              <w:t>Conditions of assets reflected in asset inventories correctly (professional input) (2 points)</w:t>
            </w:r>
          </w:p>
          <w:p w:rsidR="004E5FF1" w:rsidRPr="00F7263B" w:rsidRDefault="004E5FF1" w:rsidP="004E5FF1">
            <w:pPr>
              <w:pStyle w:val="ListParagraph"/>
              <w:numPr>
                <w:ilvl w:val="0"/>
                <w:numId w:val="54"/>
              </w:numPr>
              <w:spacing w:after="200"/>
              <w:rPr>
                <w:sz w:val="20"/>
                <w:szCs w:val="20"/>
              </w:rPr>
            </w:pPr>
            <w:r w:rsidRPr="00F7263B">
              <w:rPr>
                <w:sz w:val="20"/>
                <w:szCs w:val="20"/>
              </w:rPr>
              <w:t>Asset inventory show an asset value and deficit, which calculates the remaining asset value, maintenance and rehabilitation deficit based on annual depreciation rates. (2 points)</w:t>
            </w:r>
          </w:p>
          <w:p w:rsidR="004E5FF1" w:rsidRPr="00F7263B" w:rsidRDefault="004E5FF1" w:rsidP="004E5FF1">
            <w:pPr>
              <w:pStyle w:val="ListParagraph"/>
              <w:numPr>
                <w:ilvl w:val="0"/>
                <w:numId w:val="54"/>
              </w:numPr>
              <w:spacing w:after="200"/>
              <w:rPr>
                <w:sz w:val="20"/>
                <w:szCs w:val="20"/>
              </w:rPr>
            </w:pPr>
            <w:r w:rsidRPr="00F7263B">
              <w:rPr>
                <w:sz w:val="20"/>
                <w:szCs w:val="20"/>
              </w:rPr>
              <w:t>City updated the AMP according to the AMP 10 steps (as per the guideline for asset management preparation if exists) elaborating its implementation strategy, which details individual activities and their respective budgets over the course of the year (2 points)</w:t>
            </w:r>
          </w:p>
          <w:p w:rsidR="004E5FF1" w:rsidRPr="00F7263B" w:rsidRDefault="004E5FF1" w:rsidP="004E5FF1">
            <w:pPr>
              <w:pStyle w:val="ListParagraph"/>
              <w:numPr>
                <w:ilvl w:val="0"/>
                <w:numId w:val="54"/>
              </w:numPr>
              <w:spacing w:after="200"/>
              <w:rPr>
                <w:sz w:val="20"/>
                <w:szCs w:val="20"/>
              </w:rPr>
            </w:pPr>
            <w:r w:rsidRPr="00F7263B">
              <w:rPr>
                <w:sz w:val="20"/>
                <w:szCs w:val="20"/>
              </w:rPr>
              <w:t xml:space="preserve">AMP clearly show related budget for asset maintenance, rehabilitation and new assets, which lists all necessary costs (2 points) </w:t>
            </w:r>
          </w:p>
          <w:p w:rsidR="004E5FF1" w:rsidRPr="00F7263B" w:rsidRDefault="004E5FF1" w:rsidP="004E5FF1">
            <w:pPr>
              <w:pStyle w:val="ListParagraph"/>
              <w:spacing w:after="200"/>
              <w:ind w:left="658"/>
              <w:rPr>
                <w:sz w:val="20"/>
                <w:szCs w:val="20"/>
              </w:rPr>
            </w:pPr>
          </w:p>
          <w:p w:rsidR="004E5FF1" w:rsidRPr="00F7263B" w:rsidRDefault="004E5FF1" w:rsidP="004E5FF1">
            <w:pPr>
              <w:pStyle w:val="ListParagraph"/>
              <w:spacing w:after="200"/>
              <w:ind w:left="658"/>
              <w:rPr>
                <w:sz w:val="20"/>
                <w:szCs w:val="20"/>
              </w:rPr>
            </w:pPr>
          </w:p>
        </w:tc>
        <w:tc>
          <w:tcPr>
            <w:tcW w:w="1999" w:type="dxa"/>
          </w:tcPr>
          <w:p w:rsidR="004E5FF1" w:rsidRPr="00F7263B" w:rsidRDefault="004E5FF1" w:rsidP="004E5FF1">
            <w:pPr>
              <w:jc w:val="both"/>
              <w:rPr>
                <w:sz w:val="20"/>
                <w:szCs w:val="20"/>
              </w:rPr>
            </w:pPr>
            <w:r w:rsidRPr="00F7263B">
              <w:rPr>
                <w:sz w:val="20"/>
                <w:szCs w:val="20"/>
              </w:rPr>
              <w:lastRenderedPageBreak/>
              <w:t>Strengthen management of infrastructure and assets.</w:t>
            </w:r>
          </w:p>
        </w:tc>
        <w:tc>
          <w:tcPr>
            <w:tcW w:w="1232" w:type="dxa"/>
          </w:tcPr>
          <w:p w:rsidR="004E5FF1" w:rsidRPr="00F7263B" w:rsidRDefault="004E5FF1" w:rsidP="004E5FF1">
            <w:pPr>
              <w:jc w:val="both"/>
              <w:rPr>
                <w:sz w:val="20"/>
                <w:szCs w:val="20"/>
              </w:rPr>
            </w:pPr>
            <w:r w:rsidRPr="00F7263B">
              <w:rPr>
                <w:sz w:val="20"/>
                <w:szCs w:val="20"/>
              </w:rPr>
              <w:t>Pillar 5</w:t>
            </w:r>
          </w:p>
        </w:tc>
        <w:tc>
          <w:tcPr>
            <w:tcW w:w="1611" w:type="dxa"/>
          </w:tcPr>
          <w:p w:rsidR="004E5FF1" w:rsidRPr="00F7263B" w:rsidRDefault="004E5FF1" w:rsidP="004E5FF1">
            <w:pPr>
              <w:jc w:val="both"/>
              <w:rPr>
                <w:sz w:val="20"/>
                <w:szCs w:val="20"/>
              </w:rPr>
            </w:pPr>
            <w:r w:rsidRPr="00F7263B">
              <w:rPr>
                <w:sz w:val="20"/>
                <w:szCs w:val="20"/>
              </w:rPr>
              <w:t>Existing</w:t>
            </w:r>
          </w:p>
        </w:tc>
      </w:tr>
      <w:tr w:rsidR="004E5FF1" w:rsidRPr="00F7263B">
        <w:tc>
          <w:tcPr>
            <w:tcW w:w="984" w:type="dxa"/>
          </w:tcPr>
          <w:p w:rsidR="004E5FF1" w:rsidRPr="00F7263B" w:rsidRDefault="004E5FF1" w:rsidP="004E5FF1">
            <w:pPr>
              <w:jc w:val="both"/>
              <w:rPr>
                <w:b/>
                <w:sz w:val="20"/>
                <w:szCs w:val="20"/>
              </w:rPr>
            </w:pPr>
            <w:r w:rsidRPr="00F7263B">
              <w:rPr>
                <w:b/>
                <w:sz w:val="20"/>
                <w:szCs w:val="20"/>
              </w:rPr>
              <w:lastRenderedPageBreak/>
              <w:t>3</w:t>
            </w:r>
          </w:p>
        </w:tc>
        <w:tc>
          <w:tcPr>
            <w:tcW w:w="3724" w:type="dxa"/>
          </w:tcPr>
          <w:p w:rsidR="004E5FF1" w:rsidRPr="00F7263B" w:rsidRDefault="004E5FF1" w:rsidP="004E5FF1">
            <w:pPr>
              <w:jc w:val="both"/>
              <w:rPr>
                <w:b/>
                <w:sz w:val="20"/>
                <w:szCs w:val="20"/>
              </w:rPr>
            </w:pPr>
            <w:r w:rsidRPr="00F7263B">
              <w:rPr>
                <w:b/>
                <w:sz w:val="20"/>
                <w:szCs w:val="20"/>
              </w:rPr>
              <w:t>Public Financial Management</w:t>
            </w:r>
          </w:p>
          <w:p w:rsidR="004E5FF1" w:rsidRPr="00F7263B" w:rsidRDefault="004E5FF1" w:rsidP="004E5FF1">
            <w:pPr>
              <w:jc w:val="both"/>
              <w:rPr>
                <w:b/>
                <w:sz w:val="20"/>
                <w:szCs w:val="20"/>
              </w:rPr>
            </w:pPr>
            <w:r w:rsidRPr="00F7263B">
              <w:rPr>
                <w:b/>
                <w:sz w:val="20"/>
                <w:szCs w:val="20"/>
              </w:rPr>
              <w:t>(Maximum 15 points)</w:t>
            </w:r>
          </w:p>
        </w:tc>
        <w:tc>
          <w:tcPr>
            <w:tcW w:w="4166" w:type="dxa"/>
          </w:tcPr>
          <w:p w:rsidR="004E5FF1" w:rsidRPr="00F7263B" w:rsidRDefault="004E5FF1" w:rsidP="004E5FF1">
            <w:pPr>
              <w:jc w:val="both"/>
              <w:rPr>
                <w:b/>
                <w:sz w:val="20"/>
                <w:szCs w:val="20"/>
              </w:rPr>
            </w:pPr>
          </w:p>
        </w:tc>
        <w:tc>
          <w:tcPr>
            <w:tcW w:w="1999" w:type="dxa"/>
          </w:tcPr>
          <w:p w:rsidR="004E5FF1" w:rsidRPr="00F7263B" w:rsidRDefault="004E5FF1" w:rsidP="004E5FF1">
            <w:pPr>
              <w:jc w:val="both"/>
              <w:rPr>
                <w:b/>
                <w:sz w:val="20"/>
                <w:szCs w:val="20"/>
              </w:rPr>
            </w:pPr>
          </w:p>
        </w:tc>
        <w:tc>
          <w:tcPr>
            <w:tcW w:w="1232" w:type="dxa"/>
          </w:tcPr>
          <w:p w:rsidR="004E5FF1" w:rsidRPr="00F7263B" w:rsidRDefault="004E5FF1" w:rsidP="004E5FF1">
            <w:pPr>
              <w:jc w:val="both"/>
              <w:rPr>
                <w:b/>
                <w:sz w:val="20"/>
                <w:szCs w:val="20"/>
              </w:rPr>
            </w:pPr>
          </w:p>
        </w:tc>
        <w:tc>
          <w:tcPr>
            <w:tcW w:w="1611" w:type="dxa"/>
          </w:tcPr>
          <w:p w:rsidR="004E5FF1" w:rsidRPr="00F7263B" w:rsidRDefault="004E5FF1" w:rsidP="004E5FF1">
            <w:pPr>
              <w:jc w:val="both"/>
              <w:rPr>
                <w:b/>
                <w:sz w:val="20"/>
                <w:szCs w:val="20"/>
              </w:rPr>
            </w:pPr>
          </w:p>
        </w:tc>
      </w:tr>
      <w:tr w:rsidR="004E5FF1" w:rsidRPr="00F7263B">
        <w:tc>
          <w:tcPr>
            <w:tcW w:w="984" w:type="dxa"/>
          </w:tcPr>
          <w:p w:rsidR="004E5FF1" w:rsidRPr="00F7263B" w:rsidRDefault="004E5FF1" w:rsidP="004E5FF1">
            <w:pPr>
              <w:jc w:val="both"/>
              <w:rPr>
                <w:sz w:val="20"/>
                <w:szCs w:val="20"/>
              </w:rPr>
            </w:pPr>
            <w:r w:rsidRPr="00F7263B">
              <w:rPr>
                <w:sz w:val="20"/>
                <w:szCs w:val="20"/>
              </w:rPr>
              <w:t>3.1</w:t>
            </w:r>
          </w:p>
        </w:tc>
        <w:tc>
          <w:tcPr>
            <w:tcW w:w="3724" w:type="dxa"/>
          </w:tcPr>
          <w:p w:rsidR="004E5FF1" w:rsidRPr="00F7263B" w:rsidRDefault="004E5FF1" w:rsidP="004E5FF1">
            <w:pPr>
              <w:rPr>
                <w:sz w:val="20"/>
                <w:szCs w:val="20"/>
              </w:rPr>
            </w:pPr>
            <w:r w:rsidRPr="00F7263B">
              <w:rPr>
                <w:sz w:val="20"/>
                <w:szCs w:val="20"/>
              </w:rPr>
              <w:t>Accounting and timely reporting</w:t>
            </w:r>
          </w:p>
          <w:p w:rsidR="004E5FF1" w:rsidRPr="00F7263B" w:rsidRDefault="004E5FF1" w:rsidP="004E5FF1">
            <w:pPr>
              <w:rPr>
                <w:sz w:val="20"/>
                <w:szCs w:val="20"/>
              </w:rPr>
            </w:pPr>
            <w:r w:rsidRPr="00F7263B">
              <w:rPr>
                <w:sz w:val="20"/>
                <w:szCs w:val="20"/>
              </w:rPr>
              <w:t>(Maximum 4 points)</w:t>
            </w:r>
          </w:p>
        </w:tc>
        <w:tc>
          <w:tcPr>
            <w:tcW w:w="4166" w:type="dxa"/>
          </w:tcPr>
          <w:p w:rsidR="004E5FF1" w:rsidRPr="00F7263B" w:rsidRDefault="004E5FF1" w:rsidP="004E5FF1">
            <w:pPr>
              <w:pStyle w:val="ListParagraph"/>
              <w:numPr>
                <w:ilvl w:val="0"/>
                <w:numId w:val="54"/>
              </w:numPr>
              <w:spacing w:after="200"/>
              <w:jc w:val="both"/>
              <w:rPr>
                <w:sz w:val="20"/>
                <w:szCs w:val="20"/>
              </w:rPr>
            </w:pPr>
            <w:r w:rsidRPr="00F7263B">
              <w:rPr>
                <w:sz w:val="20"/>
                <w:szCs w:val="20"/>
              </w:rPr>
              <w:t>Use of integrated IBEX for all operations including ULGDP grants and reporting on these: 1 point</w:t>
            </w:r>
          </w:p>
          <w:p w:rsidR="004E5FF1" w:rsidRPr="00F7263B" w:rsidRDefault="004E5FF1" w:rsidP="004E5FF1">
            <w:pPr>
              <w:pStyle w:val="ListParagraph"/>
              <w:jc w:val="both"/>
              <w:rPr>
                <w:sz w:val="20"/>
                <w:szCs w:val="20"/>
              </w:rPr>
            </w:pPr>
          </w:p>
          <w:p w:rsidR="004E5FF1" w:rsidRPr="00F7263B" w:rsidRDefault="004E5FF1" w:rsidP="004E5FF1">
            <w:pPr>
              <w:pStyle w:val="ListParagraph"/>
              <w:numPr>
                <w:ilvl w:val="0"/>
                <w:numId w:val="54"/>
              </w:numPr>
              <w:spacing w:after="200"/>
              <w:rPr>
                <w:sz w:val="20"/>
                <w:szCs w:val="20"/>
              </w:rPr>
            </w:pPr>
            <w:r w:rsidRPr="00F7263B">
              <w:rPr>
                <w:sz w:val="20"/>
                <w:szCs w:val="20"/>
              </w:rPr>
              <w:t>Charts of accounts adhered with, including: On site analyses of correctness of coding – in particular of municipal revenues: 1 point.</w:t>
            </w:r>
          </w:p>
          <w:p w:rsidR="004E5FF1" w:rsidRPr="00F7263B" w:rsidRDefault="004E5FF1" w:rsidP="004E5FF1">
            <w:pPr>
              <w:pStyle w:val="ListParagraph"/>
              <w:rPr>
                <w:sz w:val="20"/>
                <w:szCs w:val="20"/>
              </w:rPr>
            </w:pPr>
          </w:p>
          <w:p w:rsidR="004E5FF1" w:rsidRPr="00F7263B" w:rsidRDefault="004E5FF1" w:rsidP="004E5FF1">
            <w:pPr>
              <w:pStyle w:val="ListParagraph"/>
              <w:numPr>
                <w:ilvl w:val="0"/>
                <w:numId w:val="54"/>
              </w:numPr>
              <w:spacing w:after="200"/>
              <w:rPr>
                <w:sz w:val="20"/>
                <w:szCs w:val="20"/>
              </w:rPr>
            </w:pPr>
            <w:r w:rsidRPr="00F7263B">
              <w:rPr>
                <w:sz w:val="20"/>
                <w:szCs w:val="20"/>
              </w:rPr>
              <w:t>Timely financial reporting:  1 point</w:t>
            </w:r>
          </w:p>
          <w:p w:rsidR="004E5FF1" w:rsidRPr="00F7263B" w:rsidRDefault="004E5FF1" w:rsidP="004E5FF1">
            <w:pPr>
              <w:rPr>
                <w:sz w:val="20"/>
                <w:szCs w:val="20"/>
              </w:rPr>
            </w:pPr>
          </w:p>
          <w:p w:rsidR="004E5FF1" w:rsidRPr="00F7263B" w:rsidRDefault="004E5FF1" w:rsidP="004E5FF1">
            <w:pPr>
              <w:pStyle w:val="ListParagraph"/>
              <w:numPr>
                <w:ilvl w:val="0"/>
                <w:numId w:val="54"/>
              </w:numPr>
              <w:spacing w:after="200"/>
              <w:jc w:val="both"/>
              <w:rPr>
                <w:sz w:val="20"/>
                <w:szCs w:val="20"/>
              </w:rPr>
            </w:pPr>
            <w:r w:rsidRPr="00F7263B">
              <w:rPr>
                <w:sz w:val="20"/>
                <w:szCs w:val="20"/>
              </w:rPr>
              <w:t>Monthly cash count report and Bank reconciliation submitted to region on time (within 15 days after the end of the month): 1 point</w:t>
            </w:r>
          </w:p>
        </w:tc>
        <w:tc>
          <w:tcPr>
            <w:tcW w:w="1999" w:type="dxa"/>
          </w:tcPr>
          <w:p w:rsidR="004E5FF1" w:rsidRPr="00F7263B" w:rsidRDefault="004E5FF1" w:rsidP="004E5FF1">
            <w:pPr>
              <w:jc w:val="both"/>
              <w:rPr>
                <w:sz w:val="20"/>
                <w:szCs w:val="20"/>
              </w:rPr>
            </w:pPr>
            <w:r w:rsidRPr="00F7263B">
              <w:rPr>
                <w:sz w:val="20"/>
                <w:szCs w:val="20"/>
              </w:rPr>
              <w:t>Strengthen accountability</w:t>
            </w:r>
          </w:p>
        </w:tc>
        <w:tc>
          <w:tcPr>
            <w:tcW w:w="1232" w:type="dxa"/>
          </w:tcPr>
          <w:p w:rsidR="004E5FF1" w:rsidRPr="00F7263B" w:rsidRDefault="004E5FF1" w:rsidP="004E5FF1">
            <w:pPr>
              <w:jc w:val="both"/>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r w:rsidRPr="00F7263B">
              <w:rPr>
                <w:sz w:val="20"/>
                <w:szCs w:val="20"/>
              </w:rPr>
              <w:t>New</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New</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Existing</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New</w:t>
            </w:r>
          </w:p>
        </w:tc>
      </w:tr>
      <w:tr w:rsidR="004E5FF1" w:rsidRPr="00F7263B">
        <w:tc>
          <w:tcPr>
            <w:tcW w:w="984" w:type="dxa"/>
          </w:tcPr>
          <w:p w:rsidR="004E5FF1" w:rsidRPr="00F7263B" w:rsidRDefault="004E5FF1" w:rsidP="004E5FF1">
            <w:pPr>
              <w:jc w:val="both"/>
              <w:rPr>
                <w:sz w:val="20"/>
                <w:szCs w:val="20"/>
              </w:rPr>
            </w:pPr>
            <w:r w:rsidRPr="00F7263B">
              <w:rPr>
                <w:sz w:val="20"/>
                <w:szCs w:val="20"/>
              </w:rPr>
              <w:t>3.2</w:t>
            </w:r>
          </w:p>
        </w:tc>
        <w:tc>
          <w:tcPr>
            <w:tcW w:w="3724" w:type="dxa"/>
          </w:tcPr>
          <w:p w:rsidR="004E5FF1" w:rsidRPr="00F7263B" w:rsidRDefault="004E5FF1" w:rsidP="004E5FF1">
            <w:pPr>
              <w:rPr>
                <w:sz w:val="20"/>
                <w:szCs w:val="20"/>
              </w:rPr>
            </w:pPr>
            <w:r w:rsidRPr="00F7263B">
              <w:rPr>
                <w:sz w:val="20"/>
                <w:szCs w:val="20"/>
              </w:rPr>
              <w:t xml:space="preserve">External audit backlogs cleared </w:t>
            </w:r>
          </w:p>
          <w:p w:rsidR="004E5FF1" w:rsidRPr="00F7263B" w:rsidRDefault="004E5FF1" w:rsidP="004E5FF1">
            <w:pPr>
              <w:rPr>
                <w:sz w:val="20"/>
                <w:szCs w:val="20"/>
              </w:rPr>
            </w:pPr>
            <w:r w:rsidRPr="00F7263B">
              <w:rPr>
                <w:sz w:val="20"/>
                <w:szCs w:val="20"/>
              </w:rPr>
              <w:t>(3 points)</w:t>
            </w:r>
          </w:p>
        </w:tc>
        <w:tc>
          <w:tcPr>
            <w:tcW w:w="4166" w:type="dxa"/>
          </w:tcPr>
          <w:p w:rsidR="004E5FF1" w:rsidRPr="00F7263B" w:rsidRDefault="004E5FF1" w:rsidP="004E5FF1">
            <w:pPr>
              <w:pStyle w:val="ListParagraph"/>
              <w:numPr>
                <w:ilvl w:val="0"/>
                <w:numId w:val="55"/>
              </w:numPr>
              <w:spacing w:after="200"/>
              <w:rPr>
                <w:sz w:val="20"/>
                <w:szCs w:val="20"/>
              </w:rPr>
            </w:pPr>
            <w:r w:rsidRPr="00F7263B">
              <w:rPr>
                <w:sz w:val="20"/>
                <w:szCs w:val="20"/>
              </w:rPr>
              <w:t>All audit backlogs cleared for previous years (minimum 5 years back): 3 points.</w:t>
            </w:r>
          </w:p>
        </w:tc>
        <w:tc>
          <w:tcPr>
            <w:tcW w:w="1999" w:type="dxa"/>
          </w:tcPr>
          <w:p w:rsidR="004E5FF1" w:rsidRPr="00F7263B" w:rsidRDefault="004E5FF1" w:rsidP="004E5FF1">
            <w:pPr>
              <w:jc w:val="both"/>
              <w:rPr>
                <w:sz w:val="20"/>
                <w:szCs w:val="20"/>
              </w:rPr>
            </w:pPr>
            <w:r w:rsidRPr="00F7263B">
              <w:rPr>
                <w:sz w:val="20"/>
                <w:szCs w:val="20"/>
              </w:rPr>
              <w:t>Strengthen accountability</w:t>
            </w:r>
          </w:p>
        </w:tc>
        <w:tc>
          <w:tcPr>
            <w:tcW w:w="1232" w:type="dxa"/>
          </w:tcPr>
          <w:p w:rsidR="004E5FF1" w:rsidRPr="00F7263B" w:rsidRDefault="004E5FF1" w:rsidP="004E5FF1">
            <w:pPr>
              <w:jc w:val="both"/>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r w:rsidRPr="00F7263B">
              <w:rPr>
                <w:sz w:val="20"/>
                <w:szCs w:val="20"/>
              </w:rPr>
              <w:t>Existing</w:t>
            </w:r>
          </w:p>
        </w:tc>
      </w:tr>
      <w:tr w:rsidR="004E5FF1" w:rsidRPr="00F7263B">
        <w:tc>
          <w:tcPr>
            <w:tcW w:w="984" w:type="dxa"/>
          </w:tcPr>
          <w:p w:rsidR="004E5FF1" w:rsidRPr="00F7263B" w:rsidRDefault="004E5FF1" w:rsidP="004E5FF1">
            <w:pPr>
              <w:jc w:val="both"/>
              <w:rPr>
                <w:sz w:val="20"/>
                <w:szCs w:val="20"/>
              </w:rPr>
            </w:pPr>
            <w:r w:rsidRPr="00F7263B">
              <w:rPr>
                <w:sz w:val="20"/>
                <w:szCs w:val="20"/>
              </w:rPr>
              <w:t>3.3</w:t>
            </w:r>
          </w:p>
        </w:tc>
        <w:tc>
          <w:tcPr>
            <w:tcW w:w="3724" w:type="dxa"/>
          </w:tcPr>
          <w:p w:rsidR="004E5FF1" w:rsidRPr="00F7263B" w:rsidRDefault="004E5FF1" w:rsidP="004E5FF1">
            <w:pPr>
              <w:jc w:val="both"/>
              <w:rPr>
                <w:sz w:val="20"/>
                <w:szCs w:val="20"/>
              </w:rPr>
            </w:pPr>
            <w:r w:rsidRPr="00F7263B">
              <w:rPr>
                <w:sz w:val="20"/>
                <w:szCs w:val="20"/>
              </w:rPr>
              <w:t>Audit Opinion for the previous audit</w:t>
            </w:r>
          </w:p>
          <w:p w:rsidR="004E5FF1" w:rsidRPr="00F7263B" w:rsidRDefault="004E5FF1" w:rsidP="004E5FF1">
            <w:pPr>
              <w:jc w:val="both"/>
              <w:rPr>
                <w:sz w:val="20"/>
                <w:szCs w:val="20"/>
              </w:rPr>
            </w:pPr>
            <w:r w:rsidRPr="00F7263B">
              <w:rPr>
                <w:sz w:val="20"/>
                <w:szCs w:val="20"/>
              </w:rPr>
              <w:t>(3 points)</w:t>
            </w:r>
          </w:p>
        </w:tc>
        <w:tc>
          <w:tcPr>
            <w:tcW w:w="4166" w:type="dxa"/>
          </w:tcPr>
          <w:p w:rsidR="004E5FF1" w:rsidRPr="00F7263B" w:rsidRDefault="004E5FF1" w:rsidP="004E5FF1">
            <w:pPr>
              <w:pStyle w:val="ListParagraph"/>
              <w:numPr>
                <w:ilvl w:val="0"/>
                <w:numId w:val="55"/>
              </w:numPr>
              <w:spacing w:after="200"/>
              <w:jc w:val="both"/>
              <w:rPr>
                <w:sz w:val="20"/>
                <w:szCs w:val="20"/>
              </w:rPr>
            </w:pPr>
            <w:r w:rsidRPr="00F7263B">
              <w:rPr>
                <w:sz w:val="20"/>
                <w:szCs w:val="20"/>
              </w:rPr>
              <w:t>The audit report from the previous audit has a clean audit opinion: 3 points.</w:t>
            </w:r>
          </w:p>
          <w:p w:rsidR="004E5FF1" w:rsidRPr="00F7263B" w:rsidRDefault="004E5FF1" w:rsidP="004E5FF1">
            <w:pPr>
              <w:jc w:val="both"/>
              <w:rPr>
                <w:sz w:val="20"/>
                <w:szCs w:val="20"/>
              </w:rPr>
            </w:pPr>
          </w:p>
        </w:tc>
        <w:tc>
          <w:tcPr>
            <w:tcW w:w="1999" w:type="dxa"/>
          </w:tcPr>
          <w:p w:rsidR="004E5FF1" w:rsidRPr="00F7263B" w:rsidRDefault="004E5FF1" w:rsidP="004E5FF1">
            <w:pPr>
              <w:jc w:val="both"/>
              <w:rPr>
                <w:sz w:val="20"/>
                <w:szCs w:val="20"/>
              </w:rPr>
            </w:pPr>
            <w:r w:rsidRPr="00F7263B">
              <w:rPr>
                <w:sz w:val="20"/>
                <w:szCs w:val="20"/>
              </w:rPr>
              <w:t>Strengthen accountability</w:t>
            </w:r>
          </w:p>
        </w:tc>
        <w:tc>
          <w:tcPr>
            <w:tcW w:w="1232" w:type="dxa"/>
          </w:tcPr>
          <w:p w:rsidR="004E5FF1" w:rsidRPr="00F7263B" w:rsidRDefault="004E5FF1" w:rsidP="004E5FF1">
            <w:pPr>
              <w:jc w:val="both"/>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r w:rsidRPr="00F7263B">
              <w:rPr>
                <w:sz w:val="20"/>
                <w:szCs w:val="20"/>
              </w:rPr>
              <w:t>New</w:t>
            </w:r>
          </w:p>
        </w:tc>
      </w:tr>
      <w:tr w:rsidR="004E5FF1" w:rsidRPr="00F7263B">
        <w:tc>
          <w:tcPr>
            <w:tcW w:w="984" w:type="dxa"/>
          </w:tcPr>
          <w:p w:rsidR="004E5FF1" w:rsidRPr="00F7263B" w:rsidRDefault="004E5FF1" w:rsidP="004E5FF1">
            <w:pPr>
              <w:jc w:val="both"/>
              <w:rPr>
                <w:sz w:val="20"/>
                <w:szCs w:val="20"/>
              </w:rPr>
            </w:pPr>
            <w:r w:rsidRPr="00F7263B">
              <w:rPr>
                <w:sz w:val="20"/>
                <w:szCs w:val="20"/>
              </w:rPr>
              <w:t>3.4</w:t>
            </w:r>
          </w:p>
        </w:tc>
        <w:tc>
          <w:tcPr>
            <w:tcW w:w="3724" w:type="dxa"/>
          </w:tcPr>
          <w:p w:rsidR="004E5FF1" w:rsidRPr="00F7263B" w:rsidRDefault="004E5FF1" w:rsidP="004E5FF1">
            <w:pPr>
              <w:rPr>
                <w:sz w:val="20"/>
                <w:szCs w:val="20"/>
              </w:rPr>
            </w:pPr>
            <w:r w:rsidRPr="00F7263B">
              <w:rPr>
                <w:sz w:val="20"/>
                <w:szCs w:val="20"/>
              </w:rPr>
              <w:t>Compliance with audit recommendations (2 points)</w:t>
            </w:r>
          </w:p>
        </w:tc>
        <w:tc>
          <w:tcPr>
            <w:tcW w:w="4166" w:type="dxa"/>
          </w:tcPr>
          <w:p w:rsidR="004E5FF1" w:rsidRPr="00F7263B" w:rsidRDefault="004E5FF1" w:rsidP="004E5FF1">
            <w:pPr>
              <w:pStyle w:val="ListParagraph"/>
              <w:numPr>
                <w:ilvl w:val="0"/>
                <w:numId w:val="55"/>
              </w:numPr>
              <w:spacing w:after="200"/>
              <w:rPr>
                <w:sz w:val="20"/>
                <w:szCs w:val="20"/>
              </w:rPr>
            </w:pPr>
            <w:r w:rsidRPr="00F7263B">
              <w:rPr>
                <w:sz w:val="20"/>
                <w:szCs w:val="20"/>
              </w:rPr>
              <w:t xml:space="preserve">Evidence that audit queries raised in the external audit report have been acted upon by the city: Minimum 80 percent of the queries have to be cleared: 2 points. </w:t>
            </w:r>
          </w:p>
        </w:tc>
        <w:tc>
          <w:tcPr>
            <w:tcW w:w="1999" w:type="dxa"/>
          </w:tcPr>
          <w:p w:rsidR="004E5FF1" w:rsidRPr="00F7263B" w:rsidRDefault="004E5FF1" w:rsidP="004E5FF1">
            <w:pPr>
              <w:jc w:val="both"/>
              <w:rPr>
                <w:sz w:val="20"/>
                <w:szCs w:val="20"/>
              </w:rPr>
            </w:pPr>
            <w:r w:rsidRPr="00F7263B">
              <w:rPr>
                <w:sz w:val="20"/>
                <w:szCs w:val="20"/>
              </w:rPr>
              <w:t>Strengthen accountability</w:t>
            </w:r>
          </w:p>
        </w:tc>
        <w:tc>
          <w:tcPr>
            <w:tcW w:w="1232" w:type="dxa"/>
          </w:tcPr>
          <w:p w:rsidR="004E5FF1" w:rsidRPr="00F7263B" w:rsidRDefault="004E5FF1" w:rsidP="004E5FF1">
            <w:pPr>
              <w:jc w:val="both"/>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r w:rsidRPr="00F7263B">
              <w:rPr>
                <w:sz w:val="20"/>
                <w:szCs w:val="20"/>
              </w:rPr>
              <w:t>New (was monitored only)</w:t>
            </w:r>
          </w:p>
        </w:tc>
      </w:tr>
      <w:tr w:rsidR="004E5FF1" w:rsidRPr="00F7263B">
        <w:tc>
          <w:tcPr>
            <w:tcW w:w="984" w:type="dxa"/>
          </w:tcPr>
          <w:p w:rsidR="004E5FF1" w:rsidRPr="00F7263B" w:rsidRDefault="004E5FF1" w:rsidP="004E5FF1">
            <w:pPr>
              <w:jc w:val="both"/>
              <w:rPr>
                <w:sz w:val="20"/>
                <w:szCs w:val="20"/>
              </w:rPr>
            </w:pPr>
            <w:r w:rsidRPr="00F7263B">
              <w:rPr>
                <w:sz w:val="20"/>
                <w:szCs w:val="20"/>
              </w:rPr>
              <w:t>3.5</w:t>
            </w:r>
          </w:p>
        </w:tc>
        <w:tc>
          <w:tcPr>
            <w:tcW w:w="3724" w:type="dxa"/>
          </w:tcPr>
          <w:p w:rsidR="004E5FF1" w:rsidRPr="00F7263B" w:rsidRDefault="004E5FF1" w:rsidP="004E5FF1">
            <w:pPr>
              <w:jc w:val="both"/>
              <w:rPr>
                <w:sz w:val="20"/>
                <w:szCs w:val="20"/>
              </w:rPr>
            </w:pPr>
            <w:r w:rsidRPr="00F7263B">
              <w:rPr>
                <w:sz w:val="20"/>
                <w:szCs w:val="20"/>
              </w:rPr>
              <w:t>Internal audit (3 points)</w:t>
            </w:r>
          </w:p>
        </w:tc>
        <w:tc>
          <w:tcPr>
            <w:tcW w:w="4166" w:type="dxa"/>
          </w:tcPr>
          <w:p w:rsidR="004E5FF1" w:rsidRPr="00F7263B" w:rsidRDefault="004E5FF1" w:rsidP="004E5FF1">
            <w:pPr>
              <w:pStyle w:val="ListParagraph"/>
              <w:numPr>
                <w:ilvl w:val="0"/>
                <w:numId w:val="55"/>
              </w:numPr>
              <w:spacing w:after="200"/>
              <w:rPr>
                <w:sz w:val="20"/>
                <w:szCs w:val="20"/>
              </w:rPr>
            </w:pPr>
            <w:r w:rsidRPr="00F7263B">
              <w:rPr>
                <w:sz w:val="20"/>
                <w:szCs w:val="20"/>
              </w:rPr>
              <w:t xml:space="preserve">Internal audit procedures adherence </w:t>
            </w:r>
            <w:r w:rsidRPr="00F7263B">
              <w:rPr>
                <w:sz w:val="20"/>
                <w:szCs w:val="20"/>
              </w:rPr>
              <w:lastRenderedPageBreak/>
              <w:t>with good practices reflected in: (a) quarterly reports, (b) reporting to mayor, (c), and evidence of follow up on audit findings). (3 points, one point for compliance with each of a, b, c).</w:t>
            </w:r>
          </w:p>
          <w:p w:rsidR="004E5FF1" w:rsidRPr="00F7263B" w:rsidRDefault="004E5FF1" w:rsidP="004E5FF1">
            <w:pPr>
              <w:pStyle w:val="ListParagraph"/>
              <w:rPr>
                <w:sz w:val="20"/>
                <w:szCs w:val="20"/>
              </w:rPr>
            </w:pPr>
          </w:p>
        </w:tc>
        <w:tc>
          <w:tcPr>
            <w:tcW w:w="1999" w:type="dxa"/>
          </w:tcPr>
          <w:p w:rsidR="004E5FF1" w:rsidRPr="00F7263B" w:rsidRDefault="004E5FF1" w:rsidP="004E5FF1">
            <w:pPr>
              <w:jc w:val="both"/>
              <w:rPr>
                <w:sz w:val="20"/>
                <w:szCs w:val="20"/>
              </w:rPr>
            </w:pPr>
            <w:r w:rsidRPr="00F7263B">
              <w:rPr>
                <w:sz w:val="20"/>
                <w:szCs w:val="20"/>
              </w:rPr>
              <w:lastRenderedPageBreak/>
              <w:t xml:space="preserve">Strengthen </w:t>
            </w:r>
            <w:r w:rsidRPr="00F7263B">
              <w:rPr>
                <w:sz w:val="20"/>
                <w:szCs w:val="20"/>
              </w:rPr>
              <w:lastRenderedPageBreak/>
              <w:t>accountability</w:t>
            </w:r>
          </w:p>
        </w:tc>
        <w:tc>
          <w:tcPr>
            <w:tcW w:w="1232" w:type="dxa"/>
          </w:tcPr>
          <w:p w:rsidR="004E5FF1" w:rsidRPr="00F7263B" w:rsidRDefault="004E5FF1" w:rsidP="004E5FF1">
            <w:pPr>
              <w:jc w:val="both"/>
              <w:rPr>
                <w:sz w:val="20"/>
                <w:szCs w:val="20"/>
              </w:rPr>
            </w:pPr>
            <w:r w:rsidRPr="00F7263B">
              <w:rPr>
                <w:sz w:val="20"/>
                <w:szCs w:val="20"/>
              </w:rPr>
              <w:lastRenderedPageBreak/>
              <w:t xml:space="preserve">Pillars 1 and </w:t>
            </w:r>
            <w:r w:rsidRPr="00F7263B">
              <w:rPr>
                <w:sz w:val="20"/>
                <w:szCs w:val="20"/>
              </w:rPr>
              <w:lastRenderedPageBreak/>
              <w:t>3</w:t>
            </w:r>
          </w:p>
        </w:tc>
        <w:tc>
          <w:tcPr>
            <w:tcW w:w="1611" w:type="dxa"/>
          </w:tcPr>
          <w:p w:rsidR="004E5FF1" w:rsidRPr="00F7263B" w:rsidRDefault="004E5FF1" w:rsidP="004E5FF1">
            <w:pPr>
              <w:jc w:val="both"/>
              <w:rPr>
                <w:sz w:val="20"/>
                <w:szCs w:val="20"/>
              </w:rPr>
            </w:pPr>
            <w:r w:rsidRPr="00F7263B">
              <w:rPr>
                <w:sz w:val="20"/>
                <w:szCs w:val="20"/>
              </w:rPr>
              <w:lastRenderedPageBreak/>
              <w:t>New</w:t>
            </w:r>
          </w:p>
        </w:tc>
      </w:tr>
      <w:tr w:rsidR="004E5FF1" w:rsidRPr="00F7263B">
        <w:tc>
          <w:tcPr>
            <w:tcW w:w="984" w:type="dxa"/>
          </w:tcPr>
          <w:p w:rsidR="004E5FF1" w:rsidRPr="00F7263B" w:rsidRDefault="004E5FF1" w:rsidP="004E5FF1">
            <w:pPr>
              <w:jc w:val="both"/>
              <w:rPr>
                <w:b/>
                <w:sz w:val="20"/>
                <w:szCs w:val="20"/>
              </w:rPr>
            </w:pPr>
            <w:r w:rsidRPr="00F7263B">
              <w:rPr>
                <w:b/>
                <w:sz w:val="20"/>
                <w:szCs w:val="20"/>
              </w:rPr>
              <w:lastRenderedPageBreak/>
              <w:t>4</w:t>
            </w:r>
          </w:p>
        </w:tc>
        <w:tc>
          <w:tcPr>
            <w:tcW w:w="3724" w:type="dxa"/>
          </w:tcPr>
          <w:p w:rsidR="004E5FF1" w:rsidRPr="00F7263B" w:rsidRDefault="004E5FF1" w:rsidP="004E5FF1">
            <w:pPr>
              <w:jc w:val="both"/>
              <w:rPr>
                <w:b/>
                <w:sz w:val="20"/>
                <w:szCs w:val="20"/>
              </w:rPr>
            </w:pPr>
            <w:r w:rsidRPr="00F7263B">
              <w:rPr>
                <w:b/>
                <w:sz w:val="20"/>
                <w:szCs w:val="20"/>
              </w:rPr>
              <w:t xml:space="preserve">Procurement </w:t>
            </w:r>
            <w:r w:rsidRPr="00F7263B">
              <w:rPr>
                <w:rStyle w:val="FootnoteReference"/>
                <w:b/>
                <w:sz w:val="20"/>
                <w:szCs w:val="20"/>
              </w:rPr>
              <w:footnoteReference w:id="58"/>
            </w:r>
          </w:p>
          <w:p w:rsidR="004E5FF1" w:rsidRPr="00F7263B" w:rsidRDefault="004E5FF1" w:rsidP="004E5FF1">
            <w:pPr>
              <w:jc w:val="both"/>
              <w:rPr>
                <w:b/>
                <w:sz w:val="20"/>
                <w:szCs w:val="20"/>
              </w:rPr>
            </w:pPr>
            <w:r w:rsidRPr="00F7263B">
              <w:rPr>
                <w:b/>
                <w:sz w:val="20"/>
                <w:szCs w:val="20"/>
              </w:rPr>
              <w:t>(Maximum 15 points)</w:t>
            </w:r>
          </w:p>
        </w:tc>
        <w:tc>
          <w:tcPr>
            <w:tcW w:w="4166" w:type="dxa"/>
          </w:tcPr>
          <w:p w:rsidR="004E5FF1" w:rsidRPr="00F7263B" w:rsidRDefault="004E5FF1" w:rsidP="004E5FF1">
            <w:pPr>
              <w:pStyle w:val="ListParagraph"/>
              <w:keepNext/>
              <w:keepLines/>
              <w:jc w:val="both"/>
              <w:outlineLvl w:val="2"/>
              <w:rPr>
                <w:sz w:val="20"/>
                <w:szCs w:val="20"/>
              </w:rPr>
            </w:pPr>
          </w:p>
        </w:tc>
        <w:tc>
          <w:tcPr>
            <w:tcW w:w="1999" w:type="dxa"/>
          </w:tcPr>
          <w:p w:rsidR="004E5FF1" w:rsidRPr="00F7263B" w:rsidRDefault="004E5FF1" w:rsidP="004E5FF1">
            <w:pPr>
              <w:jc w:val="both"/>
              <w:rPr>
                <w:b/>
                <w:sz w:val="20"/>
                <w:szCs w:val="20"/>
              </w:rPr>
            </w:pPr>
          </w:p>
        </w:tc>
        <w:tc>
          <w:tcPr>
            <w:tcW w:w="1232" w:type="dxa"/>
          </w:tcPr>
          <w:p w:rsidR="004E5FF1" w:rsidRPr="00F7263B" w:rsidRDefault="004E5FF1" w:rsidP="004E5FF1">
            <w:pPr>
              <w:jc w:val="both"/>
              <w:rPr>
                <w:b/>
                <w:sz w:val="20"/>
                <w:szCs w:val="20"/>
              </w:rPr>
            </w:pPr>
          </w:p>
        </w:tc>
        <w:tc>
          <w:tcPr>
            <w:tcW w:w="1611" w:type="dxa"/>
          </w:tcPr>
          <w:p w:rsidR="004E5FF1" w:rsidRPr="00F7263B" w:rsidRDefault="004E5FF1" w:rsidP="004E5FF1">
            <w:pPr>
              <w:jc w:val="both"/>
              <w:rPr>
                <w:b/>
                <w:sz w:val="20"/>
                <w:szCs w:val="20"/>
              </w:rPr>
            </w:pPr>
          </w:p>
        </w:tc>
      </w:tr>
      <w:tr w:rsidR="004E5FF1" w:rsidRPr="00F7263B">
        <w:tc>
          <w:tcPr>
            <w:tcW w:w="984" w:type="dxa"/>
          </w:tcPr>
          <w:p w:rsidR="004E5FF1" w:rsidRPr="00F7263B" w:rsidRDefault="004E5FF1" w:rsidP="004E5FF1">
            <w:pPr>
              <w:jc w:val="both"/>
              <w:rPr>
                <w:sz w:val="20"/>
                <w:szCs w:val="20"/>
              </w:rPr>
            </w:pPr>
            <w:r w:rsidRPr="00F7263B">
              <w:rPr>
                <w:sz w:val="20"/>
                <w:szCs w:val="20"/>
              </w:rPr>
              <w:t>4.1</w:t>
            </w:r>
          </w:p>
        </w:tc>
        <w:tc>
          <w:tcPr>
            <w:tcW w:w="3724" w:type="dxa"/>
          </w:tcPr>
          <w:p w:rsidR="004E5FF1" w:rsidRPr="00F7263B" w:rsidRDefault="004E5FF1" w:rsidP="004E5FF1">
            <w:pPr>
              <w:rPr>
                <w:sz w:val="20"/>
                <w:szCs w:val="20"/>
              </w:rPr>
            </w:pPr>
            <w:r w:rsidRPr="00F7263B">
              <w:rPr>
                <w:sz w:val="20"/>
                <w:szCs w:val="20"/>
              </w:rPr>
              <w:t xml:space="preserve">Annual procurement plans for ULGDP II prepared and its implementation is monitored and updated as required. </w:t>
            </w:r>
          </w:p>
          <w:p w:rsidR="004E5FF1" w:rsidRPr="00F7263B" w:rsidRDefault="004E5FF1" w:rsidP="004E5FF1">
            <w:pPr>
              <w:rPr>
                <w:sz w:val="20"/>
                <w:szCs w:val="20"/>
              </w:rPr>
            </w:pPr>
            <w:r w:rsidRPr="00F7263B">
              <w:rPr>
                <w:sz w:val="20"/>
                <w:szCs w:val="20"/>
              </w:rPr>
              <w:t>(Maximum 3 points)</w:t>
            </w: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rPr>
            </w:pPr>
          </w:p>
          <w:p w:rsidR="004E5FF1" w:rsidRPr="00F7263B" w:rsidRDefault="004E5FF1" w:rsidP="004E5FF1">
            <w:pPr>
              <w:rPr>
                <w:sz w:val="20"/>
                <w:szCs w:val="20"/>
                <w:u w:val="single"/>
              </w:rPr>
            </w:pPr>
          </w:p>
        </w:tc>
        <w:tc>
          <w:tcPr>
            <w:tcW w:w="4166" w:type="dxa"/>
          </w:tcPr>
          <w:p w:rsidR="004E5FF1" w:rsidRPr="00F7263B" w:rsidRDefault="004E5FF1" w:rsidP="004E5FF1">
            <w:pPr>
              <w:pStyle w:val="ListParagraph"/>
              <w:numPr>
                <w:ilvl w:val="0"/>
                <w:numId w:val="55"/>
              </w:numPr>
              <w:spacing w:after="200"/>
              <w:rPr>
                <w:sz w:val="20"/>
                <w:szCs w:val="20"/>
              </w:rPr>
            </w:pPr>
            <w:r w:rsidRPr="00F7263B">
              <w:rPr>
                <w:sz w:val="20"/>
                <w:szCs w:val="20"/>
              </w:rPr>
              <w:t>The procurement plan implementation is monitored and procurement process milestones are achieved: 1 point.</w:t>
            </w:r>
          </w:p>
          <w:p w:rsidR="004E5FF1" w:rsidRPr="00F7263B" w:rsidRDefault="004E5FF1" w:rsidP="004E5FF1">
            <w:pPr>
              <w:pStyle w:val="ListParagraph"/>
              <w:numPr>
                <w:ilvl w:val="0"/>
                <w:numId w:val="55"/>
              </w:numPr>
              <w:spacing w:after="200"/>
              <w:rPr>
                <w:sz w:val="20"/>
                <w:szCs w:val="20"/>
              </w:rPr>
            </w:pPr>
            <w:r w:rsidRPr="00F7263B">
              <w:rPr>
                <w:sz w:val="20"/>
                <w:szCs w:val="20"/>
              </w:rPr>
              <w:t>Procurement plan is up-dated, as required at the point of time for assessment: 2 points.</w:t>
            </w:r>
          </w:p>
          <w:p w:rsidR="004E5FF1" w:rsidRPr="00F7263B" w:rsidRDefault="004E5FF1" w:rsidP="004E5FF1">
            <w:pPr>
              <w:tabs>
                <w:tab w:val="right" w:pos="382"/>
              </w:tabs>
              <w:rPr>
                <w:sz w:val="20"/>
                <w:szCs w:val="20"/>
              </w:rPr>
            </w:pPr>
          </w:p>
        </w:tc>
        <w:tc>
          <w:tcPr>
            <w:tcW w:w="1999" w:type="dxa"/>
          </w:tcPr>
          <w:p w:rsidR="004E5FF1" w:rsidRPr="00F7263B" w:rsidRDefault="004E5FF1" w:rsidP="004E5FF1">
            <w:pPr>
              <w:rPr>
                <w:sz w:val="20"/>
                <w:szCs w:val="20"/>
              </w:rPr>
            </w:pPr>
            <w:r w:rsidRPr="00F7263B">
              <w:rPr>
                <w:sz w:val="20"/>
                <w:szCs w:val="20"/>
              </w:rPr>
              <w:t>Strengthen efficiency and competition in implementation of infrastructure (urban productivity and competiveness)</w:t>
            </w:r>
          </w:p>
        </w:tc>
        <w:tc>
          <w:tcPr>
            <w:tcW w:w="1232" w:type="dxa"/>
          </w:tcPr>
          <w:p w:rsidR="004E5FF1" w:rsidRPr="00F7263B" w:rsidRDefault="004E5FF1" w:rsidP="004E5FF1">
            <w:pPr>
              <w:jc w:val="both"/>
              <w:rPr>
                <w:sz w:val="20"/>
                <w:szCs w:val="20"/>
              </w:rPr>
            </w:pPr>
            <w:r w:rsidRPr="00F7263B">
              <w:rPr>
                <w:sz w:val="20"/>
                <w:szCs w:val="20"/>
              </w:rPr>
              <w:t>Pillar 2</w:t>
            </w:r>
          </w:p>
        </w:tc>
        <w:tc>
          <w:tcPr>
            <w:tcW w:w="1611" w:type="dxa"/>
          </w:tcPr>
          <w:p w:rsidR="004E5FF1" w:rsidRPr="00F7263B" w:rsidRDefault="004E5FF1" w:rsidP="004E5FF1">
            <w:pPr>
              <w:jc w:val="both"/>
              <w:rPr>
                <w:sz w:val="20"/>
                <w:szCs w:val="20"/>
              </w:rPr>
            </w:pPr>
            <w:r w:rsidRPr="00F7263B">
              <w:rPr>
                <w:sz w:val="20"/>
                <w:szCs w:val="20"/>
              </w:rPr>
              <w:t>Existing (modified)</w:t>
            </w:r>
          </w:p>
        </w:tc>
      </w:tr>
      <w:tr w:rsidR="004E5FF1" w:rsidRPr="00F7263B">
        <w:tc>
          <w:tcPr>
            <w:tcW w:w="984" w:type="dxa"/>
          </w:tcPr>
          <w:p w:rsidR="004E5FF1" w:rsidRPr="00F7263B" w:rsidRDefault="004E5FF1" w:rsidP="004E5FF1">
            <w:pPr>
              <w:jc w:val="both"/>
              <w:rPr>
                <w:sz w:val="20"/>
                <w:szCs w:val="20"/>
              </w:rPr>
            </w:pPr>
            <w:r w:rsidRPr="00F7263B">
              <w:rPr>
                <w:sz w:val="20"/>
                <w:szCs w:val="20"/>
              </w:rPr>
              <w:t>4.2</w:t>
            </w:r>
          </w:p>
        </w:tc>
        <w:tc>
          <w:tcPr>
            <w:tcW w:w="3724" w:type="dxa"/>
          </w:tcPr>
          <w:p w:rsidR="004E5FF1" w:rsidRPr="00F7263B" w:rsidRDefault="004E5FF1" w:rsidP="004E5FF1">
            <w:pPr>
              <w:rPr>
                <w:sz w:val="20"/>
                <w:szCs w:val="20"/>
              </w:rPr>
            </w:pPr>
            <w:r w:rsidRPr="00F7263B">
              <w:rPr>
                <w:sz w:val="20"/>
                <w:szCs w:val="20"/>
              </w:rPr>
              <w:t xml:space="preserve">Adherence to procurement procedures and effectiveness of contracts </w:t>
            </w:r>
          </w:p>
          <w:p w:rsidR="004E5FF1" w:rsidRPr="00F7263B" w:rsidRDefault="004E5FF1" w:rsidP="004E5FF1">
            <w:pPr>
              <w:rPr>
                <w:sz w:val="20"/>
                <w:szCs w:val="20"/>
              </w:rPr>
            </w:pPr>
            <w:r w:rsidRPr="00F7263B">
              <w:rPr>
                <w:rFonts w:eastAsiaTheme="minorHAnsi"/>
                <w:sz w:val="20"/>
                <w:szCs w:val="20"/>
                <w:lang w:val="da-DK" w:eastAsia="da-DK"/>
              </w:rPr>
              <w:t>(Maximum 12 points)</w:t>
            </w:r>
          </w:p>
          <w:p w:rsidR="004E5FF1" w:rsidRPr="00F7263B" w:rsidRDefault="004E5FF1" w:rsidP="004E5FF1">
            <w:pPr>
              <w:jc w:val="both"/>
              <w:rPr>
                <w:sz w:val="20"/>
                <w:szCs w:val="20"/>
                <w:u w:val="single"/>
              </w:rPr>
            </w:pPr>
          </w:p>
        </w:tc>
        <w:tc>
          <w:tcPr>
            <w:tcW w:w="4166" w:type="dxa"/>
          </w:tcPr>
          <w:p w:rsidR="004E5FF1" w:rsidRPr="00F7263B" w:rsidRDefault="004E5FF1" w:rsidP="004E5FF1">
            <w:pPr>
              <w:tabs>
                <w:tab w:val="right" w:pos="-248"/>
                <w:tab w:val="right" w:pos="0"/>
              </w:tabs>
              <w:rPr>
                <w:sz w:val="20"/>
                <w:szCs w:val="20"/>
              </w:rPr>
            </w:pPr>
            <w:r w:rsidRPr="00F7263B">
              <w:rPr>
                <w:sz w:val="20"/>
                <w:szCs w:val="20"/>
              </w:rPr>
              <w:t>Based on the review of a sample of procured contracts, the following are assessed as procurement performance indicators (the contract sampling size for review should not be less than 20 percent in each city):</w:t>
            </w:r>
          </w:p>
          <w:p w:rsidR="004E5FF1" w:rsidRPr="00F7263B" w:rsidRDefault="004E5FF1" w:rsidP="004E5FF1">
            <w:pPr>
              <w:pStyle w:val="ListParagraph"/>
              <w:numPr>
                <w:ilvl w:val="0"/>
                <w:numId w:val="43"/>
              </w:numPr>
              <w:tabs>
                <w:tab w:val="right" w:pos="382"/>
              </w:tabs>
              <w:spacing w:after="200"/>
              <w:ind w:left="382"/>
              <w:rPr>
                <w:rFonts w:eastAsia="Times New Roman" w:cs="Times New Roman"/>
                <w:sz w:val="20"/>
                <w:szCs w:val="20"/>
              </w:rPr>
            </w:pPr>
            <w:r w:rsidRPr="00F7263B">
              <w:rPr>
                <w:rFonts w:cs="Times New Roman"/>
                <w:sz w:val="20"/>
                <w:szCs w:val="20"/>
              </w:rPr>
              <w:t>Availability of adequate relevant auditable records on the procurement process; (1 point)</w:t>
            </w:r>
          </w:p>
          <w:p w:rsidR="004E5FF1" w:rsidRPr="00F7263B" w:rsidRDefault="004E5FF1" w:rsidP="004E5FF1">
            <w:pPr>
              <w:pStyle w:val="ListParagraph"/>
              <w:numPr>
                <w:ilvl w:val="0"/>
                <w:numId w:val="43"/>
              </w:numPr>
              <w:tabs>
                <w:tab w:val="right" w:pos="382"/>
              </w:tabs>
              <w:spacing w:after="200"/>
              <w:ind w:left="382"/>
              <w:rPr>
                <w:rFonts w:eastAsia="Times New Roman" w:cs="Times New Roman"/>
                <w:sz w:val="20"/>
                <w:szCs w:val="20"/>
              </w:rPr>
            </w:pPr>
            <w:r w:rsidRPr="00F7263B">
              <w:rPr>
                <w:rFonts w:cs="Times New Roman"/>
                <w:sz w:val="20"/>
                <w:szCs w:val="20"/>
              </w:rPr>
              <w:t xml:space="preserve">All ICB and NCB contracts award published as necessary and </w:t>
            </w:r>
            <w:r w:rsidRPr="00F7263B">
              <w:rPr>
                <w:sz w:val="20"/>
                <w:szCs w:val="20"/>
              </w:rPr>
              <w:t xml:space="preserve">compliance with procurement process and decisions made in accordance with the legal requirements: (11 points) divided on: (a) Procured Goods, </w:t>
            </w:r>
            <w:r w:rsidRPr="00F7263B">
              <w:rPr>
                <w:sz w:val="20"/>
                <w:szCs w:val="20"/>
              </w:rPr>
              <w:lastRenderedPageBreak/>
              <w:t xml:space="preserve">works and services contracts are in the approved PP (1 point); (b) proper advert is made (1 point); (c) correct SBDs are used (1 point); (d) bid floating periods are acceptable (1 point); (e) BER are conducted consistent with requirements of the issued BD (1 point); (f) Evaluation results are announced to bidders and to the general public (1 point) (g) Contracts are awarded to the lowest evaluated bidder within bid validity periods (1 point); (h) procurement complaints, if any, are properly addressed (1 point); (i)contract documents contents are complete (1 point); (j) </w:t>
            </w:r>
            <w:r w:rsidRPr="00F7263B">
              <w:rPr>
                <w:rFonts w:cs="Times New Roman"/>
                <w:sz w:val="20"/>
                <w:szCs w:val="20"/>
              </w:rPr>
              <w:t>timeliness of the procurement/contracting process and decisions are consistent with the procurement plan (1 point); (k) Contracts implemented are according to planned timing and budgets. (1 point).</w:t>
            </w:r>
          </w:p>
        </w:tc>
        <w:tc>
          <w:tcPr>
            <w:tcW w:w="1999" w:type="dxa"/>
          </w:tcPr>
          <w:p w:rsidR="004E5FF1" w:rsidRPr="00F7263B" w:rsidRDefault="004E5FF1" w:rsidP="004E5FF1">
            <w:pPr>
              <w:pStyle w:val="ListParagraph"/>
              <w:numPr>
                <w:ilvl w:val="0"/>
                <w:numId w:val="43"/>
              </w:numPr>
              <w:tabs>
                <w:tab w:val="right" w:pos="382"/>
              </w:tabs>
              <w:spacing w:after="200"/>
              <w:ind w:left="382"/>
              <w:rPr>
                <w:rFonts w:eastAsia="Times New Roman" w:cs="Times New Roman"/>
                <w:sz w:val="20"/>
                <w:szCs w:val="20"/>
              </w:rPr>
            </w:pPr>
            <w:r w:rsidRPr="00F7263B">
              <w:rPr>
                <w:sz w:val="20"/>
                <w:szCs w:val="20"/>
              </w:rPr>
              <w:lastRenderedPageBreak/>
              <w:t xml:space="preserve">Strengthen efficiency and competition in implementation of infrastructure (urban productivity and competiveness) (the first two years, the APA will conduct this assessment, and in the following </w:t>
            </w:r>
            <w:r w:rsidRPr="00F7263B">
              <w:rPr>
                <w:sz w:val="20"/>
                <w:szCs w:val="20"/>
              </w:rPr>
              <w:lastRenderedPageBreak/>
              <w:t>year (3) and onwards, the procurement audit will fit into the results of the APA, using the regional PPA.</w:t>
            </w:r>
          </w:p>
        </w:tc>
        <w:tc>
          <w:tcPr>
            <w:tcW w:w="1232" w:type="dxa"/>
          </w:tcPr>
          <w:p w:rsidR="004E5FF1" w:rsidRPr="00F7263B" w:rsidRDefault="004E5FF1" w:rsidP="004E5FF1">
            <w:pPr>
              <w:jc w:val="both"/>
              <w:rPr>
                <w:sz w:val="20"/>
                <w:szCs w:val="20"/>
              </w:rPr>
            </w:pPr>
            <w:r w:rsidRPr="00F7263B">
              <w:rPr>
                <w:sz w:val="20"/>
                <w:szCs w:val="20"/>
              </w:rPr>
              <w:lastRenderedPageBreak/>
              <w:t>Pillar 2</w:t>
            </w:r>
          </w:p>
        </w:tc>
        <w:tc>
          <w:tcPr>
            <w:tcW w:w="1611" w:type="dxa"/>
          </w:tcPr>
          <w:p w:rsidR="004E5FF1" w:rsidRPr="00F7263B" w:rsidRDefault="004E5FF1" w:rsidP="004E5FF1">
            <w:pPr>
              <w:jc w:val="both"/>
              <w:rPr>
                <w:sz w:val="20"/>
                <w:szCs w:val="20"/>
              </w:rPr>
            </w:pPr>
            <w:r w:rsidRPr="00F7263B">
              <w:rPr>
                <w:sz w:val="20"/>
                <w:szCs w:val="20"/>
              </w:rPr>
              <w:t>Existing (modified)</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Existing</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Existing (partly and modified)</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tc>
      </w:tr>
      <w:tr w:rsidR="004E5FF1" w:rsidRPr="00F7263B">
        <w:tc>
          <w:tcPr>
            <w:tcW w:w="984" w:type="dxa"/>
          </w:tcPr>
          <w:p w:rsidR="004E5FF1" w:rsidRPr="00F7263B" w:rsidRDefault="004E5FF1" w:rsidP="004E5FF1">
            <w:pPr>
              <w:jc w:val="both"/>
              <w:rPr>
                <w:b/>
                <w:sz w:val="20"/>
                <w:szCs w:val="20"/>
              </w:rPr>
            </w:pPr>
            <w:r w:rsidRPr="00F7263B">
              <w:rPr>
                <w:b/>
                <w:sz w:val="20"/>
                <w:szCs w:val="20"/>
              </w:rPr>
              <w:lastRenderedPageBreak/>
              <w:t>5.</w:t>
            </w:r>
          </w:p>
        </w:tc>
        <w:tc>
          <w:tcPr>
            <w:tcW w:w="3724" w:type="dxa"/>
          </w:tcPr>
          <w:p w:rsidR="004E5FF1" w:rsidRPr="00F7263B" w:rsidRDefault="004E5FF1" w:rsidP="004E5FF1">
            <w:pPr>
              <w:rPr>
                <w:b/>
                <w:sz w:val="20"/>
                <w:szCs w:val="20"/>
              </w:rPr>
            </w:pPr>
            <w:r w:rsidRPr="00F7263B">
              <w:rPr>
                <w:b/>
                <w:sz w:val="20"/>
                <w:szCs w:val="20"/>
              </w:rPr>
              <w:t>Own source revenue enhancement</w:t>
            </w:r>
          </w:p>
          <w:p w:rsidR="004E5FF1" w:rsidRPr="00F7263B" w:rsidRDefault="004E5FF1" w:rsidP="004E5FF1">
            <w:pPr>
              <w:rPr>
                <w:b/>
                <w:sz w:val="20"/>
                <w:szCs w:val="20"/>
              </w:rPr>
            </w:pPr>
            <w:r w:rsidRPr="00F7263B">
              <w:rPr>
                <w:b/>
                <w:sz w:val="20"/>
                <w:szCs w:val="20"/>
              </w:rPr>
              <w:t>(Maximum 10 points)</w:t>
            </w:r>
          </w:p>
        </w:tc>
        <w:tc>
          <w:tcPr>
            <w:tcW w:w="4166" w:type="dxa"/>
          </w:tcPr>
          <w:p w:rsidR="004E5FF1" w:rsidRPr="00F7263B" w:rsidRDefault="004E5FF1" w:rsidP="004E5FF1">
            <w:pPr>
              <w:jc w:val="both"/>
              <w:rPr>
                <w:b/>
                <w:sz w:val="20"/>
                <w:szCs w:val="20"/>
              </w:rPr>
            </w:pPr>
          </w:p>
        </w:tc>
        <w:tc>
          <w:tcPr>
            <w:tcW w:w="1999" w:type="dxa"/>
          </w:tcPr>
          <w:p w:rsidR="004E5FF1" w:rsidRPr="00F7263B" w:rsidRDefault="004E5FF1" w:rsidP="004E5FF1">
            <w:pPr>
              <w:jc w:val="both"/>
              <w:rPr>
                <w:b/>
                <w:sz w:val="20"/>
                <w:szCs w:val="20"/>
              </w:rPr>
            </w:pPr>
          </w:p>
        </w:tc>
        <w:tc>
          <w:tcPr>
            <w:tcW w:w="1232" w:type="dxa"/>
          </w:tcPr>
          <w:p w:rsidR="004E5FF1" w:rsidRPr="00F7263B" w:rsidRDefault="004E5FF1" w:rsidP="004E5FF1">
            <w:pPr>
              <w:jc w:val="both"/>
              <w:rPr>
                <w:b/>
                <w:sz w:val="20"/>
                <w:szCs w:val="20"/>
              </w:rPr>
            </w:pPr>
          </w:p>
        </w:tc>
        <w:tc>
          <w:tcPr>
            <w:tcW w:w="1611" w:type="dxa"/>
          </w:tcPr>
          <w:p w:rsidR="004E5FF1" w:rsidRPr="00F7263B" w:rsidRDefault="004E5FF1" w:rsidP="004E5FF1">
            <w:pPr>
              <w:keepNext/>
              <w:keepLines/>
              <w:spacing w:before="200"/>
              <w:jc w:val="both"/>
              <w:outlineLvl w:val="4"/>
              <w:rPr>
                <w:sz w:val="20"/>
                <w:szCs w:val="20"/>
              </w:rPr>
            </w:pPr>
            <w:r w:rsidRPr="00F7263B">
              <w:rPr>
                <w:sz w:val="20"/>
                <w:szCs w:val="20"/>
              </w:rPr>
              <w:t>Note as 5.4 is only relevant from year 2 and 3, other indicators are increased in the first APA proportionally.</w:t>
            </w:r>
          </w:p>
        </w:tc>
      </w:tr>
      <w:tr w:rsidR="004E5FF1" w:rsidRPr="00F7263B">
        <w:trPr>
          <w:trHeight w:val="1174"/>
        </w:trPr>
        <w:tc>
          <w:tcPr>
            <w:tcW w:w="984" w:type="dxa"/>
          </w:tcPr>
          <w:p w:rsidR="004E5FF1" w:rsidRPr="00F7263B" w:rsidRDefault="004E5FF1" w:rsidP="004E5FF1">
            <w:pPr>
              <w:jc w:val="both"/>
              <w:rPr>
                <w:sz w:val="20"/>
                <w:szCs w:val="20"/>
              </w:rPr>
            </w:pPr>
            <w:r w:rsidRPr="00F7263B">
              <w:rPr>
                <w:sz w:val="20"/>
                <w:szCs w:val="20"/>
              </w:rPr>
              <w:t>5.1</w:t>
            </w:r>
          </w:p>
        </w:tc>
        <w:tc>
          <w:tcPr>
            <w:tcW w:w="3724" w:type="dxa"/>
          </w:tcPr>
          <w:p w:rsidR="004E5FF1" w:rsidRPr="00F7263B" w:rsidRDefault="004E5FF1" w:rsidP="004E5FF1">
            <w:pPr>
              <w:rPr>
                <w:sz w:val="20"/>
                <w:szCs w:val="20"/>
              </w:rPr>
            </w:pPr>
            <w:r w:rsidRPr="00F7263B">
              <w:rPr>
                <w:sz w:val="20"/>
                <w:szCs w:val="20"/>
              </w:rPr>
              <w:t>Revenue enhancement plan updated for the most recent year</w:t>
            </w:r>
          </w:p>
          <w:p w:rsidR="004E5FF1" w:rsidRPr="00F7263B" w:rsidRDefault="004E5FF1" w:rsidP="004E5FF1">
            <w:pPr>
              <w:rPr>
                <w:sz w:val="20"/>
                <w:szCs w:val="20"/>
              </w:rPr>
            </w:pPr>
            <w:r w:rsidRPr="00F7263B">
              <w:rPr>
                <w:sz w:val="20"/>
                <w:szCs w:val="20"/>
              </w:rPr>
              <w:t>(Maximum points: 2)</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(Maximum 3 points in the first APA)</w:t>
            </w:r>
          </w:p>
          <w:p w:rsidR="004E5FF1" w:rsidRPr="00F7263B" w:rsidRDefault="004E5FF1" w:rsidP="004E5FF1">
            <w:pPr>
              <w:rPr>
                <w:sz w:val="20"/>
                <w:szCs w:val="20"/>
              </w:rPr>
            </w:pPr>
          </w:p>
        </w:tc>
        <w:tc>
          <w:tcPr>
            <w:tcW w:w="4166" w:type="dxa"/>
          </w:tcPr>
          <w:p w:rsidR="004E5FF1" w:rsidRPr="00F7263B" w:rsidRDefault="004E5FF1" w:rsidP="004E5FF1">
            <w:pPr>
              <w:tabs>
                <w:tab w:val="right" w:pos="202"/>
              </w:tabs>
              <w:jc w:val="both"/>
              <w:rPr>
                <w:sz w:val="20"/>
                <w:szCs w:val="20"/>
              </w:rPr>
            </w:pPr>
          </w:p>
          <w:p w:rsidR="004E5FF1" w:rsidRPr="00F7263B" w:rsidRDefault="004E5FF1" w:rsidP="004E5FF1">
            <w:pPr>
              <w:pStyle w:val="ListParagraph"/>
              <w:numPr>
                <w:ilvl w:val="0"/>
                <w:numId w:val="46"/>
              </w:numPr>
              <w:tabs>
                <w:tab w:val="right" w:pos="202"/>
              </w:tabs>
              <w:spacing w:after="200"/>
              <w:rPr>
                <w:sz w:val="20"/>
                <w:szCs w:val="20"/>
              </w:rPr>
            </w:pPr>
            <w:r w:rsidRPr="00F7263B">
              <w:rPr>
                <w:sz w:val="20"/>
                <w:szCs w:val="20"/>
              </w:rPr>
              <w:t xml:space="preserve">The up-dated revenue enhancement plan will include: (a) city analysis of previous year’s revenue performance with detailed analyses of each main source of revenue including discussion of its revenue potential:  1 point. (2 </w:t>
            </w:r>
            <w:r w:rsidRPr="00F7263B">
              <w:rPr>
                <w:sz w:val="20"/>
                <w:szCs w:val="20"/>
              </w:rPr>
              <w:lastRenderedPageBreak/>
              <w:t>points in the first APA)</w:t>
            </w:r>
          </w:p>
          <w:p w:rsidR="004E5FF1" w:rsidRPr="00F7263B" w:rsidRDefault="004E5FF1" w:rsidP="004E5FF1">
            <w:pPr>
              <w:pStyle w:val="ListParagraph"/>
              <w:numPr>
                <w:ilvl w:val="0"/>
                <w:numId w:val="46"/>
              </w:numPr>
              <w:tabs>
                <w:tab w:val="right" w:pos="202"/>
              </w:tabs>
              <w:spacing w:after="200"/>
              <w:rPr>
                <w:sz w:val="20"/>
                <w:szCs w:val="20"/>
              </w:rPr>
            </w:pPr>
            <w:r w:rsidRPr="00F7263B">
              <w:rPr>
                <w:sz w:val="20"/>
                <w:szCs w:val="20"/>
              </w:rPr>
              <w:t>And (b) city strategies for revenue enhancement: 1 point.</w:t>
            </w:r>
          </w:p>
        </w:tc>
        <w:tc>
          <w:tcPr>
            <w:tcW w:w="1999" w:type="dxa"/>
          </w:tcPr>
          <w:p w:rsidR="004E5FF1" w:rsidRPr="00F7263B" w:rsidRDefault="004E5FF1" w:rsidP="004E5FF1">
            <w:pPr>
              <w:jc w:val="both"/>
              <w:rPr>
                <w:sz w:val="20"/>
                <w:szCs w:val="20"/>
              </w:rPr>
            </w:pPr>
            <w:r w:rsidRPr="00F7263B">
              <w:rPr>
                <w:sz w:val="20"/>
                <w:szCs w:val="20"/>
              </w:rPr>
              <w:lastRenderedPageBreak/>
              <w:t>Proper planning and analysis is a condition for effective targeting of initiatives</w:t>
            </w:r>
          </w:p>
        </w:tc>
        <w:tc>
          <w:tcPr>
            <w:tcW w:w="1232" w:type="dxa"/>
          </w:tcPr>
          <w:p w:rsidR="004E5FF1" w:rsidRPr="00F7263B" w:rsidRDefault="004E5FF1" w:rsidP="004E5FF1">
            <w:pPr>
              <w:jc w:val="both"/>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Existing (partly)</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Existing (partly</w:t>
            </w:r>
          </w:p>
        </w:tc>
      </w:tr>
      <w:tr w:rsidR="004E5FF1" w:rsidRPr="00F7263B">
        <w:tc>
          <w:tcPr>
            <w:tcW w:w="984" w:type="dxa"/>
          </w:tcPr>
          <w:p w:rsidR="004E5FF1" w:rsidRPr="00F7263B" w:rsidRDefault="004E5FF1" w:rsidP="004E5FF1">
            <w:pPr>
              <w:jc w:val="both"/>
              <w:rPr>
                <w:sz w:val="20"/>
                <w:szCs w:val="20"/>
              </w:rPr>
            </w:pPr>
            <w:r w:rsidRPr="00F7263B">
              <w:rPr>
                <w:sz w:val="20"/>
                <w:szCs w:val="20"/>
              </w:rPr>
              <w:lastRenderedPageBreak/>
              <w:t>5.2</w:t>
            </w:r>
          </w:p>
        </w:tc>
        <w:tc>
          <w:tcPr>
            <w:tcW w:w="3724" w:type="dxa"/>
          </w:tcPr>
          <w:p w:rsidR="004E5FF1" w:rsidRPr="00F7263B" w:rsidRDefault="004E5FF1" w:rsidP="004E5FF1">
            <w:pPr>
              <w:rPr>
                <w:sz w:val="20"/>
                <w:szCs w:val="20"/>
              </w:rPr>
            </w:pPr>
            <w:r w:rsidRPr="00F7263B">
              <w:rPr>
                <w:sz w:val="20"/>
                <w:szCs w:val="20"/>
              </w:rPr>
              <w:t xml:space="preserve">Municipal Revenues increase </w:t>
            </w:r>
          </w:p>
          <w:p w:rsidR="004E5FF1" w:rsidRPr="00F7263B" w:rsidRDefault="004E5FF1" w:rsidP="004E5FF1">
            <w:pPr>
              <w:rPr>
                <w:sz w:val="20"/>
                <w:szCs w:val="20"/>
              </w:rPr>
            </w:pPr>
            <w:r w:rsidRPr="00F7263B">
              <w:rPr>
                <w:sz w:val="20"/>
                <w:szCs w:val="20"/>
              </w:rPr>
              <w:t>(Maximum 3 points) (Maximum 4 points in the first APA)</w:t>
            </w:r>
          </w:p>
        </w:tc>
        <w:tc>
          <w:tcPr>
            <w:tcW w:w="4166" w:type="dxa"/>
          </w:tcPr>
          <w:p w:rsidR="004E5FF1" w:rsidRPr="00F7263B" w:rsidRDefault="004E5FF1" w:rsidP="004E5FF1">
            <w:pPr>
              <w:pStyle w:val="ListParagraph"/>
              <w:rPr>
                <w:sz w:val="20"/>
                <w:szCs w:val="20"/>
              </w:rPr>
            </w:pPr>
            <w:r w:rsidRPr="00F7263B">
              <w:rPr>
                <w:sz w:val="20"/>
                <w:szCs w:val="20"/>
              </w:rPr>
              <w:t>Percentage increase of in total municipal revenues from business taxes, municipal rent and charges and fees over previous year: 5-10 percent increase: 1 point; 11-20 percent: 2 points; above 20 percent: 3 points (4 points in the first APA). (nominal increase)</w:t>
            </w:r>
          </w:p>
        </w:tc>
        <w:tc>
          <w:tcPr>
            <w:tcW w:w="1999" w:type="dxa"/>
          </w:tcPr>
          <w:p w:rsidR="004E5FF1" w:rsidRPr="00F7263B" w:rsidRDefault="004E5FF1" w:rsidP="004E5FF1">
            <w:pPr>
              <w:rPr>
                <w:sz w:val="20"/>
                <w:szCs w:val="20"/>
              </w:rPr>
            </w:pPr>
            <w:r w:rsidRPr="00F7263B">
              <w:rPr>
                <w:sz w:val="20"/>
                <w:szCs w:val="20"/>
              </w:rPr>
              <w:t>Promote sustainability, ownership and accountability</w:t>
            </w:r>
          </w:p>
        </w:tc>
        <w:tc>
          <w:tcPr>
            <w:tcW w:w="1232" w:type="dxa"/>
          </w:tcPr>
          <w:p w:rsidR="004E5FF1" w:rsidRPr="00F7263B" w:rsidRDefault="004E5FF1" w:rsidP="004E5FF1">
            <w:pPr>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r w:rsidRPr="00F7263B">
              <w:rPr>
                <w:sz w:val="20"/>
                <w:szCs w:val="20"/>
              </w:rPr>
              <w:t>New</w:t>
            </w:r>
          </w:p>
        </w:tc>
      </w:tr>
      <w:tr w:rsidR="004E5FF1" w:rsidRPr="00F7263B">
        <w:tc>
          <w:tcPr>
            <w:tcW w:w="984" w:type="dxa"/>
          </w:tcPr>
          <w:p w:rsidR="004E5FF1" w:rsidRPr="00F7263B" w:rsidRDefault="004E5FF1" w:rsidP="004E5FF1">
            <w:pPr>
              <w:jc w:val="both"/>
              <w:rPr>
                <w:sz w:val="20"/>
                <w:szCs w:val="20"/>
              </w:rPr>
            </w:pPr>
            <w:r w:rsidRPr="00F7263B">
              <w:rPr>
                <w:sz w:val="20"/>
                <w:szCs w:val="20"/>
              </w:rPr>
              <w:t>5.3</w:t>
            </w:r>
          </w:p>
        </w:tc>
        <w:tc>
          <w:tcPr>
            <w:tcW w:w="3724" w:type="dxa"/>
          </w:tcPr>
          <w:p w:rsidR="004E5FF1" w:rsidRPr="00F7263B" w:rsidRDefault="004E5FF1" w:rsidP="004E5FF1">
            <w:pPr>
              <w:rPr>
                <w:sz w:val="20"/>
                <w:szCs w:val="20"/>
              </w:rPr>
            </w:pPr>
            <w:r w:rsidRPr="00F7263B">
              <w:rPr>
                <w:sz w:val="20"/>
                <w:szCs w:val="20"/>
              </w:rPr>
              <w:t xml:space="preserve">Revenue planning capacity </w:t>
            </w:r>
          </w:p>
          <w:p w:rsidR="004E5FF1" w:rsidRPr="00F7263B" w:rsidRDefault="004E5FF1" w:rsidP="004E5FF1">
            <w:pPr>
              <w:rPr>
                <w:sz w:val="20"/>
                <w:szCs w:val="20"/>
              </w:rPr>
            </w:pPr>
            <w:r w:rsidRPr="00F7263B">
              <w:rPr>
                <w:sz w:val="20"/>
                <w:szCs w:val="20"/>
              </w:rPr>
              <w:t>(Maximum 2 points) (Maximum 3 points in the first APA)</w:t>
            </w:r>
          </w:p>
        </w:tc>
        <w:tc>
          <w:tcPr>
            <w:tcW w:w="4166" w:type="dxa"/>
          </w:tcPr>
          <w:p w:rsidR="004E5FF1" w:rsidRPr="00F7263B" w:rsidRDefault="004E5FF1" w:rsidP="004E5FF1">
            <w:pPr>
              <w:pStyle w:val="ListParagraph"/>
              <w:numPr>
                <w:ilvl w:val="0"/>
                <w:numId w:val="45"/>
              </w:numPr>
              <w:spacing w:after="200"/>
              <w:rPr>
                <w:sz w:val="20"/>
                <w:szCs w:val="20"/>
              </w:rPr>
            </w:pPr>
            <w:r w:rsidRPr="00F7263B">
              <w:rPr>
                <w:sz w:val="20"/>
                <w:szCs w:val="20"/>
              </w:rPr>
              <w:t>Percentage of municipal revenue on business taxes, municipal rent and charges and fees collected against planned target for the previous EFY. (variation less than 5 percent: 2 points (3 points in the first APA), less than 10 percent: 1 point.</w:t>
            </w:r>
          </w:p>
        </w:tc>
        <w:tc>
          <w:tcPr>
            <w:tcW w:w="1999" w:type="dxa"/>
          </w:tcPr>
          <w:p w:rsidR="004E5FF1" w:rsidRPr="00F7263B" w:rsidRDefault="004E5FF1" w:rsidP="004E5FF1">
            <w:pPr>
              <w:rPr>
                <w:sz w:val="20"/>
                <w:szCs w:val="20"/>
              </w:rPr>
            </w:pPr>
            <w:r w:rsidRPr="00F7263B">
              <w:rPr>
                <w:sz w:val="20"/>
                <w:szCs w:val="20"/>
              </w:rPr>
              <w:t>Promote realism in revenue planning and efficiency in collection</w:t>
            </w:r>
          </w:p>
        </w:tc>
        <w:tc>
          <w:tcPr>
            <w:tcW w:w="1232" w:type="dxa"/>
          </w:tcPr>
          <w:p w:rsidR="004E5FF1" w:rsidRPr="00F7263B" w:rsidRDefault="004E5FF1" w:rsidP="004E5FF1">
            <w:pPr>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r w:rsidRPr="00F7263B">
              <w:rPr>
                <w:sz w:val="20"/>
                <w:szCs w:val="20"/>
              </w:rPr>
              <w:t>Existing (but now focus on municipal revenues)</w:t>
            </w:r>
          </w:p>
        </w:tc>
      </w:tr>
      <w:tr w:rsidR="004E5FF1" w:rsidRPr="00F7263B">
        <w:tc>
          <w:tcPr>
            <w:tcW w:w="984" w:type="dxa"/>
          </w:tcPr>
          <w:p w:rsidR="004E5FF1" w:rsidRPr="00F7263B" w:rsidRDefault="004E5FF1" w:rsidP="004E5FF1">
            <w:pPr>
              <w:jc w:val="both"/>
              <w:rPr>
                <w:sz w:val="20"/>
                <w:szCs w:val="20"/>
              </w:rPr>
            </w:pPr>
            <w:r w:rsidRPr="00F7263B">
              <w:rPr>
                <w:sz w:val="20"/>
                <w:szCs w:val="20"/>
              </w:rPr>
              <w:t>5.4</w:t>
            </w:r>
          </w:p>
        </w:tc>
        <w:tc>
          <w:tcPr>
            <w:tcW w:w="3724" w:type="dxa"/>
          </w:tcPr>
          <w:p w:rsidR="004E5FF1" w:rsidRPr="00F7263B" w:rsidRDefault="004E5FF1" w:rsidP="004E5FF1">
            <w:pPr>
              <w:rPr>
                <w:sz w:val="20"/>
                <w:szCs w:val="20"/>
              </w:rPr>
            </w:pPr>
            <w:r w:rsidRPr="00F7263B">
              <w:rPr>
                <w:sz w:val="20"/>
                <w:szCs w:val="20"/>
              </w:rPr>
              <w:t xml:space="preserve">Funding from ULGs </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(Maximum 3 points)</w:t>
            </w:r>
          </w:p>
        </w:tc>
        <w:tc>
          <w:tcPr>
            <w:tcW w:w="4166" w:type="dxa"/>
          </w:tcPr>
          <w:p w:rsidR="004E5FF1" w:rsidRPr="00F7263B" w:rsidRDefault="004E5FF1" w:rsidP="004E5FF1">
            <w:pPr>
              <w:pStyle w:val="ListParagraph"/>
              <w:numPr>
                <w:ilvl w:val="0"/>
                <w:numId w:val="44"/>
              </w:numPr>
              <w:spacing w:after="200"/>
              <w:rPr>
                <w:sz w:val="20"/>
                <w:szCs w:val="20"/>
              </w:rPr>
            </w:pPr>
            <w:r w:rsidRPr="00F7263B">
              <w:rPr>
                <w:sz w:val="20"/>
                <w:szCs w:val="20"/>
              </w:rPr>
              <w:t>ULG contribution level for capital investments above a certain level</w:t>
            </w:r>
          </w:p>
          <w:p w:rsidR="004E5FF1" w:rsidRPr="00F7263B" w:rsidRDefault="004E5FF1" w:rsidP="004E5FF1">
            <w:pPr>
              <w:pStyle w:val="ListParagraph"/>
              <w:numPr>
                <w:ilvl w:val="1"/>
                <w:numId w:val="44"/>
              </w:numPr>
              <w:spacing w:after="200"/>
              <w:rPr>
                <w:sz w:val="20"/>
                <w:szCs w:val="20"/>
              </w:rPr>
            </w:pPr>
            <w:r w:rsidRPr="00F7263B">
              <w:rPr>
                <w:sz w:val="20"/>
                <w:szCs w:val="20"/>
              </w:rPr>
              <w:t xml:space="preserve">More than 10 % for </w:t>
            </w:r>
            <w:r w:rsidRPr="00F7263B">
              <w:rPr>
                <w:sz w:val="20"/>
                <w:szCs w:val="20"/>
                <w:u w:val="single"/>
              </w:rPr>
              <w:t>new ULGDP cities in new (DRS) regions</w:t>
            </w:r>
            <w:r w:rsidRPr="00F7263B">
              <w:rPr>
                <w:sz w:val="20"/>
                <w:szCs w:val="20"/>
              </w:rPr>
              <w:t>, calibrated with 11-20 %: 2 points and above 20%: 3 points;</w:t>
            </w:r>
          </w:p>
          <w:p w:rsidR="004E5FF1" w:rsidRPr="00F7263B" w:rsidRDefault="004E5FF1" w:rsidP="004E5FF1">
            <w:pPr>
              <w:pStyle w:val="ListParagraph"/>
              <w:numPr>
                <w:ilvl w:val="1"/>
                <w:numId w:val="44"/>
              </w:numPr>
              <w:spacing w:after="200"/>
              <w:rPr>
                <w:sz w:val="20"/>
                <w:szCs w:val="20"/>
              </w:rPr>
            </w:pPr>
            <w:r w:rsidRPr="00F7263B">
              <w:rPr>
                <w:sz w:val="20"/>
                <w:szCs w:val="20"/>
              </w:rPr>
              <w:t>More than 20 % for new ULGs in non-DRS regions calibrated with 21-30 %: 2 points, and above 30 % 3 points.</w:t>
            </w:r>
          </w:p>
          <w:p w:rsidR="004E5FF1" w:rsidRPr="00F7263B" w:rsidRDefault="004E5FF1" w:rsidP="004E5FF1">
            <w:pPr>
              <w:pStyle w:val="ListParagraph"/>
              <w:numPr>
                <w:ilvl w:val="1"/>
                <w:numId w:val="44"/>
              </w:numPr>
              <w:spacing w:after="200"/>
              <w:rPr>
                <w:sz w:val="20"/>
                <w:szCs w:val="20"/>
              </w:rPr>
            </w:pPr>
            <w:r w:rsidRPr="00F7263B">
              <w:rPr>
                <w:sz w:val="20"/>
                <w:szCs w:val="20"/>
              </w:rPr>
              <w:t xml:space="preserve">More than 30 % for old ULGDP cities calibrated with 30-40 %: 2 points and above </w:t>
            </w:r>
            <w:r w:rsidRPr="00F7263B">
              <w:rPr>
                <w:sz w:val="20"/>
                <w:szCs w:val="20"/>
              </w:rPr>
              <w:lastRenderedPageBreak/>
              <w:t>40%: 3 points.</w:t>
            </w:r>
          </w:p>
          <w:p w:rsidR="004E5FF1" w:rsidRPr="00F7263B" w:rsidRDefault="004E5FF1" w:rsidP="004E5FF1">
            <w:pPr>
              <w:pStyle w:val="ListParagraph"/>
              <w:numPr>
                <w:ilvl w:val="1"/>
                <w:numId w:val="44"/>
              </w:numPr>
              <w:spacing w:after="200"/>
              <w:rPr>
                <w:sz w:val="20"/>
                <w:szCs w:val="20"/>
              </w:rPr>
            </w:pPr>
            <w:r w:rsidRPr="00F7263B">
              <w:rPr>
                <w:sz w:val="20"/>
                <w:szCs w:val="20"/>
              </w:rPr>
              <w:t xml:space="preserve">More than 50 % for Dire Dawa and Harar calibrated with 51-60 %: 2 points and above 60 % 3 points. </w:t>
            </w:r>
          </w:p>
          <w:p w:rsidR="004E5FF1" w:rsidRPr="00F7263B" w:rsidRDefault="004E5FF1" w:rsidP="004E5FF1">
            <w:pPr>
              <w:rPr>
                <w:i/>
                <w:sz w:val="20"/>
                <w:szCs w:val="20"/>
              </w:rPr>
            </w:pPr>
            <w:r w:rsidRPr="00F7263B">
              <w:rPr>
                <w:i/>
                <w:sz w:val="20"/>
                <w:szCs w:val="20"/>
              </w:rPr>
              <w:t>Transitional arrangement: Only from second assessment (September 2014) (budget allocated), and from the third Assessment in September 2015 (both budget and account figures are checked).</w:t>
            </w:r>
          </w:p>
          <w:p w:rsidR="004E5FF1" w:rsidRPr="00F7263B" w:rsidRDefault="004E5FF1" w:rsidP="004E5FF1">
            <w:pPr>
              <w:rPr>
                <w:i/>
                <w:sz w:val="20"/>
                <w:szCs w:val="20"/>
              </w:rPr>
            </w:pPr>
          </w:p>
          <w:p w:rsidR="004E5FF1" w:rsidRPr="00F7263B" w:rsidRDefault="004E5FF1" w:rsidP="004E5FF1">
            <w:pPr>
              <w:rPr>
                <w:i/>
                <w:sz w:val="20"/>
                <w:szCs w:val="20"/>
              </w:rPr>
            </w:pPr>
            <w:r w:rsidRPr="00F7263B">
              <w:rPr>
                <w:i/>
                <w:sz w:val="20"/>
                <w:szCs w:val="20"/>
              </w:rPr>
              <w:t>In the first assessment, the other indicators (5.1-5.3) will be increased to 5.1: 3 points, 5.2: 4 points and 5.3: 3 points)</w:t>
            </w:r>
          </w:p>
          <w:p w:rsidR="004E5FF1" w:rsidRPr="00F7263B" w:rsidRDefault="004E5FF1" w:rsidP="004E5FF1">
            <w:pPr>
              <w:rPr>
                <w:i/>
                <w:sz w:val="20"/>
                <w:szCs w:val="20"/>
              </w:rPr>
            </w:pPr>
          </w:p>
        </w:tc>
        <w:tc>
          <w:tcPr>
            <w:tcW w:w="1999" w:type="dxa"/>
          </w:tcPr>
          <w:p w:rsidR="004E5FF1" w:rsidRPr="00F7263B" w:rsidRDefault="004E5FF1" w:rsidP="004E5FF1">
            <w:pPr>
              <w:rPr>
                <w:sz w:val="20"/>
                <w:szCs w:val="20"/>
              </w:rPr>
            </w:pPr>
            <w:r w:rsidRPr="00F7263B">
              <w:rPr>
                <w:sz w:val="20"/>
                <w:szCs w:val="20"/>
              </w:rPr>
              <w:lastRenderedPageBreak/>
              <w:t>Promote sustainability, ownership and accountability</w:t>
            </w:r>
          </w:p>
        </w:tc>
        <w:tc>
          <w:tcPr>
            <w:tcW w:w="1232" w:type="dxa"/>
          </w:tcPr>
          <w:p w:rsidR="004E5FF1" w:rsidRPr="00F7263B" w:rsidRDefault="004E5FF1" w:rsidP="004E5FF1">
            <w:pPr>
              <w:jc w:val="both"/>
              <w:rPr>
                <w:sz w:val="20"/>
                <w:szCs w:val="20"/>
              </w:rPr>
            </w:pPr>
            <w:r w:rsidRPr="00F7263B">
              <w:rPr>
                <w:sz w:val="20"/>
                <w:szCs w:val="20"/>
              </w:rPr>
              <w:t>Pillars 1 and 3</w:t>
            </w:r>
          </w:p>
        </w:tc>
        <w:tc>
          <w:tcPr>
            <w:tcW w:w="1611" w:type="dxa"/>
          </w:tcPr>
          <w:p w:rsidR="004E5FF1" w:rsidRPr="00F7263B" w:rsidRDefault="004E5FF1" w:rsidP="004E5FF1">
            <w:pPr>
              <w:jc w:val="both"/>
              <w:rPr>
                <w:sz w:val="20"/>
                <w:szCs w:val="20"/>
              </w:rPr>
            </w:pPr>
            <w:r w:rsidRPr="00F7263B">
              <w:rPr>
                <w:sz w:val="20"/>
                <w:szCs w:val="20"/>
              </w:rPr>
              <w:t>New</w:t>
            </w:r>
          </w:p>
        </w:tc>
      </w:tr>
      <w:tr w:rsidR="004E5FF1" w:rsidRPr="00F7263B">
        <w:tc>
          <w:tcPr>
            <w:tcW w:w="984" w:type="dxa"/>
          </w:tcPr>
          <w:p w:rsidR="004E5FF1" w:rsidRPr="00F7263B" w:rsidRDefault="004E5FF1" w:rsidP="004E5FF1">
            <w:pPr>
              <w:jc w:val="both"/>
              <w:rPr>
                <w:b/>
                <w:sz w:val="20"/>
                <w:szCs w:val="20"/>
              </w:rPr>
            </w:pPr>
            <w:r w:rsidRPr="00F7263B">
              <w:rPr>
                <w:b/>
                <w:sz w:val="20"/>
                <w:szCs w:val="20"/>
              </w:rPr>
              <w:lastRenderedPageBreak/>
              <w:t>6</w:t>
            </w:r>
          </w:p>
        </w:tc>
        <w:tc>
          <w:tcPr>
            <w:tcW w:w="3724" w:type="dxa"/>
          </w:tcPr>
          <w:p w:rsidR="004E5FF1" w:rsidRPr="00F7263B" w:rsidRDefault="004E5FF1" w:rsidP="004E5FF1">
            <w:pPr>
              <w:rPr>
                <w:b/>
                <w:sz w:val="20"/>
                <w:szCs w:val="20"/>
              </w:rPr>
            </w:pPr>
            <w:r w:rsidRPr="00F7263B">
              <w:rPr>
                <w:b/>
                <w:sz w:val="20"/>
                <w:szCs w:val="20"/>
              </w:rPr>
              <w:t>Accountability and transparency</w:t>
            </w:r>
          </w:p>
          <w:p w:rsidR="004E5FF1" w:rsidRPr="00F7263B" w:rsidRDefault="004E5FF1" w:rsidP="004E5FF1">
            <w:pPr>
              <w:rPr>
                <w:b/>
                <w:sz w:val="20"/>
                <w:szCs w:val="20"/>
              </w:rPr>
            </w:pPr>
            <w:r w:rsidRPr="00F7263B">
              <w:rPr>
                <w:b/>
                <w:sz w:val="20"/>
                <w:szCs w:val="20"/>
              </w:rPr>
              <w:t>(Maximum 15 points)</w:t>
            </w:r>
          </w:p>
        </w:tc>
        <w:tc>
          <w:tcPr>
            <w:tcW w:w="4166" w:type="dxa"/>
          </w:tcPr>
          <w:p w:rsidR="004E5FF1" w:rsidRPr="00F7263B" w:rsidRDefault="004E5FF1" w:rsidP="004E5FF1">
            <w:pPr>
              <w:rPr>
                <w:b/>
                <w:sz w:val="20"/>
                <w:szCs w:val="20"/>
                <w:u w:val="single"/>
              </w:rPr>
            </w:pPr>
          </w:p>
        </w:tc>
        <w:tc>
          <w:tcPr>
            <w:tcW w:w="1999" w:type="dxa"/>
          </w:tcPr>
          <w:p w:rsidR="004E5FF1" w:rsidRPr="00F7263B" w:rsidRDefault="004E5FF1" w:rsidP="004E5FF1">
            <w:pPr>
              <w:jc w:val="both"/>
              <w:rPr>
                <w:b/>
                <w:sz w:val="20"/>
                <w:szCs w:val="20"/>
              </w:rPr>
            </w:pPr>
          </w:p>
        </w:tc>
        <w:tc>
          <w:tcPr>
            <w:tcW w:w="1232" w:type="dxa"/>
          </w:tcPr>
          <w:p w:rsidR="004E5FF1" w:rsidRPr="00F7263B" w:rsidRDefault="004E5FF1" w:rsidP="004E5FF1">
            <w:pPr>
              <w:jc w:val="both"/>
              <w:rPr>
                <w:b/>
                <w:sz w:val="20"/>
                <w:szCs w:val="20"/>
              </w:rPr>
            </w:pPr>
          </w:p>
        </w:tc>
        <w:tc>
          <w:tcPr>
            <w:tcW w:w="1611" w:type="dxa"/>
          </w:tcPr>
          <w:p w:rsidR="004E5FF1" w:rsidRPr="00F7263B" w:rsidRDefault="004E5FF1" w:rsidP="004E5FF1">
            <w:pPr>
              <w:jc w:val="both"/>
              <w:rPr>
                <w:b/>
                <w:sz w:val="20"/>
                <w:szCs w:val="20"/>
              </w:rPr>
            </w:pPr>
          </w:p>
        </w:tc>
      </w:tr>
      <w:tr w:rsidR="004E5FF1" w:rsidRPr="00F7263B">
        <w:tc>
          <w:tcPr>
            <w:tcW w:w="984" w:type="dxa"/>
          </w:tcPr>
          <w:p w:rsidR="004E5FF1" w:rsidRPr="00F7263B" w:rsidRDefault="004E5FF1" w:rsidP="004E5FF1">
            <w:pPr>
              <w:jc w:val="both"/>
              <w:rPr>
                <w:sz w:val="20"/>
                <w:szCs w:val="20"/>
              </w:rPr>
            </w:pPr>
            <w:r w:rsidRPr="00F7263B">
              <w:rPr>
                <w:sz w:val="20"/>
                <w:szCs w:val="20"/>
              </w:rPr>
              <w:t>6.1</w:t>
            </w:r>
          </w:p>
        </w:tc>
        <w:tc>
          <w:tcPr>
            <w:tcW w:w="3724" w:type="dxa"/>
          </w:tcPr>
          <w:p w:rsidR="004E5FF1" w:rsidRPr="00F7263B" w:rsidRDefault="004E5FF1" w:rsidP="004E5FF1">
            <w:pPr>
              <w:rPr>
                <w:sz w:val="20"/>
                <w:szCs w:val="20"/>
              </w:rPr>
            </w:pPr>
            <w:r w:rsidRPr="00F7263B">
              <w:rPr>
                <w:sz w:val="20"/>
                <w:szCs w:val="20"/>
              </w:rPr>
              <w:t>Accountability and transparency in city’ operations and service delivery</w:t>
            </w:r>
          </w:p>
          <w:p w:rsidR="004E5FF1" w:rsidRPr="00F7263B" w:rsidRDefault="004E5FF1" w:rsidP="004E5FF1">
            <w:pPr>
              <w:rPr>
                <w:sz w:val="20"/>
                <w:szCs w:val="20"/>
              </w:rPr>
            </w:pPr>
            <w:r w:rsidRPr="00F7263B">
              <w:rPr>
                <w:sz w:val="20"/>
                <w:szCs w:val="20"/>
              </w:rPr>
              <w:t>(Maximum points: 15)</w:t>
            </w:r>
          </w:p>
        </w:tc>
        <w:tc>
          <w:tcPr>
            <w:tcW w:w="4166" w:type="dxa"/>
          </w:tcPr>
          <w:p w:rsidR="004E5FF1" w:rsidRPr="00F7263B" w:rsidRDefault="004E5FF1" w:rsidP="004E5FF1">
            <w:pPr>
              <w:pStyle w:val="ListParagraph"/>
              <w:numPr>
                <w:ilvl w:val="0"/>
                <w:numId w:val="47"/>
              </w:numPr>
              <w:spacing w:after="200"/>
              <w:rPr>
                <w:sz w:val="20"/>
                <w:szCs w:val="20"/>
              </w:rPr>
            </w:pPr>
            <w:r w:rsidRPr="00F7263B">
              <w:rPr>
                <w:sz w:val="20"/>
                <w:szCs w:val="20"/>
              </w:rPr>
              <w:t>City has identified the top three basic municipal services, and prepared a standard for delivery along with citizen charter and published this ( Yes/NO  ==6 points) This indicator will be used only for the first year of the program.</w:t>
            </w:r>
          </w:p>
          <w:p w:rsidR="004E5FF1" w:rsidRPr="00F7263B" w:rsidRDefault="004E5FF1" w:rsidP="004E5FF1">
            <w:pPr>
              <w:pStyle w:val="ListParagraph"/>
              <w:spacing w:after="200"/>
              <w:rPr>
                <w:sz w:val="20"/>
                <w:szCs w:val="20"/>
              </w:rPr>
            </w:pPr>
          </w:p>
          <w:p w:rsidR="004E5FF1" w:rsidRPr="00F7263B" w:rsidRDefault="004E5FF1" w:rsidP="004E5FF1">
            <w:pPr>
              <w:pStyle w:val="ListParagraph"/>
              <w:numPr>
                <w:ilvl w:val="0"/>
                <w:numId w:val="47"/>
              </w:numPr>
              <w:spacing w:after="200"/>
              <w:outlineLvl w:val="2"/>
              <w:rPr>
                <w:sz w:val="20"/>
                <w:szCs w:val="20"/>
              </w:rPr>
            </w:pPr>
            <w:r w:rsidRPr="00F7263B">
              <w:rPr>
                <w:sz w:val="20"/>
                <w:szCs w:val="20"/>
              </w:rPr>
              <w:t>Is municipal service delivery as per the standard and citizen charter? ( Yes/No  6= points). This will be as of the 2</w:t>
            </w:r>
            <w:r w:rsidRPr="00F7263B">
              <w:rPr>
                <w:sz w:val="20"/>
                <w:szCs w:val="20"/>
                <w:vertAlign w:val="superscript"/>
              </w:rPr>
              <w:t>nd</w:t>
            </w:r>
            <w:r w:rsidRPr="00F7263B">
              <w:rPr>
                <w:sz w:val="20"/>
                <w:szCs w:val="20"/>
              </w:rPr>
              <w:t xml:space="preserve"> year of the program.</w:t>
            </w:r>
          </w:p>
          <w:p w:rsidR="004E5FF1" w:rsidRPr="00F7263B" w:rsidRDefault="004E5FF1" w:rsidP="004E5FF1">
            <w:pPr>
              <w:pStyle w:val="ListParagraph"/>
              <w:spacing w:after="200"/>
              <w:rPr>
                <w:sz w:val="20"/>
                <w:szCs w:val="20"/>
              </w:rPr>
            </w:pPr>
          </w:p>
          <w:p w:rsidR="004E5FF1" w:rsidRPr="00F7263B" w:rsidRDefault="004E5FF1" w:rsidP="004E5FF1">
            <w:pPr>
              <w:pStyle w:val="ListParagraph"/>
              <w:numPr>
                <w:ilvl w:val="0"/>
                <w:numId w:val="47"/>
              </w:numPr>
              <w:spacing w:after="200"/>
              <w:rPr>
                <w:sz w:val="20"/>
                <w:szCs w:val="20"/>
              </w:rPr>
            </w:pPr>
            <w:r w:rsidRPr="00F7263B">
              <w:rPr>
                <w:sz w:val="20"/>
                <w:szCs w:val="20"/>
              </w:rPr>
              <w:t xml:space="preserve">Dissemination of summary of annual budgets, approved projects, expenditures, audited accounts and results of the procurement decisions in city offices and other public places, or </w:t>
            </w:r>
            <w:r w:rsidRPr="00F7263B">
              <w:rPr>
                <w:sz w:val="20"/>
                <w:szCs w:val="20"/>
              </w:rPr>
              <w:lastRenderedPageBreak/>
              <w:t>web-pages, newspapers etc.: 6 points.</w:t>
            </w:r>
          </w:p>
          <w:p w:rsidR="004E5FF1" w:rsidRPr="00F7263B" w:rsidRDefault="004E5FF1" w:rsidP="004E5FF1">
            <w:pPr>
              <w:pStyle w:val="ListParagraph"/>
              <w:numPr>
                <w:ilvl w:val="0"/>
                <w:numId w:val="47"/>
              </w:numPr>
              <w:spacing w:after="200"/>
              <w:rPr>
                <w:sz w:val="20"/>
                <w:szCs w:val="20"/>
              </w:rPr>
            </w:pPr>
            <w:r w:rsidRPr="00F7263B">
              <w:rPr>
                <w:sz w:val="20"/>
                <w:szCs w:val="20"/>
              </w:rPr>
              <w:t>Timely submission of quarterly physical progress reports: 3 points.</w:t>
            </w:r>
          </w:p>
          <w:p w:rsidR="004E5FF1" w:rsidRPr="00F7263B" w:rsidRDefault="004E5FF1" w:rsidP="004E5FF1">
            <w:pPr>
              <w:pStyle w:val="ListParagraph"/>
              <w:spacing w:after="200"/>
              <w:rPr>
                <w:sz w:val="20"/>
                <w:szCs w:val="20"/>
              </w:rPr>
            </w:pPr>
          </w:p>
        </w:tc>
        <w:tc>
          <w:tcPr>
            <w:tcW w:w="1999" w:type="dxa"/>
          </w:tcPr>
          <w:p w:rsidR="004E5FF1" w:rsidRPr="00F7263B" w:rsidRDefault="004E5FF1" w:rsidP="004E5FF1">
            <w:pPr>
              <w:jc w:val="both"/>
              <w:rPr>
                <w:sz w:val="20"/>
                <w:szCs w:val="20"/>
              </w:rPr>
            </w:pPr>
            <w:r w:rsidRPr="00F7263B">
              <w:rPr>
                <w:sz w:val="20"/>
                <w:szCs w:val="20"/>
              </w:rPr>
              <w:lastRenderedPageBreak/>
              <w:t>Strengthen accountability and good governance</w:t>
            </w:r>
          </w:p>
        </w:tc>
        <w:tc>
          <w:tcPr>
            <w:tcW w:w="1232" w:type="dxa"/>
          </w:tcPr>
          <w:p w:rsidR="004E5FF1" w:rsidRPr="00F7263B" w:rsidRDefault="004E5FF1" w:rsidP="004E5FF1">
            <w:pPr>
              <w:jc w:val="both"/>
              <w:rPr>
                <w:sz w:val="20"/>
                <w:szCs w:val="20"/>
              </w:rPr>
            </w:pPr>
            <w:r w:rsidRPr="00F7263B">
              <w:rPr>
                <w:sz w:val="20"/>
                <w:szCs w:val="20"/>
              </w:rPr>
              <w:t>Pillar 3</w:t>
            </w:r>
          </w:p>
        </w:tc>
        <w:tc>
          <w:tcPr>
            <w:tcW w:w="1611" w:type="dxa"/>
          </w:tcPr>
          <w:p w:rsidR="004E5FF1" w:rsidRPr="00F7263B" w:rsidRDefault="004E5FF1" w:rsidP="004E5FF1">
            <w:pPr>
              <w:jc w:val="both"/>
              <w:rPr>
                <w:sz w:val="20"/>
                <w:szCs w:val="20"/>
              </w:rPr>
            </w:pPr>
            <w:r w:rsidRPr="00F7263B">
              <w:rPr>
                <w:sz w:val="20"/>
                <w:szCs w:val="20"/>
              </w:rPr>
              <w:t>Existing (but strengthen availability of information on service information)</w:t>
            </w: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Existing</w:t>
            </w:r>
          </w:p>
        </w:tc>
      </w:tr>
      <w:tr w:rsidR="004E5FF1" w:rsidRPr="00F7263B">
        <w:tc>
          <w:tcPr>
            <w:tcW w:w="984" w:type="dxa"/>
          </w:tcPr>
          <w:p w:rsidR="004E5FF1" w:rsidRPr="00F7263B" w:rsidRDefault="004E5FF1" w:rsidP="004E5FF1">
            <w:pPr>
              <w:jc w:val="both"/>
              <w:rPr>
                <w:b/>
                <w:sz w:val="20"/>
                <w:szCs w:val="20"/>
              </w:rPr>
            </w:pPr>
            <w:r w:rsidRPr="00F7263B">
              <w:rPr>
                <w:b/>
                <w:sz w:val="20"/>
                <w:szCs w:val="20"/>
              </w:rPr>
              <w:lastRenderedPageBreak/>
              <w:t>7</w:t>
            </w:r>
          </w:p>
        </w:tc>
        <w:tc>
          <w:tcPr>
            <w:tcW w:w="3724" w:type="dxa"/>
          </w:tcPr>
          <w:p w:rsidR="004E5FF1" w:rsidRPr="00F7263B" w:rsidRDefault="004E5FF1" w:rsidP="004E5FF1">
            <w:pPr>
              <w:rPr>
                <w:b/>
                <w:sz w:val="20"/>
                <w:szCs w:val="20"/>
              </w:rPr>
            </w:pPr>
            <w:r w:rsidRPr="00F7263B">
              <w:rPr>
                <w:b/>
                <w:sz w:val="20"/>
                <w:szCs w:val="20"/>
              </w:rPr>
              <w:t>Environment and social Safeguards</w:t>
            </w:r>
          </w:p>
          <w:p w:rsidR="004E5FF1" w:rsidRPr="00F7263B" w:rsidRDefault="004E5FF1" w:rsidP="004E5FF1">
            <w:pPr>
              <w:rPr>
                <w:b/>
                <w:sz w:val="20"/>
                <w:szCs w:val="20"/>
              </w:rPr>
            </w:pPr>
            <w:r w:rsidRPr="00F7263B">
              <w:rPr>
                <w:b/>
                <w:sz w:val="20"/>
                <w:szCs w:val="20"/>
              </w:rPr>
              <w:t>(Maximum 10 points)</w:t>
            </w:r>
          </w:p>
        </w:tc>
        <w:tc>
          <w:tcPr>
            <w:tcW w:w="4166" w:type="dxa"/>
          </w:tcPr>
          <w:p w:rsidR="004E5FF1" w:rsidRPr="00F7263B" w:rsidRDefault="004E5FF1" w:rsidP="004E5FF1">
            <w:pPr>
              <w:rPr>
                <w:b/>
                <w:sz w:val="20"/>
                <w:szCs w:val="20"/>
              </w:rPr>
            </w:pPr>
          </w:p>
        </w:tc>
        <w:tc>
          <w:tcPr>
            <w:tcW w:w="1999" w:type="dxa"/>
          </w:tcPr>
          <w:p w:rsidR="004E5FF1" w:rsidRPr="00F7263B" w:rsidRDefault="004E5FF1" w:rsidP="004E5FF1">
            <w:pPr>
              <w:jc w:val="both"/>
              <w:rPr>
                <w:b/>
                <w:sz w:val="20"/>
                <w:szCs w:val="20"/>
              </w:rPr>
            </w:pPr>
          </w:p>
        </w:tc>
        <w:tc>
          <w:tcPr>
            <w:tcW w:w="1232" w:type="dxa"/>
          </w:tcPr>
          <w:p w:rsidR="004E5FF1" w:rsidRPr="00F7263B" w:rsidRDefault="004E5FF1" w:rsidP="004E5FF1">
            <w:pPr>
              <w:jc w:val="both"/>
              <w:rPr>
                <w:b/>
                <w:sz w:val="20"/>
                <w:szCs w:val="20"/>
              </w:rPr>
            </w:pPr>
          </w:p>
        </w:tc>
        <w:tc>
          <w:tcPr>
            <w:tcW w:w="1611" w:type="dxa"/>
          </w:tcPr>
          <w:p w:rsidR="004E5FF1" w:rsidRPr="00F7263B" w:rsidRDefault="004E5FF1" w:rsidP="004E5FF1">
            <w:pPr>
              <w:jc w:val="both"/>
              <w:rPr>
                <w:b/>
                <w:sz w:val="20"/>
                <w:szCs w:val="20"/>
              </w:rPr>
            </w:pPr>
          </w:p>
        </w:tc>
      </w:tr>
      <w:tr w:rsidR="004E5FF1" w:rsidRPr="00F7263B">
        <w:tc>
          <w:tcPr>
            <w:tcW w:w="984" w:type="dxa"/>
          </w:tcPr>
          <w:p w:rsidR="004E5FF1" w:rsidRPr="00F7263B" w:rsidRDefault="004E5FF1" w:rsidP="004E5FF1">
            <w:pPr>
              <w:jc w:val="both"/>
              <w:rPr>
                <w:sz w:val="20"/>
                <w:szCs w:val="20"/>
              </w:rPr>
            </w:pPr>
            <w:r w:rsidRPr="00F7263B">
              <w:rPr>
                <w:sz w:val="20"/>
                <w:szCs w:val="20"/>
              </w:rPr>
              <w:t>7.1</w:t>
            </w:r>
          </w:p>
        </w:tc>
        <w:tc>
          <w:tcPr>
            <w:tcW w:w="3724" w:type="dxa"/>
          </w:tcPr>
          <w:p w:rsidR="004E5FF1" w:rsidRPr="00F7263B" w:rsidRDefault="004E5FF1" w:rsidP="004E5FF1">
            <w:pPr>
              <w:rPr>
                <w:sz w:val="20"/>
                <w:szCs w:val="20"/>
              </w:rPr>
            </w:pPr>
            <w:r w:rsidRPr="00F7263B">
              <w:rPr>
                <w:sz w:val="20"/>
                <w:szCs w:val="20"/>
              </w:rPr>
              <w:t>Eligible investments for potential environmental and social safeguard impacts screened</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 xml:space="preserve">(Maximum points: 6 points) </w:t>
            </w:r>
          </w:p>
        </w:tc>
        <w:tc>
          <w:tcPr>
            <w:tcW w:w="4166" w:type="dxa"/>
          </w:tcPr>
          <w:p w:rsidR="004E5FF1" w:rsidRPr="00F7263B" w:rsidRDefault="004E5FF1" w:rsidP="004E5FF1">
            <w:pPr>
              <w:pStyle w:val="ListParagraph"/>
              <w:numPr>
                <w:ilvl w:val="0"/>
                <w:numId w:val="48"/>
              </w:numPr>
              <w:spacing w:after="200"/>
              <w:rPr>
                <w:sz w:val="20"/>
                <w:szCs w:val="20"/>
              </w:rPr>
            </w:pPr>
            <w:r w:rsidRPr="00F7263B">
              <w:rPr>
                <w:sz w:val="20"/>
                <w:szCs w:val="20"/>
              </w:rPr>
              <w:t>All capital projects in the previous FY screened against the set of environment and social criteria in the planning stage: 3 points.</w:t>
            </w:r>
          </w:p>
          <w:p w:rsidR="004E5FF1" w:rsidRPr="00F7263B" w:rsidRDefault="004E5FF1" w:rsidP="004E5FF1">
            <w:pPr>
              <w:pStyle w:val="ListParagraph"/>
              <w:numPr>
                <w:ilvl w:val="0"/>
                <w:numId w:val="48"/>
              </w:numPr>
              <w:spacing w:after="200"/>
              <w:rPr>
                <w:sz w:val="20"/>
                <w:szCs w:val="20"/>
              </w:rPr>
            </w:pPr>
            <w:r w:rsidRPr="00F7263B">
              <w:rPr>
                <w:rFonts w:cs="Times New Roman"/>
                <w:sz w:val="20"/>
                <w:szCs w:val="20"/>
              </w:rPr>
              <w:t>Environmental and social impact assessments</w:t>
            </w:r>
            <w:r w:rsidRPr="00F7263B">
              <w:rPr>
                <w:sz w:val="20"/>
                <w:szCs w:val="20"/>
              </w:rPr>
              <w:t>, Environmental Management Plans (EMP) and Resettlement Action Plans (RAP) prepared and approved by the Regional Environmental Protection Agency   as required (based on a sample review of projects): 3 points.</w:t>
            </w:r>
          </w:p>
        </w:tc>
        <w:tc>
          <w:tcPr>
            <w:tcW w:w="1999" w:type="dxa"/>
          </w:tcPr>
          <w:p w:rsidR="004E5FF1" w:rsidRPr="00F7263B" w:rsidRDefault="004E5FF1" w:rsidP="004E5FF1">
            <w:pPr>
              <w:jc w:val="both"/>
              <w:rPr>
                <w:sz w:val="20"/>
                <w:szCs w:val="20"/>
              </w:rPr>
            </w:pPr>
            <w:r w:rsidRPr="00F7263B">
              <w:rPr>
                <w:sz w:val="20"/>
                <w:szCs w:val="20"/>
              </w:rPr>
              <w:t xml:space="preserve">Avoid adverse environmental and social impact </w:t>
            </w: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 xml:space="preserve">Promote environmental and social sustainability </w:t>
            </w:r>
          </w:p>
          <w:p w:rsidR="004E5FF1" w:rsidRPr="00F7263B" w:rsidRDefault="004E5FF1" w:rsidP="004E5FF1">
            <w:pPr>
              <w:jc w:val="both"/>
              <w:rPr>
                <w:sz w:val="20"/>
                <w:szCs w:val="20"/>
              </w:rPr>
            </w:pPr>
          </w:p>
          <w:p w:rsidR="004E5FF1" w:rsidRPr="00F7263B" w:rsidRDefault="004E5FF1" w:rsidP="004E5FF1">
            <w:pPr>
              <w:rPr>
                <w:sz w:val="20"/>
                <w:szCs w:val="20"/>
              </w:rPr>
            </w:pPr>
          </w:p>
        </w:tc>
        <w:tc>
          <w:tcPr>
            <w:tcW w:w="1232" w:type="dxa"/>
          </w:tcPr>
          <w:p w:rsidR="004E5FF1" w:rsidRPr="00F7263B" w:rsidRDefault="004E5FF1" w:rsidP="004E5FF1">
            <w:pPr>
              <w:jc w:val="both"/>
              <w:rPr>
                <w:sz w:val="20"/>
                <w:szCs w:val="20"/>
              </w:rPr>
            </w:pPr>
            <w:r w:rsidRPr="00F7263B">
              <w:rPr>
                <w:sz w:val="20"/>
                <w:szCs w:val="20"/>
              </w:rPr>
              <w:t>Pillar 6</w:t>
            </w:r>
          </w:p>
        </w:tc>
        <w:tc>
          <w:tcPr>
            <w:tcW w:w="1611" w:type="dxa"/>
          </w:tcPr>
          <w:p w:rsidR="004E5FF1" w:rsidRPr="00F7263B" w:rsidRDefault="004E5FF1" w:rsidP="004E5FF1">
            <w:pPr>
              <w:jc w:val="both"/>
              <w:rPr>
                <w:sz w:val="20"/>
                <w:szCs w:val="20"/>
              </w:rPr>
            </w:pPr>
            <w:r w:rsidRPr="00F7263B">
              <w:rPr>
                <w:sz w:val="20"/>
                <w:szCs w:val="20"/>
              </w:rPr>
              <w:t>Existing</w:t>
            </w: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Existing</w:t>
            </w:r>
          </w:p>
        </w:tc>
      </w:tr>
      <w:tr w:rsidR="004E5FF1" w:rsidRPr="00F7263B">
        <w:tc>
          <w:tcPr>
            <w:tcW w:w="984" w:type="dxa"/>
          </w:tcPr>
          <w:p w:rsidR="004E5FF1" w:rsidRPr="00F7263B" w:rsidRDefault="004E5FF1" w:rsidP="004E5FF1">
            <w:pPr>
              <w:jc w:val="both"/>
              <w:rPr>
                <w:sz w:val="20"/>
                <w:szCs w:val="20"/>
              </w:rPr>
            </w:pPr>
            <w:r w:rsidRPr="00F7263B">
              <w:rPr>
                <w:sz w:val="20"/>
                <w:szCs w:val="20"/>
              </w:rPr>
              <w:t>7.2</w:t>
            </w:r>
          </w:p>
        </w:tc>
        <w:tc>
          <w:tcPr>
            <w:tcW w:w="3724" w:type="dxa"/>
          </w:tcPr>
          <w:p w:rsidR="004E5FF1" w:rsidRPr="00F7263B" w:rsidRDefault="004E5FF1" w:rsidP="004E5FF1">
            <w:pPr>
              <w:rPr>
                <w:sz w:val="20"/>
                <w:szCs w:val="20"/>
              </w:rPr>
            </w:pPr>
            <w:r w:rsidRPr="00F7263B">
              <w:rPr>
                <w:sz w:val="20"/>
                <w:szCs w:val="20"/>
              </w:rPr>
              <w:t>ESMPs and Resettlement Action Plans implemented timely</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(Maximum points: 4 points)</w:t>
            </w:r>
          </w:p>
        </w:tc>
        <w:tc>
          <w:tcPr>
            <w:tcW w:w="4166" w:type="dxa"/>
          </w:tcPr>
          <w:p w:rsidR="004E5FF1" w:rsidRPr="00F7263B" w:rsidRDefault="004E5FF1" w:rsidP="004E5FF1">
            <w:pPr>
              <w:pStyle w:val="ListParagraph"/>
              <w:numPr>
                <w:ilvl w:val="0"/>
                <w:numId w:val="49"/>
              </w:numPr>
              <w:spacing w:after="200"/>
              <w:rPr>
                <w:sz w:val="20"/>
                <w:szCs w:val="20"/>
              </w:rPr>
            </w:pPr>
            <w:r w:rsidRPr="00F7263B">
              <w:rPr>
                <w:sz w:val="20"/>
                <w:szCs w:val="20"/>
              </w:rPr>
              <w:t>ESMPs and Resettlement action plans implemented prior to commencement of civil works: 4 points.</w:t>
            </w:r>
          </w:p>
        </w:tc>
        <w:tc>
          <w:tcPr>
            <w:tcW w:w="1999" w:type="dxa"/>
          </w:tcPr>
          <w:p w:rsidR="004E5FF1" w:rsidRPr="00F7263B" w:rsidRDefault="004E5FF1" w:rsidP="004E5FF1">
            <w:pPr>
              <w:rPr>
                <w:sz w:val="20"/>
                <w:szCs w:val="20"/>
              </w:rPr>
            </w:pPr>
            <w:r w:rsidRPr="00F7263B">
              <w:rPr>
                <w:sz w:val="20"/>
                <w:szCs w:val="20"/>
              </w:rPr>
              <w:t xml:space="preserve">Avoid adverse environmental and social impact </w:t>
            </w:r>
          </w:p>
          <w:p w:rsidR="004E5FF1" w:rsidRPr="00F7263B" w:rsidRDefault="004E5FF1" w:rsidP="004E5FF1">
            <w:pPr>
              <w:rPr>
                <w:sz w:val="20"/>
                <w:szCs w:val="20"/>
              </w:rPr>
            </w:pPr>
          </w:p>
          <w:p w:rsidR="004E5FF1" w:rsidRPr="00F7263B" w:rsidRDefault="004E5FF1" w:rsidP="004E5FF1">
            <w:pPr>
              <w:rPr>
                <w:sz w:val="20"/>
                <w:szCs w:val="20"/>
              </w:rPr>
            </w:pPr>
            <w:r w:rsidRPr="00F7263B">
              <w:rPr>
                <w:sz w:val="20"/>
                <w:szCs w:val="20"/>
              </w:rPr>
              <w:t xml:space="preserve">Promote environmental and social sustainability </w:t>
            </w:r>
          </w:p>
        </w:tc>
        <w:tc>
          <w:tcPr>
            <w:tcW w:w="1232" w:type="dxa"/>
          </w:tcPr>
          <w:p w:rsidR="004E5FF1" w:rsidRPr="00F7263B" w:rsidRDefault="004E5FF1" w:rsidP="004E5FF1">
            <w:pPr>
              <w:rPr>
                <w:sz w:val="20"/>
                <w:szCs w:val="20"/>
              </w:rPr>
            </w:pPr>
            <w:r w:rsidRPr="00F7263B">
              <w:rPr>
                <w:sz w:val="20"/>
                <w:szCs w:val="20"/>
              </w:rPr>
              <w:t>Pillar 6</w:t>
            </w:r>
          </w:p>
        </w:tc>
        <w:tc>
          <w:tcPr>
            <w:tcW w:w="1611" w:type="dxa"/>
          </w:tcPr>
          <w:p w:rsidR="004E5FF1" w:rsidRPr="00F7263B" w:rsidRDefault="004E5FF1" w:rsidP="004E5FF1">
            <w:pPr>
              <w:rPr>
                <w:sz w:val="20"/>
                <w:szCs w:val="20"/>
              </w:rPr>
            </w:pPr>
            <w:r w:rsidRPr="00F7263B">
              <w:rPr>
                <w:sz w:val="20"/>
                <w:szCs w:val="20"/>
              </w:rPr>
              <w:t>Existing</w:t>
            </w:r>
          </w:p>
        </w:tc>
      </w:tr>
      <w:tr w:rsidR="004E5FF1" w:rsidRPr="00F7263B">
        <w:tc>
          <w:tcPr>
            <w:tcW w:w="984" w:type="dxa"/>
          </w:tcPr>
          <w:p w:rsidR="004E5FF1" w:rsidRPr="00F7263B" w:rsidRDefault="004E5FF1" w:rsidP="004E5FF1">
            <w:pPr>
              <w:jc w:val="both"/>
              <w:rPr>
                <w:b/>
                <w:sz w:val="20"/>
                <w:szCs w:val="20"/>
              </w:rPr>
            </w:pPr>
            <w:r w:rsidRPr="00F7263B">
              <w:rPr>
                <w:b/>
                <w:sz w:val="20"/>
                <w:szCs w:val="20"/>
              </w:rPr>
              <w:t>8</w:t>
            </w:r>
          </w:p>
        </w:tc>
        <w:tc>
          <w:tcPr>
            <w:tcW w:w="3724" w:type="dxa"/>
          </w:tcPr>
          <w:p w:rsidR="004E5FF1" w:rsidRPr="00F7263B" w:rsidRDefault="004E5FF1" w:rsidP="004E5FF1">
            <w:pPr>
              <w:rPr>
                <w:b/>
                <w:sz w:val="20"/>
                <w:szCs w:val="20"/>
              </w:rPr>
            </w:pPr>
            <w:r w:rsidRPr="00F7263B">
              <w:rPr>
                <w:b/>
                <w:sz w:val="20"/>
                <w:szCs w:val="20"/>
              </w:rPr>
              <w:t xml:space="preserve">Land management and urban planning </w:t>
            </w:r>
          </w:p>
          <w:p w:rsidR="004E5FF1" w:rsidRPr="00F7263B" w:rsidRDefault="004E5FF1" w:rsidP="004E5FF1">
            <w:pPr>
              <w:rPr>
                <w:b/>
                <w:sz w:val="20"/>
                <w:szCs w:val="20"/>
              </w:rPr>
            </w:pPr>
            <w:r w:rsidRPr="00F7263B">
              <w:rPr>
                <w:b/>
                <w:sz w:val="20"/>
                <w:szCs w:val="20"/>
              </w:rPr>
              <w:t>(Maximum 15 points)</w:t>
            </w:r>
          </w:p>
        </w:tc>
        <w:tc>
          <w:tcPr>
            <w:tcW w:w="4166" w:type="dxa"/>
          </w:tcPr>
          <w:p w:rsidR="004E5FF1" w:rsidRPr="00F7263B" w:rsidRDefault="004E5FF1" w:rsidP="004E5FF1">
            <w:pPr>
              <w:rPr>
                <w:sz w:val="20"/>
                <w:szCs w:val="20"/>
              </w:rPr>
            </w:pPr>
          </w:p>
          <w:p w:rsidR="004E5FF1" w:rsidRPr="00F7263B" w:rsidRDefault="004E5FF1" w:rsidP="004E5FF1">
            <w:pPr>
              <w:rPr>
                <w:sz w:val="20"/>
                <w:szCs w:val="20"/>
              </w:rPr>
            </w:pPr>
          </w:p>
        </w:tc>
        <w:tc>
          <w:tcPr>
            <w:tcW w:w="1999" w:type="dxa"/>
          </w:tcPr>
          <w:p w:rsidR="004E5FF1" w:rsidRPr="00F7263B" w:rsidRDefault="004E5FF1" w:rsidP="004E5FF1">
            <w:pPr>
              <w:rPr>
                <w:b/>
                <w:sz w:val="20"/>
                <w:szCs w:val="20"/>
              </w:rPr>
            </w:pPr>
          </w:p>
        </w:tc>
        <w:tc>
          <w:tcPr>
            <w:tcW w:w="1232" w:type="dxa"/>
          </w:tcPr>
          <w:p w:rsidR="004E5FF1" w:rsidRPr="00F7263B" w:rsidRDefault="004E5FF1" w:rsidP="004E5FF1">
            <w:pPr>
              <w:keepNext/>
              <w:keepLines/>
              <w:ind w:left="5760"/>
              <w:outlineLvl w:val="8"/>
              <w:rPr>
                <w:b/>
                <w:sz w:val="20"/>
                <w:szCs w:val="20"/>
              </w:rPr>
            </w:pPr>
          </w:p>
        </w:tc>
        <w:tc>
          <w:tcPr>
            <w:tcW w:w="1611" w:type="dxa"/>
          </w:tcPr>
          <w:p w:rsidR="004E5FF1" w:rsidRPr="00F7263B" w:rsidRDefault="004E5FF1" w:rsidP="004E5FF1">
            <w:pPr>
              <w:jc w:val="both"/>
              <w:rPr>
                <w:b/>
                <w:sz w:val="20"/>
                <w:szCs w:val="20"/>
              </w:rPr>
            </w:pPr>
          </w:p>
        </w:tc>
      </w:tr>
      <w:tr w:rsidR="004E5FF1" w:rsidRPr="00F7263B">
        <w:tc>
          <w:tcPr>
            <w:tcW w:w="984" w:type="dxa"/>
          </w:tcPr>
          <w:p w:rsidR="004E5FF1" w:rsidRPr="00F7263B" w:rsidRDefault="004E5FF1" w:rsidP="004E5FF1">
            <w:pPr>
              <w:jc w:val="both"/>
              <w:rPr>
                <w:sz w:val="20"/>
                <w:szCs w:val="20"/>
              </w:rPr>
            </w:pPr>
            <w:r w:rsidRPr="00F7263B">
              <w:rPr>
                <w:sz w:val="20"/>
                <w:szCs w:val="20"/>
              </w:rPr>
              <w:t>8.1</w:t>
            </w:r>
          </w:p>
        </w:tc>
        <w:tc>
          <w:tcPr>
            <w:tcW w:w="3724" w:type="dxa"/>
          </w:tcPr>
          <w:p w:rsidR="004E5FF1" w:rsidRPr="00F7263B" w:rsidRDefault="004E5FF1" w:rsidP="004E5FF1">
            <w:pPr>
              <w:rPr>
                <w:sz w:val="20"/>
                <w:szCs w:val="20"/>
              </w:rPr>
            </w:pPr>
            <w:r w:rsidRPr="00F7263B">
              <w:rPr>
                <w:sz w:val="20"/>
                <w:szCs w:val="20"/>
              </w:rPr>
              <w:t>Statutory structure plan</w:t>
            </w:r>
          </w:p>
          <w:p w:rsidR="004E5FF1" w:rsidRPr="00F7263B" w:rsidRDefault="004E5FF1" w:rsidP="004E5FF1">
            <w:pPr>
              <w:rPr>
                <w:sz w:val="20"/>
                <w:szCs w:val="20"/>
              </w:rPr>
            </w:pPr>
            <w:r w:rsidRPr="00F7263B">
              <w:rPr>
                <w:sz w:val="20"/>
                <w:szCs w:val="20"/>
              </w:rPr>
              <w:t>(Maximum 5 points)</w:t>
            </w:r>
          </w:p>
        </w:tc>
        <w:tc>
          <w:tcPr>
            <w:tcW w:w="4166" w:type="dxa"/>
          </w:tcPr>
          <w:p w:rsidR="004E5FF1" w:rsidRPr="00F7263B" w:rsidRDefault="004E5FF1" w:rsidP="004E5FF1">
            <w:pPr>
              <w:pStyle w:val="ListParagraph"/>
              <w:numPr>
                <w:ilvl w:val="0"/>
                <w:numId w:val="49"/>
              </w:numPr>
              <w:spacing w:before="120" w:after="120"/>
              <w:rPr>
                <w:sz w:val="20"/>
                <w:szCs w:val="20"/>
              </w:rPr>
            </w:pPr>
            <w:r w:rsidRPr="00F7263B">
              <w:rPr>
                <w:sz w:val="20"/>
                <w:szCs w:val="20"/>
              </w:rPr>
              <w:t>Existence of up-to-date approved statutory city-wide (structure) plans (yes/no): If Yes =3 points.</w:t>
            </w:r>
          </w:p>
          <w:p w:rsidR="004E5FF1" w:rsidRPr="00F7263B" w:rsidRDefault="004E5FF1" w:rsidP="004E5FF1">
            <w:pPr>
              <w:pStyle w:val="ListParagraph"/>
              <w:numPr>
                <w:ilvl w:val="0"/>
                <w:numId w:val="49"/>
              </w:numPr>
              <w:spacing w:before="120" w:after="120"/>
              <w:rPr>
                <w:sz w:val="20"/>
                <w:szCs w:val="20"/>
              </w:rPr>
            </w:pPr>
            <w:r w:rsidRPr="00F7263B">
              <w:rPr>
                <w:sz w:val="20"/>
                <w:szCs w:val="20"/>
              </w:rPr>
              <w:t xml:space="preserve">CIP is in accordance with the statutory plan (structure plan) (sample 5-6 </w:t>
            </w:r>
            <w:r w:rsidRPr="00F7263B">
              <w:rPr>
                <w:sz w:val="20"/>
                <w:szCs w:val="20"/>
              </w:rPr>
              <w:lastRenderedPageBreak/>
              <w:t>investments): Yes/No. If Yes= 2 points.</w:t>
            </w:r>
          </w:p>
        </w:tc>
        <w:tc>
          <w:tcPr>
            <w:tcW w:w="1999" w:type="dxa"/>
          </w:tcPr>
          <w:p w:rsidR="004E5FF1" w:rsidRPr="00F7263B" w:rsidRDefault="004E5FF1" w:rsidP="004E5FF1">
            <w:pPr>
              <w:rPr>
                <w:sz w:val="20"/>
                <w:szCs w:val="20"/>
              </w:rPr>
            </w:pPr>
            <w:r w:rsidRPr="00F7263B">
              <w:rPr>
                <w:sz w:val="20"/>
                <w:szCs w:val="20"/>
              </w:rPr>
              <w:lastRenderedPageBreak/>
              <w:t>Promote efficient urban planning</w:t>
            </w:r>
          </w:p>
        </w:tc>
        <w:tc>
          <w:tcPr>
            <w:tcW w:w="1232" w:type="dxa"/>
          </w:tcPr>
          <w:p w:rsidR="004E5FF1" w:rsidRPr="00F7263B" w:rsidRDefault="004E5FF1" w:rsidP="004E5FF1">
            <w:pPr>
              <w:rPr>
                <w:sz w:val="20"/>
                <w:szCs w:val="20"/>
              </w:rPr>
            </w:pPr>
            <w:r w:rsidRPr="00F7263B">
              <w:rPr>
                <w:sz w:val="20"/>
                <w:szCs w:val="20"/>
              </w:rPr>
              <w:t xml:space="preserve">Pillar 4 </w:t>
            </w:r>
          </w:p>
        </w:tc>
        <w:tc>
          <w:tcPr>
            <w:tcW w:w="1611" w:type="dxa"/>
          </w:tcPr>
          <w:p w:rsidR="004E5FF1" w:rsidRPr="00F7263B" w:rsidRDefault="004E5FF1" w:rsidP="004E5FF1">
            <w:pPr>
              <w:jc w:val="both"/>
              <w:rPr>
                <w:sz w:val="20"/>
                <w:szCs w:val="20"/>
              </w:rPr>
            </w:pPr>
            <w:r w:rsidRPr="00F7263B">
              <w:rPr>
                <w:sz w:val="20"/>
                <w:szCs w:val="20"/>
              </w:rPr>
              <w:t>New</w:t>
            </w:r>
          </w:p>
        </w:tc>
      </w:tr>
      <w:tr w:rsidR="004E5FF1" w:rsidRPr="00F7263B">
        <w:tc>
          <w:tcPr>
            <w:tcW w:w="984" w:type="dxa"/>
          </w:tcPr>
          <w:p w:rsidR="004E5FF1" w:rsidRPr="00F7263B" w:rsidRDefault="004E5FF1" w:rsidP="004E5FF1">
            <w:pPr>
              <w:jc w:val="both"/>
              <w:rPr>
                <w:sz w:val="20"/>
                <w:szCs w:val="20"/>
              </w:rPr>
            </w:pPr>
            <w:r w:rsidRPr="00F7263B">
              <w:rPr>
                <w:sz w:val="20"/>
                <w:szCs w:val="20"/>
              </w:rPr>
              <w:lastRenderedPageBreak/>
              <w:t>8.2</w:t>
            </w:r>
          </w:p>
        </w:tc>
        <w:tc>
          <w:tcPr>
            <w:tcW w:w="3724" w:type="dxa"/>
          </w:tcPr>
          <w:p w:rsidR="004E5FF1" w:rsidRPr="00F7263B" w:rsidRDefault="004E5FF1" w:rsidP="004E5FF1">
            <w:pPr>
              <w:rPr>
                <w:sz w:val="20"/>
                <w:szCs w:val="20"/>
              </w:rPr>
            </w:pPr>
            <w:r w:rsidRPr="00F7263B">
              <w:rPr>
                <w:sz w:val="20"/>
                <w:szCs w:val="20"/>
              </w:rPr>
              <w:t xml:space="preserve">Land management </w:t>
            </w:r>
          </w:p>
          <w:p w:rsidR="004E5FF1" w:rsidRPr="00F7263B" w:rsidRDefault="004E5FF1" w:rsidP="004E5FF1">
            <w:pPr>
              <w:rPr>
                <w:sz w:val="20"/>
                <w:szCs w:val="20"/>
              </w:rPr>
            </w:pPr>
            <w:r w:rsidRPr="00F7263B">
              <w:rPr>
                <w:sz w:val="20"/>
                <w:szCs w:val="20"/>
              </w:rPr>
              <w:t>(Maximum 10 points)</w:t>
            </w:r>
          </w:p>
        </w:tc>
        <w:tc>
          <w:tcPr>
            <w:tcW w:w="4166" w:type="dxa"/>
          </w:tcPr>
          <w:p w:rsidR="004E5FF1" w:rsidRPr="00F7263B" w:rsidRDefault="004E5FF1" w:rsidP="004E5FF1">
            <w:pPr>
              <w:pStyle w:val="ListParagraph"/>
              <w:numPr>
                <w:ilvl w:val="0"/>
                <w:numId w:val="56"/>
              </w:numPr>
              <w:spacing w:after="200"/>
              <w:rPr>
                <w:sz w:val="20"/>
                <w:szCs w:val="20"/>
              </w:rPr>
            </w:pPr>
            <w:r w:rsidRPr="00F7263B">
              <w:rPr>
                <w:sz w:val="20"/>
                <w:szCs w:val="20"/>
              </w:rPr>
              <w:t>Land released is serviced as per standards and city plan (sample 3-4 projects) Yes/No. If Yes: 5 points (all have to be fulfilled)</w:t>
            </w:r>
          </w:p>
          <w:p w:rsidR="004E5FF1" w:rsidRPr="00F7263B" w:rsidRDefault="004E5FF1" w:rsidP="004E5FF1">
            <w:pPr>
              <w:pStyle w:val="ListParagraph"/>
              <w:numPr>
                <w:ilvl w:val="0"/>
                <w:numId w:val="56"/>
              </w:numPr>
              <w:spacing w:after="200"/>
              <w:rPr>
                <w:sz w:val="20"/>
                <w:szCs w:val="20"/>
              </w:rPr>
            </w:pPr>
            <w:r w:rsidRPr="00F7263B">
              <w:rPr>
                <w:sz w:val="20"/>
                <w:szCs w:val="20"/>
              </w:rPr>
              <w:t>City has an up to date inventory of land use (Yes/No): Yes= 5 points.</w:t>
            </w:r>
          </w:p>
        </w:tc>
        <w:tc>
          <w:tcPr>
            <w:tcW w:w="1999" w:type="dxa"/>
          </w:tcPr>
          <w:p w:rsidR="004E5FF1" w:rsidRPr="00F7263B" w:rsidRDefault="004E5FF1" w:rsidP="004E5FF1">
            <w:pPr>
              <w:rPr>
                <w:sz w:val="20"/>
                <w:szCs w:val="20"/>
              </w:rPr>
            </w:pPr>
            <w:r w:rsidRPr="00F7263B">
              <w:rPr>
                <w:sz w:val="20"/>
                <w:szCs w:val="20"/>
              </w:rPr>
              <w:t xml:space="preserve">Promote efficient land management </w:t>
            </w:r>
          </w:p>
        </w:tc>
        <w:tc>
          <w:tcPr>
            <w:tcW w:w="1232" w:type="dxa"/>
          </w:tcPr>
          <w:p w:rsidR="004E5FF1" w:rsidRPr="00F7263B" w:rsidRDefault="004E5FF1" w:rsidP="004E5FF1">
            <w:pPr>
              <w:rPr>
                <w:sz w:val="20"/>
                <w:szCs w:val="20"/>
              </w:rPr>
            </w:pPr>
            <w:r w:rsidRPr="00F7263B">
              <w:rPr>
                <w:sz w:val="20"/>
                <w:szCs w:val="20"/>
              </w:rPr>
              <w:t>Pillar 4</w:t>
            </w:r>
          </w:p>
        </w:tc>
        <w:tc>
          <w:tcPr>
            <w:tcW w:w="1611" w:type="dxa"/>
          </w:tcPr>
          <w:p w:rsidR="004E5FF1" w:rsidRPr="00F7263B" w:rsidRDefault="004E5FF1" w:rsidP="004E5FF1">
            <w:pPr>
              <w:jc w:val="both"/>
              <w:rPr>
                <w:sz w:val="20"/>
                <w:szCs w:val="20"/>
              </w:rPr>
            </w:pPr>
            <w:r w:rsidRPr="00F7263B">
              <w:rPr>
                <w:sz w:val="20"/>
                <w:szCs w:val="20"/>
              </w:rPr>
              <w:t>New</w:t>
            </w:r>
          </w:p>
        </w:tc>
      </w:tr>
    </w:tbl>
    <w:p w:rsidR="004E5FF1" w:rsidRPr="00F7263B" w:rsidRDefault="004E5FF1" w:rsidP="004E5FF1">
      <w:pPr>
        <w:jc w:val="both"/>
        <w:rPr>
          <w:sz w:val="20"/>
          <w:szCs w:val="20"/>
        </w:rPr>
      </w:pPr>
    </w:p>
    <w:p w:rsidR="004E5FF1" w:rsidRPr="00F7263B" w:rsidRDefault="004E5FF1" w:rsidP="004E5FF1">
      <w:pPr>
        <w:jc w:val="both"/>
        <w:rPr>
          <w:sz w:val="20"/>
          <w:szCs w:val="20"/>
        </w:rPr>
      </w:pPr>
    </w:p>
    <w:p w:rsidR="004E5FF1" w:rsidRPr="00F7263B" w:rsidRDefault="004E5FF1" w:rsidP="004E5FF1">
      <w:pPr>
        <w:spacing w:before="100" w:beforeAutospacing="1" w:line="200" w:lineRule="atLeast"/>
        <w:rPr>
          <w:sz w:val="20"/>
          <w:szCs w:val="20"/>
        </w:rPr>
      </w:pPr>
      <w:r w:rsidRPr="00F7263B">
        <w:rPr>
          <w:sz w:val="20"/>
          <w:szCs w:val="20"/>
        </w:rPr>
        <w:br w:type="page"/>
      </w:r>
    </w:p>
    <w:p w:rsidR="004E5FF1" w:rsidRPr="00F7263B" w:rsidRDefault="004E5FF1" w:rsidP="004E5FF1">
      <w:pPr>
        <w:spacing w:before="100" w:beforeAutospacing="1" w:line="200" w:lineRule="atLeast"/>
        <w:rPr>
          <w:b/>
          <w:sz w:val="20"/>
          <w:szCs w:val="20"/>
        </w:rPr>
      </w:pPr>
      <w:r w:rsidRPr="00F7263B">
        <w:rPr>
          <w:b/>
          <w:sz w:val="20"/>
          <w:szCs w:val="20"/>
        </w:rPr>
        <w:lastRenderedPageBreak/>
        <w:t xml:space="preserve">DLI 3: Achievements of Infrastructure and Maintenance Targets, planning on job creation and Value for Money in Investments </w:t>
      </w:r>
    </w:p>
    <w:p w:rsidR="004E5FF1" w:rsidRPr="00F7263B" w:rsidRDefault="004E5FF1" w:rsidP="004E5FF1">
      <w:pPr>
        <w:rPr>
          <w:b/>
          <w:sz w:val="20"/>
          <w:szCs w:val="20"/>
        </w:rPr>
      </w:pPr>
    </w:p>
    <w:p w:rsidR="004E5FF1" w:rsidRPr="00F7263B" w:rsidRDefault="004E5FF1" w:rsidP="004E5FF1">
      <w:pPr>
        <w:rPr>
          <w:sz w:val="20"/>
          <w:szCs w:val="20"/>
        </w:rPr>
      </w:pPr>
      <w:r w:rsidRPr="00F7263B">
        <w:rPr>
          <w:sz w:val="20"/>
          <w:szCs w:val="20"/>
        </w:rPr>
        <w:t>Note as some of the indicators will only kick in from the second and the third assessment, the scores of the other indicators will be adjusted pro-rate to ensure that the scoring is always between 0-100 points</w:t>
      </w:r>
    </w:p>
    <w:p w:rsidR="004E5FF1" w:rsidRPr="00F7263B" w:rsidRDefault="004E5FF1" w:rsidP="004E5FF1">
      <w:pPr>
        <w:rPr>
          <w:b/>
          <w:sz w:val="20"/>
          <w:szCs w:val="20"/>
        </w:rPr>
      </w:pPr>
    </w:p>
    <w:p w:rsidR="004E5FF1" w:rsidRPr="00F7263B" w:rsidRDefault="004E5FF1" w:rsidP="004E5FF1">
      <w:pPr>
        <w:rPr>
          <w:b/>
          <w:sz w:val="20"/>
          <w:szCs w:val="20"/>
        </w:rPr>
      </w:pPr>
      <w:r w:rsidRPr="00F7263B">
        <w:rPr>
          <w:b/>
          <w:sz w:val="20"/>
          <w:szCs w:val="20"/>
        </w:rPr>
        <w:t>Assessment of Infrastructure Investment Performance</w:t>
      </w:r>
      <w:r w:rsidRPr="00F7263B">
        <w:rPr>
          <w:rStyle w:val="FootnoteReference"/>
          <w:sz w:val="20"/>
          <w:szCs w:val="20"/>
        </w:rPr>
        <w:footnoteReference w:id="59"/>
      </w:r>
    </w:p>
    <w:p w:rsidR="004E5FF1" w:rsidRPr="00F7263B" w:rsidRDefault="004E5FF1" w:rsidP="004E5FF1">
      <w:pPr>
        <w:rPr>
          <w:b/>
          <w:sz w:val="20"/>
          <w:szCs w:val="20"/>
        </w:rPr>
      </w:pPr>
    </w:p>
    <w:tbl>
      <w:tblPr>
        <w:tblStyle w:val="TableGrid"/>
        <w:tblW w:w="0" w:type="auto"/>
        <w:tblLook w:val="04A0" w:firstRow="1" w:lastRow="0" w:firstColumn="1" w:lastColumn="0" w:noHBand="0" w:noVBand="1"/>
      </w:tblPr>
      <w:tblGrid>
        <w:gridCol w:w="1128"/>
        <w:gridCol w:w="3525"/>
        <w:gridCol w:w="4040"/>
        <w:gridCol w:w="1956"/>
        <w:gridCol w:w="1208"/>
        <w:gridCol w:w="1319"/>
      </w:tblGrid>
      <w:tr w:rsidR="004E5FF1" w:rsidRPr="00F7263B">
        <w:trPr>
          <w:tblHeader/>
        </w:trPr>
        <w:tc>
          <w:tcPr>
            <w:tcW w:w="1133" w:type="dxa"/>
          </w:tcPr>
          <w:p w:rsidR="004E5FF1" w:rsidRPr="00F7263B" w:rsidRDefault="004E5FF1" w:rsidP="004E5FF1">
            <w:pPr>
              <w:jc w:val="both"/>
              <w:rPr>
                <w:b/>
                <w:sz w:val="20"/>
                <w:szCs w:val="20"/>
              </w:rPr>
            </w:pPr>
            <w:r w:rsidRPr="00F7263B">
              <w:rPr>
                <w:b/>
                <w:sz w:val="20"/>
                <w:szCs w:val="20"/>
              </w:rPr>
              <w:t>Ser. No.</w:t>
            </w:r>
          </w:p>
        </w:tc>
        <w:tc>
          <w:tcPr>
            <w:tcW w:w="3663" w:type="dxa"/>
          </w:tcPr>
          <w:p w:rsidR="004E5FF1" w:rsidRPr="00F7263B" w:rsidRDefault="004E5FF1" w:rsidP="004E5FF1">
            <w:pPr>
              <w:jc w:val="both"/>
              <w:rPr>
                <w:b/>
                <w:sz w:val="20"/>
                <w:szCs w:val="20"/>
              </w:rPr>
            </w:pPr>
            <w:r w:rsidRPr="00F7263B">
              <w:rPr>
                <w:b/>
                <w:sz w:val="20"/>
                <w:szCs w:val="20"/>
              </w:rPr>
              <w:t>Performance Areas</w:t>
            </w:r>
          </w:p>
        </w:tc>
        <w:tc>
          <w:tcPr>
            <w:tcW w:w="4107" w:type="dxa"/>
          </w:tcPr>
          <w:p w:rsidR="004E5FF1" w:rsidRPr="00F7263B" w:rsidRDefault="004E5FF1" w:rsidP="004E5FF1">
            <w:pPr>
              <w:jc w:val="both"/>
              <w:rPr>
                <w:b/>
                <w:sz w:val="20"/>
                <w:szCs w:val="20"/>
              </w:rPr>
            </w:pPr>
            <w:r w:rsidRPr="00F7263B">
              <w:rPr>
                <w:b/>
                <w:sz w:val="20"/>
                <w:szCs w:val="20"/>
              </w:rPr>
              <w:t>Performance measure/Indicator</w:t>
            </w:r>
          </w:p>
        </w:tc>
        <w:tc>
          <w:tcPr>
            <w:tcW w:w="1988" w:type="dxa"/>
          </w:tcPr>
          <w:p w:rsidR="004E5FF1" w:rsidRPr="00F7263B" w:rsidRDefault="004E5FF1" w:rsidP="004E5FF1">
            <w:pPr>
              <w:jc w:val="both"/>
              <w:rPr>
                <w:b/>
                <w:sz w:val="20"/>
                <w:szCs w:val="20"/>
              </w:rPr>
            </w:pPr>
            <w:r w:rsidRPr="00F7263B">
              <w:rPr>
                <w:b/>
                <w:sz w:val="20"/>
                <w:szCs w:val="20"/>
              </w:rPr>
              <w:t>Objective</w:t>
            </w:r>
          </w:p>
        </w:tc>
        <w:tc>
          <w:tcPr>
            <w:tcW w:w="1219" w:type="dxa"/>
          </w:tcPr>
          <w:p w:rsidR="004E5FF1" w:rsidRPr="00F7263B" w:rsidRDefault="004E5FF1" w:rsidP="004E5FF1">
            <w:pPr>
              <w:rPr>
                <w:b/>
                <w:sz w:val="20"/>
                <w:szCs w:val="20"/>
              </w:rPr>
            </w:pPr>
            <w:r w:rsidRPr="00F7263B">
              <w:rPr>
                <w:b/>
                <w:sz w:val="20"/>
                <w:szCs w:val="20"/>
              </w:rPr>
              <w:t xml:space="preserve">Links to </w:t>
            </w:r>
            <w:r w:rsidRPr="00F7263B">
              <w:rPr>
                <w:sz w:val="20"/>
                <w:szCs w:val="20"/>
              </w:rPr>
              <w:t>Ethiopian Cities Prosperity Initiative</w:t>
            </w:r>
          </w:p>
        </w:tc>
        <w:tc>
          <w:tcPr>
            <w:tcW w:w="1336" w:type="dxa"/>
          </w:tcPr>
          <w:p w:rsidR="004E5FF1" w:rsidRPr="00F7263B" w:rsidRDefault="004E5FF1" w:rsidP="004E5FF1">
            <w:pPr>
              <w:jc w:val="both"/>
              <w:rPr>
                <w:b/>
                <w:sz w:val="20"/>
                <w:szCs w:val="20"/>
              </w:rPr>
            </w:pPr>
            <w:r w:rsidRPr="00F7263B">
              <w:rPr>
                <w:b/>
                <w:sz w:val="20"/>
                <w:szCs w:val="20"/>
              </w:rPr>
              <w:t>Existing indicator</w:t>
            </w:r>
          </w:p>
        </w:tc>
      </w:tr>
      <w:tr w:rsidR="004E5FF1" w:rsidRPr="00F7263B">
        <w:tc>
          <w:tcPr>
            <w:tcW w:w="1133" w:type="dxa"/>
          </w:tcPr>
          <w:p w:rsidR="004E5FF1" w:rsidRPr="00F7263B" w:rsidRDefault="004E5FF1" w:rsidP="004E5FF1">
            <w:pPr>
              <w:spacing w:before="2" w:after="2"/>
              <w:jc w:val="both"/>
              <w:rPr>
                <w:b/>
                <w:sz w:val="20"/>
                <w:szCs w:val="20"/>
              </w:rPr>
            </w:pPr>
            <w:r w:rsidRPr="00F7263B">
              <w:rPr>
                <w:b/>
                <w:sz w:val="20"/>
                <w:szCs w:val="20"/>
              </w:rPr>
              <w:t>1</w:t>
            </w:r>
          </w:p>
        </w:tc>
        <w:tc>
          <w:tcPr>
            <w:tcW w:w="3663" w:type="dxa"/>
          </w:tcPr>
          <w:p w:rsidR="004E5FF1" w:rsidRPr="00F7263B" w:rsidRDefault="004E5FF1" w:rsidP="004E5FF1">
            <w:pPr>
              <w:spacing w:before="2" w:after="2"/>
              <w:jc w:val="both"/>
              <w:rPr>
                <w:b/>
                <w:sz w:val="20"/>
                <w:szCs w:val="20"/>
              </w:rPr>
            </w:pPr>
            <w:r w:rsidRPr="00F7263B">
              <w:rPr>
                <w:b/>
                <w:sz w:val="20"/>
                <w:szCs w:val="20"/>
              </w:rPr>
              <w:t xml:space="preserve">Job creation </w:t>
            </w:r>
            <w:r w:rsidRPr="00F7263B">
              <w:rPr>
                <w:sz w:val="20"/>
                <w:szCs w:val="20"/>
              </w:rPr>
              <w:t>(35 % weight (maximum 35 points) on this in the first two assessments and from the 3</w:t>
            </w:r>
            <w:r w:rsidRPr="00F7263B">
              <w:rPr>
                <w:sz w:val="20"/>
                <w:szCs w:val="20"/>
                <w:vertAlign w:val="superscript"/>
              </w:rPr>
              <w:t xml:space="preserve">rd </w:t>
            </w:r>
            <w:r w:rsidRPr="00F7263B">
              <w:rPr>
                <w:sz w:val="20"/>
                <w:szCs w:val="20"/>
              </w:rPr>
              <w:t>assessment:</w:t>
            </w:r>
            <w:r w:rsidRPr="00F7263B">
              <w:rPr>
                <w:i/>
                <w:sz w:val="20"/>
                <w:szCs w:val="20"/>
              </w:rPr>
              <w:t>30 % weight (maximum 30 points) for this theme)</w:t>
            </w:r>
          </w:p>
        </w:tc>
        <w:tc>
          <w:tcPr>
            <w:tcW w:w="4107" w:type="dxa"/>
          </w:tcPr>
          <w:p w:rsidR="004E5FF1" w:rsidRPr="00F7263B" w:rsidRDefault="004E5FF1" w:rsidP="004E5FF1">
            <w:pPr>
              <w:spacing w:before="2" w:after="2"/>
              <w:jc w:val="both"/>
              <w:rPr>
                <w:b/>
                <w:sz w:val="20"/>
                <w:szCs w:val="20"/>
              </w:rPr>
            </w:pPr>
          </w:p>
        </w:tc>
        <w:tc>
          <w:tcPr>
            <w:tcW w:w="1988" w:type="dxa"/>
          </w:tcPr>
          <w:p w:rsidR="004E5FF1" w:rsidRPr="00F7263B" w:rsidRDefault="004E5FF1" w:rsidP="004E5FF1">
            <w:pPr>
              <w:spacing w:before="2" w:after="2"/>
              <w:jc w:val="both"/>
              <w:rPr>
                <w:sz w:val="20"/>
                <w:szCs w:val="20"/>
              </w:rPr>
            </w:pPr>
            <w:r w:rsidRPr="00F7263B">
              <w:rPr>
                <w:sz w:val="20"/>
                <w:szCs w:val="20"/>
              </w:rPr>
              <w:t>Promote growth and development</w:t>
            </w:r>
          </w:p>
        </w:tc>
        <w:tc>
          <w:tcPr>
            <w:tcW w:w="1219" w:type="dxa"/>
          </w:tcPr>
          <w:p w:rsidR="004E5FF1" w:rsidRPr="00F7263B" w:rsidRDefault="004E5FF1" w:rsidP="004E5FF1">
            <w:pPr>
              <w:spacing w:before="2" w:after="2"/>
              <w:jc w:val="both"/>
              <w:rPr>
                <w:sz w:val="20"/>
                <w:szCs w:val="20"/>
              </w:rPr>
            </w:pPr>
            <w:r w:rsidRPr="00F7263B">
              <w:rPr>
                <w:sz w:val="20"/>
                <w:szCs w:val="20"/>
              </w:rPr>
              <w:t>Pillar 7</w:t>
            </w:r>
          </w:p>
        </w:tc>
        <w:tc>
          <w:tcPr>
            <w:tcW w:w="1336" w:type="dxa"/>
          </w:tcPr>
          <w:p w:rsidR="004E5FF1" w:rsidRPr="00F7263B" w:rsidRDefault="004E5FF1" w:rsidP="004E5FF1">
            <w:pPr>
              <w:spacing w:before="2" w:after="2"/>
              <w:jc w:val="both"/>
              <w:rPr>
                <w:b/>
                <w:sz w:val="20"/>
                <w:szCs w:val="20"/>
              </w:rPr>
            </w:pPr>
            <w:r w:rsidRPr="00F7263B">
              <w:rPr>
                <w:b/>
                <w:sz w:val="20"/>
                <w:szCs w:val="20"/>
              </w:rPr>
              <w:t>New</w:t>
            </w:r>
          </w:p>
        </w:tc>
      </w:tr>
      <w:tr w:rsidR="004E5FF1" w:rsidRPr="00F7263B">
        <w:tc>
          <w:tcPr>
            <w:tcW w:w="1133" w:type="dxa"/>
          </w:tcPr>
          <w:p w:rsidR="004E5FF1" w:rsidRPr="00F7263B" w:rsidRDefault="004E5FF1" w:rsidP="004E5FF1">
            <w:pPr>
              <w:spacing w:before="2" w:after="2"/>
              <w:rPr>
                <w:sz w:val="20"/>
                <w:szCs w:val="20"/>
              </w:rPr>
            </w:pPr>
            <w:r w:rsidRPr="00F7263B">
              <w:rPr>
                <w:sz w:val="20"/>
                <w:szCs w:val="20"/>
              </w:rPr>
              <w:t xml:space="preserve">1.1 </w:t>
            </w:r>
          </w:p>
        </w:tc>
        <w:tc>
          <w:tcPr>
            <w:tcW w:w="3663" w:type="dxa"/>
          </w:tcPr>
          <w:p w:rsidR="004E5FF1" w:rsidRPr="00F7263B" w:rsidRDefault="004E5FF1" w:rsidP="004E5FF1">
            <w:pPr>
              <w:spacing w:before="2" w:after="2"/>
              <w:rPr>
                <w:sz w:val="20"/>
                <w:szCs w:val="20"/>
              </w:rPr>
            </w:pPr>
            <w:r w:rsidRPr="00F7263B">
              <w:rPr>
                <w:sz w:val="20"/>
                <w:szCs w:val="20"/>
              </w:rPr>
              <w:t xml:space="preserve">Job creation </w:t>
            </w:r>
          </w:p>
          <w:p w:rsidR="004E5FF1" w:rsidRPr="00F7263B" w:rsidRDefault="004E5FF1" w:rsidP="004E5FF1">
            <w:pPr>
              <w:spacing w:before="2" w:after="2"/>
              <w:rPr>
                <w:sz w:val="20"/>
                <w:szCs w:val="20"/>
              </w:rPr>
            </w:pPr>
          </w:p>
          <w:p w:rsidR="004E5FF1" w:rsidRPr="00F7263B" w:rsidRDefault="004E5FF1" w:rsidP="004E5FF1">
            <w:pPr>
              <w:spacing w:before="2" w:after="2"/>
              <w:rPr>
                <w:sz w:val="20"/>
                <w:szCs w:val="20"/>
              </w:rPr>
            </w:pPr>
            <w:r w:rsidRPr="00F7263B">
              <w:rPr>
                <w:sz w:val="20"/>
                <w:szCs w:val="20"/>
              </w:rPr>
              <w:t>(Maximum 35 points in first assessments)</w:t>
            </w:r>
          </w:p>
        </w:tc>
        <w:tc>
          <w:tcPr>
            <w:tcW w:w="4107" w:type="dxa"/>
          </w:tcPr>
          <w:p w:rsidR="004E5FF1" w:rsidRPr="00F7263B" w:rsidRDefault="004E5FF1" w:rsidP="004E5FF1">
            <w:pPr>
              <w:pStyle w:val="BodyText1"/>
              <w:numPr>
                <w:ilvl w:val="0"/>
                <w:numId w:val="0"/>
              </w:numPr>
              <w:rPr>
                <w:sz w:val="20"/>
                <w:szCs w:val="20"/>
              </w:rPr>
            </w:pPr>
            <w:r w:rsidRPr="00F7263B">
              <w:rPr>
                <w:sz w:val="20"/>
                <w:szCs w:val="20"/>
              </w:rPr>
              <w:t>Cities’ achievement of jobs created (disaggregated by gender) under the CIP against their targets (% of achievement). Note: a condition for this, and for provision of points on this, is that cities have registered/planned targets and started implementation. Score: achievement rate @ weight, e.g. 100 % achieved = 35 points, 60 percent = 21 points.  As of second year, the job created will be measured (possibly person days of employment) based on standard to be developed by MUDHCo.</w:t>
            </w:r>
          </w:p>
          <w:p w:rsidR="004E5FF1" w:rsidRPr="00F7263B" w:rsidRDefault="004E5FF1" w:rsidP="004E5FF1">
            <w:pPr>
              <w:pStyle w:val="BodyText1"/>
              <w:numPr>
                <w:ilvl w:val="0"/>
                <w:numId w:val="0"/>
              </w:numPr>
              <w:rPr>
                <w:b/>
                <w:sz w:val="20"/>
                <w:szCs w:val="20"/>
              </w:rPr>
            </w:pPr>
          </w:p>
        </w:tc>
        <w:tc>
          <w:tcPr>
            <w:tcW w:w="1988" w:type="dxa"/>
          </w:tcPr>
          <w:p w:rsidR="004E5FF1" w:rsidRPr="00F7263B" w:rsidRDefault="004E5FF1" w:rsidP="004E5FF1">
            <w:pPr>
              <w:spacing w:before="2" w:after="2"/>
              <w:rPr>
                <w:sz w:val="20"/>
                <w:szCs w:val="20"/>
              </w:rPr>
            </w:pPr>
          </w:p>
        </w:tc>
        <w:tc>
          <w:tcPr>
            <w:tcW w:w="1219" w:type="dxa"/>
          </w:tcPr>
          <w:p w:rsidR="004E5FF1" w:rsidRPr="00F7263B" w:rsidRDefault="004E5FF1" w:rsidP="004E5FF1">
            <w:pPr>
              <w:spacing w:before="2" w:after="2"/>
              <w:rPr>
                <w:sz w:val="20"/>
                <w:szCs w:val="20"/>
              </w:rPr>
            </w:pPr>
          </w:p>
        </w:tc>
        <w:tc>
          <w:tcPr>
            <w:tcW w:w="1336" w:type="dxa"/>
          </w:tcPr>
          <w:p w:rsidR="004E5FF1" w:rsidRPr="00F7263B" w:rsidRDefault="004E5FF1" w:rsidP="004E5FF1">
            <w:pPr>
              <w:spacing w:before="2" w:after="2"/>
              <w:rPr>
                <w:sz w:val="20"/>
                <w:szCs w:val="20"/>
              </w:rPr>
            </w:pPr>
            <w:r w:rsidRPr="00F7263B">
              <w:rPr>
                <w:sz w:val="20"/>
                <w:szCs w:val="20"/>
              </w:rPr>
              <w:t>New</w:t>
            </w:r>
          </w:p>
        </w:tc>
      </w:tr>
      <w:tr w:rsidR="004E5FF1" w:rsidRPr="00F7263B">
        <w:tc>
          <w:tcPr>
            <w:tcW w:w="1133" w:type="dxa"/>
          </w:tcPr>
          <w:p w:rsidR="004E5FF1" w:rsidRPr="00F7263B" w:rsidRDefault="004E5FF1" w:rsidP="004E5FF1">
            <w:pPr>
              <w:rPr>
                <w:b/>
                <w:sz w:val="20"/>
                <w:szCs w:val="20"/>
              </w:rPr>
            </w:pPr>
            <w:r w:rsidRPr="00F7263B">
              <w:rPr>
                <w:b/>
                <w:sz w:val="20"/>
                <w:szCs w:val="20"/>
              </w:rPr>
              <w:t>2</w:t>
            </w:r>
          </w:p>
        </w:tc>
        <w:tc>
          <w:tcPr>
            <w:tcW w:w="3663" w:type="dxa"/>
          </w:tcPr>
          <w:p w:rsidR="004E5FF1" w:rsidRPr="00F7263B" w:rsidRDefault="004E5FF1" w:rsidP="004E5FF1">
            <w:pPr>
              <w:rPr>
                <w:b/>
                <w:sz w:val="20"/>
                <w:szCs w:val="20"/>
              </w:rPr>
            </w:pPr>
            <w:r w:rsidRPr="00F7263B">
              <w:rPr>
                <w:b/>
                <w:sz w:val="20"/>
                <w:szCs w:val="20"/>
              </w:rPr>
              <w:t xml:space="preserve">Achievement of Urban infrastructure targets </w:t>
            </w:r>
          </w:p>
          <w:p w:rsidR="004E5FF1" w:rsidRPr="00F7263B" w:rsidRDefault="004E5FF1" w:rsidP="004E5FF1">
            <w:pPr>
              <w:rPr>
                <w:b/>
                <w:sz w:val="20"/>
                <w:szCs w:val="20"/>
              </w:rPr>
            </w:pPr>
          </w:p>
          <w:p w:rsidR="004E5FF1" w:rsidRPr="00F7263B" w:rsidRDefault="004E5FF1" w:rsidP="004E5FF1">
            <w:pPr>
              <w:rPr>
                <w:b/>
                <w:sz w:val="20"/>
                <w:szCs w:val="20"/>
              </w:rPr>
            </w:pPr>
            <w:r w:rsidRPr="00F7263B">
              <w:rPr>
                <w:i/>
                <w:sz w:val="20"/>
                <w:szCs w:val="20"/>
              </w:rPr>
              <w:t xml:space="preserve">Maximum 35 points (35 % weight) on this in the first two assessments, and from the third assessment: Max 30 point) </w:t>
            </w:r>
            <w:r w:rsidRPr="00F7263B">
              <w:rPr>
                <w:i/>
                <w:sz w:val="20"/>
                <w:szCs w:val="20"/>
              </w:rPr>
              <w:lastRenderedPageBreak/>
              <w:t>or 30 % weight on this DLI.</w:t>
            </w:r>
          </w:p>
        </w:tc>
        <w:tc>
          <w:tcPr>
            <w:tcW w:w="4107" w:type="dxa"/>
          </w:tcPr>
          <w:p w:rsidR="004E5FF1" w:rsidRPr="00F7263B" w:rsidRDefault="004E5FF1" w:rsidP="004E5FF1">
            <w:pPr>
              <w:rPr>
                <w:b/>
                <w:sz w:val="20"/>
                <w:szCs w:val="20"/>
              </w:rPr>
            </w:pPr>
          </w:p>
        </w:tc>
        <w:tc>
          <w:tcPr>
            <w:tcW w:w="1988" w:type="dxa"/>
          </w:tcPr>
          <w:p w:rsidR="004E5FF1" w:rsidRPr="00F7263B" w:rsidRDefault="004E5FF1" w:rsidP="004E5FF1">
            <w:pPr>
              <w:rPr>
                <w:b/>
                <w:sz w:val="20"/>
                <w:szCs w:val="20"/>
              </w:rPr>
            </w:pPr>
          </w:p>
        </w:tc>
        <w:tc>
          <w:tcPr>
            <w:tcW w:w="1219" w:type="dxa"/>
          </w:tcPr>
          <w:p w:rsidR="004E5FF1" w:rsidRPr="00F7263B" w:rsidRDefault="004E5FF1" w:rsidP="004E5FF1">
            <w:pPr>
              <w:rPr>
                <w:sz w:val="20"/>
                <w:szCs w:val="20"/>
              </w:rPr>
            </w:pPr>
            <w:r w:rsidRPr="00F7263B">
              <w:rPr>
                <w:sz w:val="20"/>
                <w:szCs w:val="20"/>
              </w:rPr>
              <w:t>Pillar 5</w:t>
            </w:r>
          </w:p>
        </w:tc>
        <w:tc>
          <w:tcPr>
            <w:tcW w:w="1336" w:type="dxa"/>
          </w:tcPr>
          <w:p w:rsidR="004E5FF1" w:rsidRPr="00F7263B" w:rsidRDefault="004E5FF1" w:rsidP="004E5FF1">
            <w:pPr>
              <w:rPr>
                <w:sz w:val="20"/>
                <w:szCs w:val="20"/>
              </w:rPr>
            </w:pPr>
            <w:r w:rsidRPr="00F7263B">
              <w:rPr>
                <w:sz w:val="20"/>
                <w:szCs w:val="20"/>
              </w:rPr>
              <w:t>Existing</w:t>
            </w:r>
          </w:p>
        </w:tc>
      </w:tr>
      <w:tr w:rsidR="004E5FF1" w:rsidRPr="00F7263B">
        <w:tc>
          <w:tcPr>
            <w:tcW w:w="1133" w:type="dxa"/>
          </w:tcPr>
          <w:p w:rsidR="004E5FF1" w:rsidRPr="00F7263B" w:rsidRDefault="004E5FF1" w:rsidP="004E5FF1">
            <w:pPr>
              <w:jc w:val="both"/>
              <w:rPr>
                <w:sz w:val="20"/>
                <w:szCs w:val="20"/>
              </w:rPr>
            </w:pPr>
            <w:r w:rsidRPr="00F7263B">
              <w:rPr>
                <w:sz w:val="20"/>
                <w:szCs w:val="20"/>
              </w:rPr>
              <w:lastRenderedPageBreak/>
              <w:t>2.1</w:t>
            </w:r>
          </w:p>
        </w:tc>
        <w:tc>
          <w:tcPr>
            <w:tcW w:w="3663" w:type="dxa"/>
          </w:tcPr>
          <w:p w:rsidR="004E5FF1" w:rsidRPr="00F7263B" w:rsidRDefault="004E5FF1" w:rsidP="004E5FF1">
            <w:pPr>
              <w:jc w:val="both"/>
              <w:rPr>
                <w:sz w:val="20"/>
                <w:szCs w:val="20"/>
              </w:rPr>
            </w:pPr>
            <w:r w:rsidRPr="00F7263B">
              <w:rPr>
                <w:sz w:val="20"/>
                <w:szCs w:val="20"/>
              </w:rPr>
              <w:t>Urban infrastructure targets achieved</w:t>
            </w: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(Maximum 35 points in the first assessments)</w:t>
            </w:r>
          </w:p>
        </w:tc>
        <w:tc>
          <w:tcPr>
            <w:tcW w:w="4107" w:type="dxa"/>
          </w:tcPr>
          <w:p w:rsidR="004E5FF1" w:rsidRPr="00F7263B" w:rsidRDefault="004E5FF1" w:rsidP="004E5FF1">
            <w:pPr>
              <w:pStyle w:val="ListParagraph"/>
              <w:numPr>
                <w:ilvl w:val="0"/>
                <w:numId w:val="50"/>
              </w:numPr>
              <w:spacing w:after="200"/>
              <w:rPr>
                <w:sz w:val="20"/>
                <w:szCs w:val="20"/>
              </w:rPr>
            </w:pPr>
            <w:r w:rsidRPr="00F7263B">
              <w:rPr>
                <w:sz w:val="20"/>
                <w:szCs w:val="20"/>
              </w:rPr>
              <w:t xml:space="preserve">Physical targets as included in the Capital Investment Plan and annual work plan implemented. </w:t>
            </w:r>
          </w:p>
          <w:p w:rsidR="004E5FF1" w:rsidRPr="00F7263B" w:rsidRDefault="004E5FF1" w:rsidP="004E5FF1">
            <w:pPr>
              <w:pStyle w:val="ListParagraph"/>
              <w:numPr>
                <w:ilvl w:val="1"/>
                <w:numId w:val="50"/>
              </w:numPr>
              <w:spacing w:after="200"/>
              <w:rPr>
                <w:sz w:val="20"/>
                <w:szCs w:val="20"/>
              </w:rPr>
            </w:pPr>
            <w:r w:rsidRPr="00F7263B">
              <w:rPr>
                <w:sz w:val="20"/>
                <w:szCs w:val="20"/>
              </w:rPr>
              <w:t xml:space="preserve">The % of implementation against plans will be reflected directly in the score multiplied by 35 % (weight of this indicator), i.e. 100 % implemented = 35 points, 60 % = 21 points. </w:t>
            </w:r>
          </w:p>
          <w:p w:rsidR="004E5FF1" w:rsidRPr="00F7263B" w:rsidRDefault="004E5FF1" w:rsidP="004E5FF1">
            <w:pPr>
              <w:contextualSpacing/>
              <w:rPr>
                <w:sz w:val="20"/>
                <w:szCs w:val="20"/>
              </w:rPr>
            </w:pPr>
            <w:r w:rsidRPr="00F7263B">
              <w:rPr>
                <w:sz w:val="20"/>
                <w:szCs w:val="20"/>
              </w:rPr>
              <w:t>The score on this indicator will be between 0-35.</w:t>
            </w:r>
            <w:r w:rsidRPr="00F7263B">
              <w:rPr>
                <w:rStyle w:val="FootnoteReference"/>
                <w:sz w:val="20"/>
                <w:szCs w:val="20"/>
              </w:rPr>
              <w:footnoteReference w:id="60"/>
            </w:r>
          </w:p>
          <w:p w:rsidR="004E5FF1" w:rsidRPr="00F7263B" w:rsidRDefault="004E5FF1" w:rsidP="004E5FF1">
            <w:pPr>
              <w:contextualSpacing/>
              <w:rPr>
                <w:sz w:val="20"/>
                <w:szCs w:val="20"/>
              </w:rPr>
            </w:pPr>
          </w:p>
          <w:p w:rsidR="004E5FF1" w:rsidRPr="00F7263B" w:rsidRDefault="004E5FF1" w:rsidP="004E5FF1">
            <w:pPr>
              <w:contextualSpacing/>
              <w:rPr>
                <w:sz w:val="20"/>
                <w:szCs w:val="20"/>
              </w:rPr>
            </w:pPr>
            <w:r w:rsidRPr="00F7263B">
              <w:rPr>
                <w:sz w:val="20"/>
                <w:szCs w:val="20"/>
              </w:rPr>
              <w:t>Achievement under this indicator will be measured on the basis of actual delivery of infrastructure against targets laid out in the CIP and annual work plan for the previous year. The means for verification are:</w:t>
            </w:r>
          </w:p>
          <w:p w:rsidR="004E5FF1" w:rsidRPr="00F7263B" w:rsidRDefault="004E5FF1" w:rsidP="004E5FF1">
            <w:pPr>
              <w:numPr>
                <w:ilvl w:val="0"/>
                <w:numId w:val="34"/>
              </w:numPr>
              <w:contextualSpacing/>
              <w:rPr>
                <w:sz w:val="20"/>
                <w:szCs w:val="20"/>
              </w:rPr>
            </w:pPr>
            <w:r w:rsidRPr="00F7263B">
              <w:rPr>
                <w:sz w:val="20"/>
                <w:szCs w:val="20"/>
              </w:rPr>
              <w:t xml:space="preserve">Review all planned projects and the degree to which they have been implemented by the end of the FY. </w:t>
            </w:r>
          </w:p>
          <w:p w:rsidR="004E5FF1" w:rsidRPr="00F7263B" w:rsidRDefault="004E5FF1" w:rsidP="004E5FF1">
            <w:pPr>
              <w:numPr>
                <w:ilvl w:val="0"/>
                <w:numId w:val="34"/>
              </w:numPr>
              <w:contextualSpacing/>
              <w:rPr>
                <w:sz w:val="20"/>
                <w:szCs w:val="20"/>
              </w:rPr>
            </w:pPr>
            <w:r w:rsidRPr="00F7263B">
              <w:rPr>
                <w:sz w:val="20"/>
                <w:szCs w:val="20"/>
              </w:rPr>
              <w:t>Review annual and quarterly work plans and reports</w:t>
            </w:r>
          </w:p>
          <w:p w:rsidR="004E5FF1" w:rsidRPr="00F7263B" w:rsidRDefault="004E5FF1" w:rsidP="004E5FF1">
            <w:pPr>
              <w:numPr>
                <w:ilvl w:val="0"/>
                <w:numId w:val="34"/>
              </w:numPr>
              <w:contextualSpacing/>
              <w:rPr>
                <w:sz w:val="20"/>
                <w:szCs w:val="20"/>
              </w:rPr>
            </w:pPr>
            <w:r w:rsidRPr="00F7263B">
              <w:rPr>
                <w:sz w:val="20"/>
                <w:szCs w:val="20"/>
              </w:rPr>
              <w:t>Check minimum sample of 5 projects from the field-work (on-the-spot of implementation rates)</w:t>
            </w:r>
          </w:p>
          <w:p w:rsidR="004E5FF1" w:rsidRPr="00F7263B" w:rsidRDefault="004E5FF1" w:rsidP="004E5FF1">
            <w:pPr>
              <w:numPr>
                <w:ilvl w:val="0"/>
                <w:numId w:val="34"/>
              </w:numPr>
              <w:spacing w:after="200"/>
              <w:contextualSpacing/>
              <w:rPr>
                <w:sz w:val="20"/>
                <w:szCs w:val="20"/>
              </w:rPr>
            </w:pPr>
            <w:r w:rsidRPr="00F7263B">
              <w:rPr>
                <w:sz w:val="20"/>
                <w:szCs w:val="20"/>
              </w:rPr>
              <w:t xml:space="preserve">Check the contract implementation progress and contract completions through the review of bills of quantities, see the description below. </w:t>
            </w:r>
          </w:p>
          <w:p w:rsidR="004E5FF1" w:rsidRPr="00F7263B" w:rsidRDefault="004E5FF1" w:rsidP="004E5FF1">
            <w:pPr>
              <w:contextualSpacing/>
              <w:rPr>
                <w:sz w:val="20"/>
                <w:szCs w:val="20"/>
              </w:rPr>
            </w:pPr>
          </w:p>
          <w:p w:rsidR="004E5FF1" w:rsidRPr="00F7263B" w:rsidRDefault="004E5FF1" w:rsidP="004E5FF1">
            <w:pPr>
              <w:contextualSpacing/>
              <w:rPr>
                <w:sz w:val="20"/>
                <w:szCs w:val="20"/>
              </w:rPr>
            </w:pPr>
            <w:r w:rsidRPr="00F7263B">
              <w:rPr>
                <w:sz w:val="20"/>
                <w:szCs w:val="20"/>
              </w:rPr>
              <w:lastRenderedPageBreak/>
              <w:t xml:space="preserve">Implementation rate of each project will be assessed and there will a weighting of these to get a total score. The weight of each project will depend on the budgeted size of the projects (see the table below the APA table).  </w:t>
            </w:r>
          </w:p>
          <w:p w:rsidR="004E5FF1" w:rsidRPr="00F7263B" w:rsidRDefault="004E5FF1" w:rsidP="004E5FF1">
            <w:pPr>
              <w:contextualSpacing/>
              <w:rPr>
                <w:sz w:val="20"/>
                <w:szCs w:val="20"/>
              </w:rPr>
            </w:pPr>
          </w:p>
          <w:p w:rsidR="004E5FF1" w:rsidRPr="00F7263B" w:rsidRDefault="004E5FF1" w:rsidP="004E5FF1">
            <w:pPr>
              <w:contextualSpacing/>
              <w:rPr>
                <w:sz w:val="20"/>
                <w:szCs w:val="20"/>
              </w:rPr>
            </w:pPr>
            <w:r w:rsidRPr="00F7263B">
              <w:rPr>
                <w:sz w:val="20"/>
                <w:szCs w:val="20"/>
              </w:rPr>
              <w:t>Assessed by the performance assessment teams.</w:t>
            </w:r>
          </w:p>
          <w:p w:rsidR="004E5FF1" w:rsidRPr="00F7263B" w:rsidRDefault="004E5FF1" w:rsidP="004E5FF1">
            <w:pPr>
              <w:contextualSpacing/>
              <w:rPr>
                <w:sz w:val="20"/>
                <w:szCs w:val="20"/>
              </w:rPr>
            </w:pPr>
          </w:p>
          <w:p w:rsidR="004E5FF1" w:rsidRPr="00F7263B" w:rsidRDefault="004E5FF1" w:rsidP="00C518AF">
            <w:pPr>
              <w:contextualSpacing/>
              <w:rPr>
                <w:i/>
                <w:sz w:val="20"/>
                <w:szCs w:val="20"/>
              </w:rPr>
            </w:pPr>
            <w:r w:rsidRPr="00F7263B">
              <w:rPr>
                <w:i/>
                <w:sz w:val="20"/>
                <w:szCs w:val="20"/>
              </w:rPr>
              <w:t xml:space="preserve">No transitional arrangements. However, DLI </w:t>
            </w:r>
            <w:r w:rsidR="00927329" w:rsidRPr="00F7263B">
              <w:rPr>
                <w:i/>
                <w:sz w:val="20"/>
                <w:szCs w:val="20"/>
              </w:rPr>
              <w:t>2</w:t>
            </w:r>
            <w:r w:rsidRPr="00F7263B">
              <w:rPr>
                <w:i/>
                <w:sz w:val="20"/>
                <w:szCs w:val="20"/>
              </w:rPr>
              <w:t xml:space="preserve">will only kick in for the new ULGDP ULGs from the second assessment. </w:t>
            </w:r>
          </w:p>
        </w:tc>
        <w:tc>
          <w:tcPr>
            <w:tcW w:w="1988" w:type="dxa"/>
          </w:tcPr>
          <w:p w:rsidR="004E5FF1" w:rsidRPr="00F7263B" w:rsidRDefault="004E5FF1" w:rsidP="00254260">
            <w:pPr>
              <w:rPr>
                <w:sz w:val="20"/>
                <w:szCs w:val="20"/>
              </w:rPr>
            </w:pPr>
            <w:r w:rsidRPr="00F7263B">
              <w:rPr>
                <w:sz w:val="20"/>
                <w:szCs w:val="20"/>
              </w:rPr>
              <w:lastRenderedPageBreak/>
              <w:t>Ensure effective implementation of infrastructure and service delivery</w:t>
            </w:r>
          </w:p>
        </w:tc>
        <w:tc>
          <w:tcPr>
            <w:tcW w:w="1219" w:type="dxa"/>
          </w:tcPr>
          <w:p w:rsidR="004E5FF1" w:rsidRPr="00F7263B" w:rsidRDefault="004E5FF1" w:rsidP="004E5FF1">
            <w:pPr>
              <w:jc w:val="both"/>
              <w:rPr>
                <w:sz w:val="20"/>
                <w:szCs w:val="20"/>
              </w:rPr>
            </w:pPr>
            <w:r w:rsidRPr="00F7263B">
              <w:rPr>
                <w:sz w:val="20"/>
                <w:szCs w:val="20"/>
              </w:rPr>
              <w:t>Pillar 5</w:t>
            </w:r>
          </w:p>
        </w:tc>
        <w:tc>
          <w:tcPr>
            <w:tcW w:w="1336" w:type="dxa"/>
          </w:tcPr>
          <w:p w:rsidR="004E5FF1" w:rsidRPr="00F7263B" w:rsidRDefault="004E5FF1" w:rsidP="004E5FF1">
            <w:pPr>
              <w:jc w:val="both"/>
              <w:rPr>
                <w:sz w:val="20"/>
                <w:szCs w:val="20"/>
              </w:rPr>
            </w:pPr>
            <w:r w:rsidRPr="00F7263B">
              <w:rPr>
                <w:sz w:val="20"/>
                <w:szCs w:val="20"/>
              </w:rPr>
              <w:t>Yes (modified)</w:t>
            </w:r>
          </w:p>
        </w:tc>
      </w:tr>
      <w:tr w:rsidR="004E5FF1" w:rsidRPr="00F7263B">
        <w:tc>
          <w:tcPr>
            <w:tcW w:w="1133" w:type="dxa"/>
          </w:tcPr>
          <w:p w:rsidR="004E5FF1" w:rsidRPr="00F7263B" w:rsidRDefault="004E5FF1" w:rsidP="004E5FF1">
            <w:pPr>
              <w:jc w:val="both"/>
              <w:rPr>
                <w:b/>
                <w:sz w:val="20"/>
                <w:szCs w:val="20"/>
              </w:rPr>
            </w:pPr>
            <w:r w:rsidRPr="00F7263B">
              <w:rPr>
                <w:b/>
                <w:sz w:val="20"/>
                <w:szCs w:val="20"/>
              </w:rPr>
              <w:lastRenderedPageBreak/>
              <w:t>3.</w:t>
            </w:r>
          </w:p>
        </w:tc>
        <w:tc>
          <w:tcPr>
            <w:tcW w:w="3663" w:type="dxa"/>
          </w:tcPr>
          <w:p w:rsidR="004E5FF1" w:rsidRPr="00F7263B" w:rsidRDefault="004E5FF1" w:rsidP="00254260">
            <w:pPr>
              <w:rPr>
                <w:b/>
                <w:sz w:val="20"/>
                <w:szCs w:val="20"/>
              </w:rPr>
            </w:pPr>
            <w:r w:rsidRPr="00F7263B">
              <w:rPr>
                <w:b/>
                <w:sz w:val="20"/>
                <w:szCs w:val="20"/>
              </w:rPr>
              <w:t xml:space="preserve">Maintenance Performance </w:t>
            </w:r>
          </w:p>
          <w:p w:rsidR="004E5FF1" w:rsidRPr="00F7263B" w:rsidRDefault="004E5FF1" w:rsidP="00254260">
            <w:pPr>
              <w:rPr>
                <w:b/>
                <w:sz w:val="20"/>
                <w:szCs w:val="20"/>
              </w:rPr>
            </w:pPr>
            <w:r w:rsidRPr="00F7263B">
              <w:rPr>
                <w:sz w:val="20"/>
                <w:szCs w:val="20"/>
              </w:rPr>
              <w:t>30% weight of this in the first assessment (maximum 30 points) and 20 % of the weight (maximum 20 points) on this DLI from the 3</w:t>
            </w:r>
            <w:r w:rsidRPr="00F7263B">
              <w:rPr>
                <w:sz w:val="20"/>
                <w:szCs w:val="20"/>
                <w:vertAlign w:val="superscript"/>
              </w:rPr>
              <w:t>rd</w:t>
            </w:r>
            <w:r w:rsidRPr="00F7263B">
              <w:rPr>
                <w:sz w:val="20"/>
                <w:szCs w:val="20"/>
              </w:rPr>
              <w:t xml:space="preserve"> assessment when value for money kicks in). </w:t>
            </w:r>
          </w:p>
        </w:tc>
        <w:tc>
          <w:tcPr>
            <w:tcW w:w="4107" w:type="dxa"/>
          </w:tcPr>
          <w:p w:rsidR="004E5FF1" w:rsidRPr="00F7263B" w:rsidRDefault="004E5FF1" w:rsidP="00254260">
            <w:pPr>
              <w:rPr>
                <w:b/>
                <w:sz w:val="20"/>
                <w:szCs w:val="20"/>
              </w:rPr>
            </w:pPr>
          </w:p>
        </w:tc>
        <w:tc>
          <w:tcPr>
            <w:tcW w:w="1988" w:type="dxa"/>
          </w:tcPr>
          <w:p w:rsidR="004E5FF1" w:rsidRPr="00F7263B" w:rsidRDefault="004E5FF1" w:rsidP="00254260">
            <w:pPr>
              <w:rPr>
                <w:b/>
                <w:sz w:val="20"/>
                <w:szCs w:val="20"/>
              </w:rPr>
            </w:pPr>
          </w:p>
        </w:tc>
        <w:tc>
          <w:tcPr>
            <w:tcW w:w="1219" w:type="dxa"/>
          </w:tcPr>
          <w:p w:rsidR="004E5FF1" w:rsidRPr="00F7263B" w:rsidRDefault="004E5FF1" w:rsidP="00254260">
            <w:pPr>
              <w:rPr>
                <w:sz w:val="20"/>
                <w:szCs w:val="20"/>
              </w:rPr>
            </w:pPr>
            <w:r w:rsidRPr="00F7263B">
              <w:rPr>
                <w:sz w:val="20"/>
                <w:szCs w:val="20"/>
              </w:rPr>
              <w:t>Pillar 5</w:t>
            </w:r>
          </w:p>
        </w:tc>
        <w:tc>
          <w:tcPr>
            <w:tcW w:w="1336" w:type="dxa"/>
          </w:tcPr>
          <w:p w:rsidR="004E5FF1" w:rsidRPr="00F7263B" w:rsidRDefault="004E5FF1" w:rsidP="00254260">
            <w:pPr>
              <w:rPr>
                <w:b/>
                <w:sz w:val="20"/>
                <w:szCs w:val="20"/>
              </w:rPr>
            </w:pPr>
            <w:r w:rsidRPr="00F7263B">
              <w:rPr>
                <w:sz w:val="20"/>
                <w:szCs w:val="20"/>
              </w:rPr>
              <w:t>Existing but adjusted.</w:t>
            </w:r>
          </w:p>
        </w:tc>
      </w:tr>
      <w:tr w:rsidR="004E5FF1" w:rsidRPr="00F7263B">
        <w:tc>
          <w:tcPr>
            <w:tcW w:w="1133" w:type="dxa"/>
          </w:tcPr>
          <w:p w:rsidR="004E5FF1" w:rsidRPr="00F7263B" w:rsidRDefault="004E5FF1" w:rsidP="004E5FF1">
            <w:pPr>
              <w:rPr>
                <w:sz w:val="20"/>
                <w:szCs w:val="20"/>
              </w:rPr>
            </w:pPr>
            <w:r w:rsidRPr="00F7263B">
              <w:rPr>
                <w:sz w:val="20"/>
                <w:szCs w:val="20"/>
              </w:rPr>
              <w:t>3.1</w:t>
            </w:r>
          </w:p>
        </w:tc>
        <w:tc>
          <w:tcPr>
            <w:tcW w:w="3663" w:type="dxa"/>
          </w:tcPr>
          <w:p w:rsidR="004E5FF1" w:rsidRPr="00F7263B" w:rsidRDefault="004E5FF1" w:rsidP="00C518AF">
            <w:pPr>
              <w:rPr>
                <w:sz w:val="20"/>
                <w:szCs w:val="20"/>
              </w:rPr>
            </w:pPr>
            <w:r w:rsidRPr="00F7263B">
              <w:rPr>
                <w:sz w:val="20"/>
                <w:szCs w:val="20"/>
              </w:rPr>
              <w:t>Maintenance budget and implementation rate (Maximum points: 15 points in first assessments)</w:t>
            </w:r>
          </w:p>
          <w:p w:rsidR="004E5FF1" w:rsidRPr="00F7263B" w:rsidRDefault="004E5FF1" w:rsidP="00C518AF">
            <w:pPr>
              <w:rPr>
                <w:sz w:val="20"/>
                <w:szCs w:val="20"/>
              </w:rPr>
            </w:pPr>
          </w:p>
          <w:p w:rsidR="004E5FF1" w:rsidRPr="00F7263B" w:rsidRDefault="004E5FF1" w:rsidP="000A5D72">
            <w:pPr>
              <w:rPr>
                <w:sz w:val="20"/>
                <w:szCs w:val="20"/>
              </w:rPr>
            </w:pPr>
            <w:r w:rsidRPr="00F7263B">
              <w:rPr>
                <w:sz w:val="20"/>
                <w:szCs w:val="20"/>
              </w:rPr>
              <w:t>(10 points in the 3</w:t>
            </w:r>
            <w:r w:rsidRPr="00F7263B">
              <w:rPr>
                <w:sz w:val="20"/>
                <w:szCs w:val="20"/>
                <w:vertAlign w:val="superscript"/>
              </w:rPr>
              <w:t>rd</w:t>
            </w:r>
            <w:r w:rsidRPr="00F7263B">
              <w:rPr>
                <w:sz w:val="20"/>
                <w:szCs w:val="20"/>
              </w:rPr>
              <w:t xml:space="preserve"> and following assessments)</w:t>
            </w:r>
          </w:p>
        </w:tc>
        <w:tc>
          <w:tcPr>
            <w:tcW w:w="4107" w:type="dxa"/>
          </w:tcPr>
          <w:p w:rsidR="004E5FF1" w:rsidRPr="00F7263B" w:rsidRDefault="004E5FF1" w:rsidP="002E6515">
            <w:pPr>
              <w:pStyle w:val="ListParagraph"/>
              <w:numPr>
                <w:ilvl w:val="0"/>
                <w:numId w:val="50"/>
              </w:numPr>
              <w:spacing w:after="200"/>
              <w:rPr>
                <w:sz w:val="20"/>
                <w:szCs w:val="20"/>
              </w:rPr>
            </w:pPr>
            <w:r w:rsidRPr="00F7263B">
              <w:rPr>
                <w:sz w:val="20"/>
                <w:szCs w:val="20"/>
              </w:rPr>
              <w:t>Maintenance plan derived from the assets management plan</w:t>
            </w:r>
          </w:p>
          <w:p w:rsidR="004E5FF1" w:rsidRPr="00F7263B" w:rsidRDefault="004E5FF1" w:rsidP="0032371C">
            <w:pPr>
              <w:pStyle w:val="ListParagraph"/>
              <w:numPr>
                <w:ilvl w:val="0"/>
                <w:numId w:val="50"/>
              </w:numPr>
              <w:spacing w:after="200"/>
              <w:rPr>
                <w:sz w:val="20"/>
                <w:szCs w:val="20"/>
              </w:rPr>
            </w:pPr>
            <w:r w:rsidRPr="00F7263B">
              <w:rPr>
                <w:sz w:val="20"/>
                <w:szCs w:val="20"/>
              </w:rPr>
              <w:t xml:space="preserve">ULGs have developed a clear maintenance budget and actual implementation rate is minimum 80% of the planned.  </w:t>
            </w:r>
          </w:p>
          <w:p w:rsidR="004E5FF1" w:rsidRPr="00F7263B" w:rsidRDefault="004E5FF1" w:rsidP="003F32C6">
            <w:pPr>
              <w:spacing w:after="200"/>
              <w:rPr>
                <w:sz w:val="20"/>
                <w:szCs w:val="20"/>
              </w:rPr>
            </w:pPr>
            <w:r w:rsidRPr="00F7263B">
              <w:rPr>
                <w:sz w:val="20"/>
                <w:szCs w:val="20"/>
              </w:rPr>
              <w:t xml:space="preserve">Note: both conditions have to be complied with to get the 15 points. </w:t>
            </w:r>
          </w:p>
          <w:p w:rsidR="004E5FF1" w:rsidRPr="00F7263B" w:rsidRDefault="004E5FF1" w:rsidP="00B026F6">
            <w:pPr>
              <w:rPr>
                <w:sz w:val="20"/>
                <w:szCs w:val="20"/>
              </w:rPr>
            </w:pPr>
            <w:r w:rsidRPr="00F7263B">
              <w:rPr>
                <w:sz w:val="20"/>
                <w:szCs w:val="20"/>
              </w:rPr>
              <w:t>Review Overall budget and utilization rate in final accounts.</w:t>
            </w:r>
          </w:p>
          <w:p w:rsidR="004E5FF1" w:rsidRPr="00F7263B" w:rsidRDefault="004E5FF1" w:rsidP="00731DF1">
            <w:pPr>
              <w:rPr>
                <w:sz w:val="20"/>
                <w:szCs w:val="20"/>
              </w:rPr>
            </w:pPr>
          </w:p>
          <w:p w:rsidR="004E5FF1" w:rsidRPr="00F7263B" w:rsidRDefault="004E5FF1" w:rsidP="00570442">
            <w:pPr>
              <w:contextualSpacing/>
              <w:rPr>
                <w:i/>
                <w:sz w:val="20"/>
                <w:szCs w:val="20"/>
              </w:rPr>
            </w:pPr>
            <w:r w:rsidRPr="00F7263B">
              <w:rPr>
                <w:sz w:val="20"/>
                <w:szCs w:val="20"/>
              </w:rPr>
              <w:t>Sample of projects to review actual maintenance.</w:t>
            </w:r>
          </w:p>
        </w:tc>
        <w:tc>
          <w:tcPr>
            <w:tcW w:w="1988" w:type="dxa"/>
          </w:tcPr>
          <w:p w:rsidR="004E5FF1" w:rsidRPr="00F7263B" w:rsidRDefault="004E5FF1" w:rsidP="00405DC2">
            <w:pPr>
              <w:rPr>
                <w:sz w:val="20"/>
                <w:szCs w:val="20"/>
              </w:rPr>
            </w:pPr>
            <w:r w:rsidRPr="00F7263B">
              <w:rPr>
                <w:sz w:val="20"/>
                <w:szCs w:val="20"/>
              </w:rPr>
              <w:t>Ensure sustainability in the investments through up-keep of infrastructure</w:t>
            </w:r>
          </w:p>
        </w:tc>
        <w:tc>
          <w:tcPr>
            <w:tcW w:w="1219" w:type="dxa"/>
          </w:tcPr>
          <w:p w:rsidR="004E5FF1" w:rsidRPr="00F7263B" w:rsidRDefault="004E5FF1" w:rsidP="00B233B7">
            <w:pPr>
              <w:rPr>
                <w:sz w:val="20"/>
                <w:szCs w:val="20"/>
              </w:rPr>
            </w:pPr>
            <w:r w:rsidRPr="00F7263B">
              <w:rPr>
                <w:sz w:val="20"/>
                <w:szCs w:val="20"/>
              </w:rPr>
              <w:t>Pillar 5</w:t>
            </w:r>
          </w:p>
        </w:tc>
        <w:tc>
          <w:tcPr>
            <w:tcW w:w="1336" w:type="dxa"/>
          </w:tcPr>
          <w:p w:rsidR="004E5FF1" w:rsidRPr="00F7263B" w:rsidRDefault="004E5FF1" w:rsidP="005365CA">
            <w:pPr>
              <w:rPr>
                <w:sz w:val="20"/>
                <w:szCs w:val="20"/>
              </w:rPr>
            </w:pPr>
            <w:r w:rsidRPr="00F7263B">
              <w:rPr>
                <w:sz w:val="20"/>
                <w:szCs w:val="20"/>
              </w:rPr>
              <w:t>Existing, but adjusted</w:t>
            </w:r>
          </w:p>
        </w:tc>
      </w:tr>
      <w:tr w:rsidR="004E5FF1" w:rsidRPr="00F7263B">
        <w:tc>
          <w:tcPr>
            <w:tcW w:w="1133" w:type="dxa"/>
          </w:tcPr>
          <w:p w:rsidR="004E5FF1" w:rsidRPr="00F7263B" w:rsidRDefault="004E5FF1" w:rsidP="004E5FF1">
            <w:pPr>
              <w:jc w:val="both"/>
              <w:rPr>
                <w:sz w:val="20"/>
                <w:szCs w:val="20"/>
              </w:rPr>
            </w:pPr>
            <w:r w:rsidRPr="00F7263B">
              <w:rPr>
                <w:sz w:val="20"/>
                <w:szCs w:val="20"/>
              </w:rPr>
              <w:t>3.2</w:t>
            </w:r>
          </w:p>
        </w:tc>
        <w:tc>
          <w:tcPr>
            <w:tcW w:w="3663" w:type="dxa"/>
          </w:tcPr>
          <w:p w:rsidR="004E5FF1" w:rsidRPr="00F7263B" w:rsidRDefault="004E5FF1" w:rsidP="004E5FF1">
            <w:pPr>
              <w:jc w:val="both"/>
              <w:rPr>
                <w:sz w:val="20"/>
                <w:szCs w:val="20"/>
              </w:rPr>
            </w:pPr>
            <w:r w:rsidRPr="00F7263B">
              <w:rPr>
                <w:sz w:val="20"/>
                <w:szCs w:val="20"/>
              </w:rPr>
              <w:t xml:space="preserve">Actual maintenance (Maximum points 15 in first assessments) </w:t>
            </w: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(10 points in the 3</w:t>
            </w:r>
            <w:r w:rsidRPr="00F7263B">
              <w:rPr>
                <w:sz w:val="20"/>
                <w:szCs w:val="20"/>
                <w:vertAlign w:val="superscript"/>
              </w:rPr>
              <w:t>rd</w:t>
            </w:r>
            <w:r w:rsidRPr="00F7263B">
              <w:rPr>
                <w:sz w:val="20"/>
                <w:szCs w:val="20"/>
              </w:rPr>
              <w:t xml:space="preserve"> and the following assessments)</w:t>
            </w:r>
          </w:p>
        </w:tc>
        <w:tc>
          <w:tcPr>
            <w:tcW w:w="4107" w:type="dxa"/>
          </w:tcPr>
          <w:p w:rsidR="004E5FF1" w:rsidRPr="00F7263B" w:rsidRDefault="004E5FF1" w:rsidP="004E5FF1">
            <w:pPr>
              <w:pStyle w:val="ListParagraph"/>
              <w:numPr>
                <w:ilvl w:val="0"/>
                <w:numId w:val="50"/>
              </w:numPr>
              <w:spacing w:after="200"/>
              <w:jc w:val="both"/>
              <w:rPr>
                <w:sz w:val="20"/>
                <w:szCs w:val="20"/>
              </w:rPr>
            </w:pPr>
            <w:r w:rsidRPr="00F7263B">
              <w:rPr>
                <w:sz w:val="20"/>
                <w:szCs w:val="20"/>
              </w:rPr>
              <w:lastRenderedPageBreak/>
              <w:t xml:space="preserve">Maintenance is catered for (reward if all projects, which need maintenance, </w:t>
            </w:r>
            <w:r w:rsidRPr="00F7263B">
              <w:rPr>
                <w:sz w:val="20"/>
                <w:szCs w:val="20"/>
              </w:rPr>
              <w:lastRenderedPageBreak/>
              <w:t>have actually been catered for). This will be based on a sample of 3-5 projects from the Assets management plan.</w:t>
            </w:r>
          </w:p>
          <w:p w:rsidR="004E5FF1" w:rsidRPr="00F7263B" w:rsidRDefault="004E5FF1" w:rsidP="004E5FF1">
            <w:pPr>
              <w:spacing w:after="200"/>
              <w:jc w:val="both"/>
              <w:rPr>
                <w:rFonts w:eastAsia="Times New Roman" w:cs="Times New Roman"/>
                <w:b/>
                <w:bCs/>
                <w:i/>
                <w:sz w:val="20"/>
                <w:szCs w:val="20"/>
              </w:rPr>
            </w:pPr>
            <w:r w:rsidRPr="00F7263B">
              <w:rPr>
                <w:sz w:val="20"/>
                <w:szCs w:val="20"/>
              </w:rPr>
              <w:t xml:space="preserve">Note: All projects have to be catered for to achieve the points. </w:t>
            </w:r>
          </w:p>
        </w:tc>
        <w:tc>
          <w:tcPr>
            <w:tcW w:w="1988" w:type="dxa"/>
          </w:tcPr>
          <w:p w:rsidR="004E5FF1" w:rsidRPr="00F7263B" w:rsidRDefault="004E5FF1" w:rsidP="004E5FF1">
            <w:pPr>
              <w:jc w:val="both"/>
              <w:rPr>
                <w:sz w:val="20"/>
                <w:szCs w:val="20"/>
              </w:rPr>
            </w:pPr>
            <w:r w:rsidRPr="00F7263B">
              <w:rPr>
                <w:sz w:val="20"/>
                <w:szCs w:val="20"/>
              </w:rPr>
              <w:lastRenderedPageBreak/>
              <w:t xml:space="preserve">Ensure sustainability in the investments </w:t>
            </w:r>
            <w:r w:rsidRPr="00F7263B">
              <w:rPr>
                <w:sz w:val="20"/>
                <w:szCs w:val="20"/>
              </w:rPr>
              <w:lastRenderedPageBreak/>
              <w:t>through up-keep of infrastructure</w:t>
            </w:r>
          </w:p>
        </w:tc>
        <w:tc>
          <w:tcPr>
            <w:tcW w:w="1219" w:type="dxa"/>
          </w:tcPr>
          <w:p w:rsidR="004E5FF1" w:rsidRPr="00F7263B" w:rsidRDefault="004E5FF1" w:rsidP="004E5FF1">
            <w:pPr>
              <w:jc w:val="both"/>
              <w:rPr>
                <w:sz w:val="20"/>
                <w:szCs w:val="20"/>
              </w:rPr>
            </w:pPr>
            <w:r w:rsidRPr="00F7263B">
              <w:rPr>
                <w:sz w:val="20"/>
                <w:szCs w:val="20"/>
              </w:rPr>
              <w:lastRenderedPageBreak/>
              <w:t>Pillar 5</w:t>
            </w:r>
          </w:p>
        </w:tc>
        <w:tc>
          <w:tcPr>
            <w:tcW w:w="1336" w:type="dxa"/>
          </w:tcPr>
          <w:p w:rsidR="004E5FF1" w:rsidRPr="00F7263B" w:rsidRDefault="004E5FF1" w:rsidP="004E5FF1">
            <w:pPr>
              <w:jc w:val="both"/>
              <w:rPr>
                <w:sz w:val="20"/>
                <w:szCs w:val="20"/>
              </w:rPr>
            </w:pPr>
            <w:r w:rsidRPr="00F7263B">
              <w:rPr>
                <w:sz w:val="20"/>
                <w:szCs w:val="20"/>
              </w:rPr>
              <w:t>New</w:t>
            </w:r>
          </w:p>
        </w:tc>
      </w:tr>
      <w:tr w:rsidR="004E5FF1" w:rsidRPr="00F7263B">
        <w:tc>
          <w:tcPr>
            <w:tcW w:w="1133" w:type="dxa"/>
          </w:tcPr>
          <w:p w:rsidR="004E5FF1" w:rsidRPr="00F7263B" w:rsidRDefault="004E5FF1" w:rsidP="004E5FF1">
            <w:pPr>
              <w:jc w:val="both"/>
              <w:rPr>
                <w:b/>
                <w:sz w:val="20"/>
                <w:szCs w:val="20"/>
              </w:rPr>
            </w:pPr>
            <w:r w:rsidRPr="00F7263B">
              <w:rPr>
                <w:b/>
                <w:sz w:val="20"/>
                <w:szCs w:val="20"/>
              </w:rPr>
              <w:lastRenderedPageBreak/>
              <w:t>4</w:t>
            </w:r>
          </w:p>
        </w:tc>
        <w:tc>
          <w:tcPr>
            <w:tcW w:w="3663" w:type="dxa"/>
          </w:tcPr>
          <w:p w:rsidR="004E5FF1" w:rsidRPr="00F7263B" w:rsidRDefault="004E5FF1" w:rsidP="004E5FF1">
            <w:pPr>
              <w:jc w:val="both"/>
              <w:rPr>
                <w:b/>
                <w:sz w:val="20"/>
                <w:szCs w:val="20"/>
              </w:rPr>
            </w:pPr>
            <w:r w:rsidRPr="00F7263B">
              <w:rPr>
                <w:b/>
                <w:sz w:val="20"/>
                <w:szCs w:val="20"/>
              </w:rPr>
              <w:t xml:space="preserve">Quality of infrastructure </w:t>
            </w:r>
          </w:p>
          <w:p w:rsidR="004E5FF1" w:rsidRPr="00F7263B" w:rsidRDefault="004E5FF1" w:rsidP="004E5FF1">
            <w:pPr>
              <w:jc w:val="both"/>
              <w:rPr>
                <w:i/>
                <w:sz w:val="20"/>
                <w:szCs w:val="20"/>
              </w:rPr>
            </w:pPr>
            <w:r w:rsidRPr="00F7263B">
              <w:rPr>
                <w:i/>
                <w:sz w:val="20"/>
                <w:szCs w:val="20"/>
              </w:rPr>
              <w:t>(20 % weight from the 3</w:t>
            </w:r>
            <w:r w:rsidRPr="00F7263B">
              <w:rPr>
                <w:i/>
                <w:sz w:val="20"/>
                <w:szCs w:val="20"/>
                <w:vertAlign w:val="superscript"/>
              </w:rPr>
              <w:t>rd</w:t>
            </w:r>
            <w:r w:rsidRPr="00F7263B">
              <w:rPr>
                <w:i/>
                <w:sz w:val="20"/>
                <w:szCs w:val="20"/>
              </w:rPr>
              <w:t xml:space="preserve"> assessment)</w:t>
            </w:r>
          </w:p>
        </w:tc>
        <w:tc>
          <w:tcPr>
            <w:tcW w:w="4107" w:type="dxa"/>
          </w:tcPr>
          <w:p w:rsidR="004E5FF1" w:rsidRPr="00F7263B" w:rsidRDefault="004E5FF1" w:rsidP="004E5FF1">
            <w:pPr>
              <w:jc w:val="both"/>
              <w:rPr>
                <w:b/>
                <w:sz w:val="20"/>
                <w:szCs w:val="20"/>
              </w:rPr>
            </w:pPr>
          </w:p>
        </w:tc>
        <w:tc>
          <w:tcPr>
            <w:tcW w:w="1988" w:type="dxa"/>
          </w:tcPr>
          <w:p w:rsidR="004E5FF1" w:rsidRPr="00F7263B" w:rsidRDefault="004E5FF1" w:rsidP="004E5FF1">
            <w:pPr>
              <w:jc w:val="both"/>
              <w:rPr>
                <w:b/>
                <w:sz w:val="20"/>
                <w:szCs w:val="20"/>
              </w:rPr>
            </w:pPr>
          </w:p>
        </w:tc>
        <w:tc>
          <w:tcPr>
            <w:tcW w:w="1219" w:type="dxa"/>
          </w:tcPr>
          <w:p w:rsidR="004E5FF1" w:rsidRPr="00F7263B" w:rsidRDefault="004E5FF1" w:rsidP="004E5FF1">
            <w:pPr>
              <w:jc w:val="both"/>
              <w:rPr>
                <w:b/>
                <w:sz w:val="20"/>
                <w:szCs w:val="20"/>
              </w:rPr>
            </w:pPr>
          </w:p>
        </w:tc>
        <w:tc>
          <w:tcPr>
            <w:tcW w:w="1336" w:type="dxa"/>
          </w:tcPr>
          <w:p w:rsidR="004E5FF1" w:rsidRPr="00F7263B" w:rsidRDefault="004E5FF1" w:rsidP="004E5FF1">
            <w:pPr>
              <w:jc w:val="both"/>
              <w:rPr>
                <w:b/>
                <w:sz w:val="20"/>
                <w:szCs w:val="20"/>
              </w:rPr>
            </w:pPr>
          </w:p>
        </w:tc>
      </w:tr>
      <w:tr w:rsidR="004E5FF1" w:rsidRPr="00F7263B">
        <w:tc>
          <w:tcPr>
            <w:tcW w:w="1133" w:type="dxa"/>
          </w:tcPr>
          <w:p w:rsidR="004E5FF1" w:rsidRPr="00F7263B" w:rsidRDefault="004E5FF1" w:rsidP="004E5FF1">
            <w:pPr>
              <w:jc w:val="both"/>
              <w:rPr>
                <w:sz w:val="20"/>
                <w:szCs w:val="20"/>
              </w:rPr>
            </w:pPr>
            <w:r w:rsidRPr="00F7263B">
              <w:rPr>
                <w:sz w:val="20"/>
                <w:szCs w:val="20"/>
              </w:rPr>
              <w:t>4.1</w:t>
            </w:r>
          </w:p>
        </w:tc>
        <w:tc>
          <w:tcPr>
            <w:tcW w:w="3663" w:type="dxa"/>
          </w:tcPr>
          <w:p w:rsidR="004E5FF1" w:rsidRPr="00F7263B" w:rsidRDefault="004E5FF1" w:rsidP="004E5FF1">
            <w:pPr>
              <w:jc w:val="both"/>
              <w:rPr>
                <w:sz w:val="20"/>
                <w:szCs w:val="20"/>
              </w:rPr>
            </w:pPr>
            <w:r w:rsidRPr="00F7263B">
              <w:rPr>
                <w:sz w:val="20"/>
                <w:szCs w:val="20"/>
              </w:rPr>
              <w:t>Value for the money in the infrastructure investments funded by the Program</w:t>
            </w:r>
            <w:r w:rsidRPr="00F7263B">
              <w:rPr>
                <w:rStyle w:val="FootnoteReference"/>
                <w:sz w:val="20"/>
                <w:szCs w:val="20"/>
              </w:rPr>
              <w:footnoteReference w:id="61"/>
            </w:r>
            <w:r w:rsidRPr="00F7263B">
              <w:rPr>
                <w:sz w:val="20"/>
                <w:szCs w:val="20"/>
              </w:rPr>
              <w:t>.</w:t>
            </w:r>
          </w:p>
          <w:p w:rsidR="004E5FF1" w:rsidRPr="00F7263B" w:rsidRDefault="004E5FF1" w:rsidP="004E5FF1">
            <w:pPr>
              <w:jc w:val="both"/>
              <w:rPr>
                <w:sz w:val="20"/>
                <w:szCs w:val="20"/>
              </w:rPr>
            </w:pPr>
          </w:p>
          <w:p w:rsidR="004E5FF1" w:rsidRPr="00F7263B" w:rsidRDefault="004E5FF1" w:rsidP="004E5FF1">
            <w:pPr>
              <w:jc w:val="both"/>
              <w:rPr>
                <w:sz w:val="20"/>
                <w:szCs w:val="20"/>
              </w:rPr>
            </w:pPr>
            <w:r w:rsidRPr="00F7263B">
              <w:rPr>
                <w:sz w:val="20"/>
                <w:szCs w:val="20"/>
              </w:rPr>
              <w:t>(Maximum points 20 from 3</w:t>
            </w:r>
            <w:r w:rsidRPr="00F7263B">
              <w:rPr>
                <w:sz w:val="20"/>
                <w:szCs w:val="20"/>
                <w:vertAlign w:val="superscript"/>
              </w:rPr>
              <w:t>rd</w:t>
            </w:r>
            <w:r w:rsidRPr="00F7263B">
              <w:rPr>
                <w:sz w:val="20"/>
                <w:szCs w:val="20"/>
              </w:rPr>
              <w:t>. assessment and onwards)</w:t>
            </w:r>
          </w:p>
        </w:tc>
        <w:tc>
          <w:tcPr>
            <w:tcW w:w="4107" w:type="dxa"/>
          </w:tcPr>
          <w:p w:rsidR="004E5FF1" w:rsidRPr="00F7263B" w:rsidRDefault="004E5FF1" w:rsidP="004E5FF1">
            <w:pPr>
              <w:spacing w:after="200"/>
              <w:rPr>
                <w:sz w:val="20"/>
                <w:szCs w:val="20"/>
              </w:rPr>
            </w:pPr>
            <w:r w:rsidRPr="00F7263B">
              <w:rPr>
                <w:sz w:val="20"/>
                <w:szCs w:val="20"/>
              </w:rPr>
              <w:t xml:space="preserve">Percentage of projects implemented with a satisfactory level of value for the money, calibrated in the value for the money assessment tool.  </w:t>
            </w:r>
          </w:p>
          <w:p w:rsidR="004E5FF1" w:rsidRPr="00F7263B" w:rsidRDefault="004E5FF1" w:rsidP="004E5FF1">
            <w:pPr>
              <w:contextualSpacing/>
              <w:rPr>
                <w:sz w:val="20"/>
                <w:szCs w:val="20"/>
              </w:rPr>
            </w:pPr>
            <w:r w:rsidRPr="00F7263B">
              <w:rPr>
                <w:sz w:val="20"/>
                <w:szCs w:val="20"/>
              </w:rPr>
              <w:t xml:space="preserve">The % of projects with a satisfactory level of value for the money will be reflected in the score multiplied by 0.20 (20 % which is the weight of this indicator), i.e. 80 % satisfactory projects=16 points, 60 % = 12 points. </w:t>
            </w:r>
          </w:p>
          <w:p w:rsidR="004E5FF1" w:rsidRPr="00F7263B" w:rsidRDefault="004E5FF1" w:rsidP="004E5FF1">
            <w:pPr>
              <w:jc w:val="both"/>
              <w:rPr>
                <w:sz w:val="20"/>
                <w:szCs w:val="20"/>
              </w:rPr>
            </w:pPr>
            <w:r w:rsidRPr="00F7263B">
              <w:rPr>
                <w:sz w:val="20"/>
                <w:szCs w:val="20"/>
              </w:rPr>
              <w:t xml:space="preserve">The score on this indicator will be rated between 0-20 points. </w:t>
            </w:r>
          </w:p>
          <w:p w:rsidR="004E5FF1" w:rsidRPr="00F7263B" w:rsidRDefault="004E5FF1" w:rsidP="004E5FF1">
            <w:pPr>
              <w:jc w:val="both"/>
              <w:rPr>
                <w:sz w:val="20"/>
                <w:szCs w:val="20"/>
              </w:rPr>
            </w:pPr>
          </w:p>
          <w:p w:rsidR="004E5FF1" w:rsidRPr="00F7263B" w:rsidRDefault="004E5FF1" w:rsidP="004E5FF1">
            <w:pPr>
              <w:contextualSpacing/>
              <w:rPr>
                <w:sz w:val="20"/>
                <w:szCs w:val="20"/>
              </w:rPr>
            </w:pPr>
            <w:r w:rsidRPr="00F7263B">
              <w:rPr>
                <w:sz w:val="20"/>
                <w:szCs w:val="20"/>
              </w:rPr>
              <w:t xml:space="preserve">The value for the money of each project (level of satisfactory value for the money) will be assessed and there will a weighting of these to get a total score. The weight of each project will depend on the budgeted size of the projects.  </w:t>
            </w:r>
          </w:p>
          <w:p w:rsidR="004E5FF1" w:rsidRPr="00F7263B" w:rsidRDefault="004E5FF1" w:rsidP="004E5FF1">
            <w:pPr>
              <w:jc w:val="both"/>
              <w:rPr>
                <w:sz w:val="20"/>
                <w:szCs w:val="20"/>
              </w:rPr>
            </w:pPr>
            <w:r w:rsidRPr="00F7263B">
              <w:rPr>
                <w:sz w:val="20"/>
                <w:szCs w:val="20"/>
              </w:rPr>
              <w:t xml:space="preserve">The input from this will be provided by the value for the money audits to the assessment teams to be included in the calibration and in </w:t>
            </w:r>
            <w:r w:rsidRPr="00F7263B">
              <w:rPr>
                <w:sz w:val="20"/>
                <w:szCs w:val="20"/>
              </w:rPr>
              <w:lastRenderedPageBreak/>
              <w:t xml:space="preserve">the final calculation of the size of the allocations. </w:t>
            </w:r>
          </w:p>
          <w:p w:rsidR="004E5FF1" w:rsidRPr="00F7263B" w:rsidRDefault="004E5FF1" w:rsidP="004E5FF1">
            <w:pPr>
              <w:jc w:val="both"/>
              <w:rPr>
                <w:sz w:val="20"/>
                <w:szCs w:val="20"/>
              </w:rPr>
            </w:pPr>
          </w:p>
          <w:p w:rsidR="004E5FF1" w:rsidRPr="00F7263B" w:rsidRDefault="004E5FF1" w:rsidP="004E5FF1">
            <w:pPr>
              <w:jc w:val="both"/>
              <w:rPr>
                <w:i/>
                <w:sz w:val="20"/>
                <w:szCs w:val="20"/>
              </w:rPr>
            </w:pPr>
            <w:r w:rsidRPr="00F7263B">
              <w:rPr>
                <w:i/>
                <w:sz w:val="20"/>
                <w:szCs w:val="20"/>
              </w:rPr>
              <w:t>Transitional arrangement:</w:t>
            </w:r>
          </w:p>
          <w:p w:rsidR="004E5FF1" w:rsidRPr="00F7263B" w:rsidRDefault="004E5FF1" w:rsidP="004E5FF1">
            <w:pPr>
              <w:jc w:val="both"/>
              <w:rPr>
                <w:sz w:val="20"/>
                <w:szCs w:val="20"/>
              </w:rPr>
            </w:pPr>
            <w:r w:rsidRPr="00F7263B">
              <w:rPr>
                <w:i/>
                <w:sz w:val="20"/>
                <w:szCs w:val="20"/>
              </w:rPr>
              <w:t>The results of the value for money will be assessed first time at the APA in September 2015 of the performance in FY 2014/15</w:t>
            </w:r>
            <w:r w:rsidRPr="00F7263B">
              <w:rPr>
                <w:sz w:val="20"/>
                <w:szCs w:val="20"/>
              </w:rPr>
              <w:t xml:space="preserve">. </w:t>
            </w:r>
          </w:p>
        </w:tc>
        <w:tc>
          <w:tcPr>
            <w:tcW w:w="1988" w:type="dxa"/>
          </w:tcPr>
          <w:p w:rsidR="004E5FF1" w:rsidRPr="00F7263B" w:rsidRDefault="004E5FF1" w:rsidP="004E5FF1">
            <w:pPr>
              <w:rPr>
                <w:sz w:val="20"/>
                <w:szCs w:val="20"/>
              </w:rPr>
            </w:pPr>
            <w:r w:rsidRPr="00F7263B">
              <w:rPr>
                <w:sz w:val="20"/>
                <w:szCs w:val="20"/>
              </w:rPr>
              <w:lastRenderedPageBreak/>
              <w:t>Ensure efficient and high quality infrastructure and service delivery</w:t>
            </w:r>
          </w:p>
        </w:tc>
        <w:tc>
          <w:tcPr>
            <w:tcW w:w="1219" w:type="dxa"/>
          </w:tcPr>
          <w:p w:rsidR="004E5FF1" w:rsidRPr="00F7263B" w:rsidRDefault="004E5FF1" w:rsidP="004E5FF1">
            <w:pPr>
              <w:jc w:val="both"/>
              <w:rPr>
                <w:sz w:val="20"/>
                <w:szCs w:val="20"/>
              </w:rPr>
            </w:pPr>
            <w:r w:rsidRPr="00F7263B">
              <w:rPr>
                <w:sz w:val="20"/>
                <w:szCs w:val="20"/>
              </w:rPr>
              <w:t>Pillars  2 and 5</w:t>
            </w:r>
          </w:p>
        </w:tc>
        <w:tc>
          <w:tcPr>
            <w:tcW w:w="1336" w:type="dxa"/>
          </w:tcPr>
          <w:p w:rsidR="004E5FF1" w:rsidRPr="00F7263B" w:rsidRDefault="004E5FF1" w:rsidP="004E5FF1">
            <w:pPr>
              <w:jc w:val="both"/>
              <w:rPr>
                <w:sz w:val="20"/>
                <w:szCs w:val="20"/>
              </w:rPr>
            </w:pPr>
            <w:r w:rsidRPr="00F7263B">
              <w:rPr>
                <w:sz w:val="20"/>
                <w:szCs w:val="20"/>
              </w:rPr>
              <w:t>New</w:t>
            </w:r>
          </w:p>
        </w:tc>
      </w:tr>
      <w:tr w:rsidR="004E5FF1" w:rsidRPr="00F7263B">
        <w:tc>
          <w:tcPr>
            <w:tcW w:w="1133" w:type="dxa"/>
          </w:tcPr>
          <w:p w:rsidR="004E5FF1" w:rsidRPr="00F7263B" w:rsidRDefault="004E5FF1" w:rsidP="004E5FF1">
            <w:pPr>
              <w:jc w:val="both"/>
              <w:rPr>
                <w:sz w:val="20"/>
                <w:szCs w:val="20"/>
              </w:rPr>
            </w:pPr>
            <w:r w:rsidRPr="00F7263B">
              <w:rPr>
                <w:sz w:val="20"/>
                <w:szCs w:val="20"/>
              </w:rPr>
              <w:lastRenderedPageBreak/>
              <w:t>Maximum points 1, 2,3,4 = 100</w:t>
            </w:r>
          </w:p>
        </w:tc>
        <w:tc>
          <w:tcPr>
            <w:tcW w:w="3663" w:type="dxa"/>
          </w:tcPr>
          <w:p w:rsidR="004E5FF1" w:rsidRPr="00F7263B" w:rsidRDefault="004E5FF1" w:rsidP="004E5FF1">
            <w:pPr>
              <w:jc w:val="both"/>
              <w:rPr>
                <w:sz w:val="20"/>
                <w:szCs w:val="20"/>
              </w:rPr>
            </w:pPr>
          </w:p>
        </w:tc>
        <w:tc>
          <w:tcPr>
            <w:tcW w:w="4107" w:type="dxa"/>
          </w:tcPr>
          <w:p w:rsidR="004E5FF1" w:rsidRPr="00F7263B" w:rsidRDefault="004E5FF1" w:rsidP="004E5FF1">
            <w:pPr>
              <w:jc w:val="both"/>
              <w:rPr>
                <w:sz w:val="20"/>
                <w:szCs w:val="20"/>
              </w:rPr>
            </w:pPr>
          </w:p>
        </w:tc>
        <w:tc>
          <w:tcPr>
            <w:tcW w:w="1988" w:type="dxa"/>
          </w:tcPr>
          <w:p w:rsidR="004E5FF1" w:rsidRPr="00F7263B" w:rsidRDefault="004E5FF1" w:rsidP="004E5FF1">
            <w:pPr>
              <w:jc w:val="both"/>
              <w:rPr>
                <w:sz w:val="20"/>
                <w:szCs w:val="20"/>
              </w:rPr>
            </w:pPr>
          </w:p>
        </w:tc>
        <w:tc>
          <w:tcPr>
            <w:tcW w:w="1219" w:type="dxa"/>
          </w:tcPr>
          <w:p w:rsidR="004E5FF1" w:rsidRPr="00F7263B" w:rsidRDefault="004E5FF1" w:rsidP="004E5FF1">
            <w:pPr>
              <w:jc w:val="both"/>
              <w:rPr>
                <w:sz w:val="20"/>
                <w:szCs w:val="20"/>
              </w:rPr>
            </w:pPr>
          </w:p>
        </w:tc>
        <w:tc>
          <w:tcPr>
            <w:tcW w:w="1336" w:type="dxa"/>
          </w:tcPr>
          <w:p w:rsidR="004E5FF1" w:rsidRPr="00F7263B" w:rsidRDefault="004E5FF1" w:rsidP="004E5FF1">
            <w:pPr>
              <w:jc w:val="both"/>
              <w:rPr>
                <w:sz w:val="20"/>
                <w:szCs w:val="20"/>
              </w:rPr>
            </w:pPr>
          </w:p>
        </w:tc>
      </w:tr>
    </w:tbl>
    <w:p w:rsidR="004E5FF1" w:rsidRPr="00F7263B" w:rsidRDefault="004E5FF1" w:rsidP="004E5FF1">
      <w:pPr>
        <w:pStyle w:val="FootnoteText"/>
        <w:spacing w:after="240"/>
        <w:ind w:right="360"/>
        <w:jc w:val="both"/>
        <w:rPr>
          <w:b/>
        </w:rPr>
      </w:pPr>
      <w:r w:rsidRPr="00F7263B">
        <w:t xml:space="preserve">Note: The “execution rate” will be determined by a review of the bills of quantities, and verified by the </w:t>
      </w:r>
      <w:r w:rsidRPr="00F7263B">
        <w:rPr>
          <w:b/>
        </w:rPr>
        <w:t>physical progress against planned targets</w:t>
      </w:r>
      <w:r w:rsidRPr="00F7263B">
        <w:t xml:space="preserve">. Hence, for projects not yet fully completed, e.g. a road project, the team will review the progress on the major items in the </w:t>
      </w:r>
      <w:r w:rsidRPr="00F7263B">
        <w:rPr>
          <w:i/>
        </w:rPr>
        <w:t>bills of quantities</w:t>
      </w:r>
      <w:r w:rsidRPr="00F7263B">
        <w:t>, both in the regular reports from the engineer, as well as through field trip verification of the actual implementation rate. The % (rate), of completion measured by the bills of quantifies and physical progress against planned annual target will be determined for each project as the status was in the situation at the end of each Fiscal Year. The completion rate (%) of each project, when determined, will then be weighted with the relative contracted size of the projects to get an aggregate result, see the example below.</w:t>
      </w:r>
    </w:p>
    <w:p w:rsidR="004E5FF1" w:rsidRPr="00F7263B" w:rsidRDefault="004E5FF1" w:rsidP="004E5FF1">
      <w:pPr>
        <w:jc w:val="both"/>
        <w:rPr>
          <w:b/>
          <w:i/>
          <w:sz w:val="20"/>
          <w:szCs w:val="20"/>
        </w:rPr>
      </w:pPr>
      <w:r w:rsidRPr="00F7263B">
        <w:rPr>
          <w:b/>
          <w:i/>
          <w:sz w:val="20"/>
          <w:szCs w:val="20"/>
        </w:rPr>
        <w:t>Weighting Completion Rates</w:t>
      </w:r>
    </w:p>
    <w:tbl>
      <w:tblPr>
        <w:tblW w:w="13210" w:type="dxa"/>
        <w:tblCellMar>
          <w:left w:w="70" w:type="dxa"/>
          <w:right w:w="70" w:type="dxa"/>
        </w:tblCellMar>
        <w:tblLook w:val="0000" w:firstRow="0" w:lastRow="0" w:firstColumn="0" w:lastColumn="0" w:noHBand="0" w:noVBand="0"/>
      </w:tblPr>
      <w:tblGrid>
        <w:gridCol w:w="2050"/>
        <w:gridCol w:w="2250"/>
        <w:gridCol w:w="2790"/>
        <w:gridCol w:w="2790"/>
        <w:gridCol w:w="3330"/>
      </w:tblGrid>
      <w:tr w:rsidR="004E5FF1" w:rsidRPr="00F7263B">
        <w:trPr>
          <w:trHeight w:val="260"/>
          <w:tblHeader/>
        </w:trPr>
        <w:tc>
          <w:tcPr>
            <w:tcW w:w="205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E5FF1" w:rsidRPr="00F7263B" w:rsidRDefault="004E5FF1" w:rsidP="004E5FF1">
            <w:pPr>
              <w:ind w:left="806"/>
              <w:contextualSpacing/>
              <w:jc w:val="center"/>
              <w:rPr>
                <w:b/>
                <w:sz w:val="20"/>
                <w:szCs w:val="20"/>
                <w:lang w:eastAsia="da-DK"/>
              </w:rPr>
            </w:pPr>
            <w:r w:rsidRPr="00F7263B">
              <w:rPr>
                <w:b/>
                <w:sz w:val="20"/>
                <w:szCs w:val="20"/>
                <w:lang w:eastAsia="da-DK"/>
              </w:rPr>
              <w:t>Projects</w:t>
            </w:r>
          </w:p>
        </w:tc>
        <w:tc>
          <w:tcPr>
            <w:tcW w:w="225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E5FF1" w:rsidRPr="00F7263B" w:rsidRDefault="004E5FF1" w:rsidP="004E5FF1">
            <w:pPr>
              <w:ind w:left="806"/>
              <w:contextualSpacing/>
              <w:jc w:val="center"/>
              <w:rPr>
                <w:b/>
                <w:sz w:val="20"/>
                <w:szCs w:val="20"/>
                <w:lang w:eastAsia="da-DK"/>
              </w:rPr>
            </w:pPr>
            <w:r w:rsidRPr="00F7263B">
              <w:rPr>
                <w:b/>
                <w:sz w:val="20"/>
                <w:szCs w:val="20"/>
                <w:lang w:eastAsia="da-DK"/>
              </w:rPr>
              <w:t>Contract amount</w:t>
            </w:r>
          </w:p>
        </w:tc>
        <w:tc>
          <w:tcPr>
            <w:tcW w:w="279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E5FF1" w:rsidRPr="00F7263B" w:rsidRDefault="004E5FF1" w:rsidP="004E5FF1">
            <w:pPr>
              <w:ind w:left="806"/>
              <w:contextualSpacing/>
              <w:jc w:val="center"/>
              <w:rPr>
                <w:b/>
                <w:sz w:val="20"/>
                <w:szCs w:val="20"/>
                <w:lang w:eastAsia="da-DK"/>
              </w:rPr>
            </w:pPr>
            <w:r w:rsidRPr="00F7263B">
              <w:rPr>
                <w:b/>
                <w:sz w:val="20"/>
                <w:szCs w:val="20"/>
                <w:lang w:eastAsia="da-DK"/>
              </w:rPr>
              <w:t>Implementation rate against planned completion *</w:t>
            </w:r>
          </w:p>
        </w:tc>
        <w:tc>
          <w:tcPr>
            <w:tcW w:w="279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E5FF1" w:rsidRPr="00F7263B" w:rsidRDefault="004E5FF1" w:rsidP="004E5FF1">
            <w:pPr>
              <w:ind w:left="806"/>
              <w:contextualSpacing/>
              <w:jc w:val="center"/>
              <w:rPr>
                <w:b/>
                <w:sz w:val="20"/>
                <w:szCs w:val="20"/>
                <w:lang w:eastAsia="da-DK"/>
              </w:rPr>
            </w:pPr>
            <w:r w:rsidRPr="00F7263B">
              <w:rPr>
                <w:b/>
                <w:sz w:val="20"/>
                <w:szCs w:val="20"/>
                <w:lang w:eastAsia="da-DK"/>
              </w:rPr>
              <w:t>Weighted</w:t>
            </w:r>
          </w:p>
        </w:tc>
        <w:tc>
          <w:tcPr>
            <w:tcW w:w="333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4E5FF1" w:rsidRPr="00F7263B" w:rsidRDefault="004E5FF1" w:rsidP="004E5FF1">
            <w:pPr>
              <w:ind w:left="806"/>
              <w:contextualSpacing/>
              <w:jc w:val="center"/>
              <w:rPr>
                <w:b/>
                <w:sz w:val="20"/>
                <w:szCs w:val="20"/>
                <w:lang w:eastAsia="da-DK"/>
              </w:rPr>
            </w:pPr>
            <w:r w:rsidRPr="00F7263B">
              <w:rPr>
                <w:b/>
                <w:sz w:val="20"/>
                <w:szCs w:val="20"/>
                <w:lang w:eastAsia="da-DK"/>
              </w:rPr>
              <w:t>Result</w:t>
            </w:r>
          </w:p>
        </w:tc>
      </w:tr>
      <w:tr w:rsidR="004E5FF1" w:rsidRPr="00F7263B">
        <w:trPr>
          <w:trHeight w:val="260"/>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r w:rsidRPr="00F7263B">
              <w:rPr>
                <w:sz w:val="20"/>
                <w:szCs w:val="20"/>
                <w:lang w:eastAsia="da-DK"/>
              </w:rPr>
              <w:t>Project 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100,000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70%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70,000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p>
        </w:tc>
      </w:tr>
      <w:tr w:rsidR="004E5FF1" w:rsidRPr="00F7263B">
        <w:trPr>
          <w:trHeight w:val="341"/>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r w:rsidRPr="00F7263B">
              <w:rPr>
                <w:sz w:val="20"/>
                <w:szCs w:val="20"/>
                <w:lang w:eastAsia="da-DK"/>
              </w:rPr>
              <w:t>Project 2</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500,000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80%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400,000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p>
        </w:tc>
      </w:tr>
      <w:tr w:rsidR="004E5FF1" w:rsidRPr="00F7263B">
        <w:trPr>
          <w:trHeight w:val="260"/>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r w:rsidRPr="00F7263B">
              <w:rPr>
                <w:sz w:val="20"/>
                <w:szCs w:val="20"/>
                <w:lang w:eastAsia="da-DK"/>
              </w:rPr>
              <w:t>Project 3</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50,000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90%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45,000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p>
        </w:tc>
      </w:tr>
      <w:tr w:rsidR="004E5FF1" w:rsidRPr="00F7263B">
        <w:trPr>
          <w:trHeight w:val="260"/>
        </w:trPr>
        <w:tc>
          <w:tcPr>
            <w:tcW w:w="20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r w:rsidRPr="00F7263B">
              <w:rPr>
                <w:sz w:val="20"/>
                <w:szCs w:val="20"/>
                <w:lang w:eastAsia="da-DK"/>
              </w:rPr>
              <w:t>Total Plan</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650,000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100%</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sz w:val="20"/>
                <w:szCs w:val="20"/>
                <w:lang w:eastAsia="da-DK"/>
              </w:rPr>
            </w:pPr>
            <w:r w:rsidRPr="00F7263B">
              <w:rPr>
                <w:sz w:val="20"/>
                <w:szCs w:val="20"/>
                <w:lang w:eastAsia="da-DK"/>
              </w:rPr>
              <w:t>515,000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sz w:val="20"/>
                <w:szCs w:val="20"/>
                <w:lang w:eastAsia="da-DK"/>
              </w:rPr>
            </w:pPr>
          </w:p>
        </w:tc>
      </w:tr>
      <w:tr w:rsidR="004E5FF1" w:rsidRPr="00F7263B">
        <w:trPr>
          <w:trHeight w:val="260"/>
        </w:trPr>
        <w:tc>
          <w:tcPr>
            <w:tcW w:w="70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rPr>
                <w:b/>
                <w:sz w:val="20"/>
                <w:szCs w:val="20"/>
                <w:lang w:eastAsia="da-DK"/>
              </w:rPr>
            </w:pPr>
            <w:r w:rsidRPr="00F7263B">
              <w:rPr>
                <w:b/>
                <w:sz w:val="20"/>
                <w:szCs w:val="20"/>
                <w:lang w:eastAsia="da-DK"/>
              </w:rPr>
              <w:t>Weighted implementation rate for this City</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b/>
                <w:sz w:val="20"/>
                <w:szCs w:val="20"/>
                <w:lang w:eastAsia="da-DK"/>
              </w:rPr>
            </w:pPr>
            <w:r w:rsidRPr="00F7263B">
              <w:rPr>
                <w:b/>
                <w:sz w:val="20"/>
                <w:szCs w:val="20"/>
                <w:lang w:eastAsia="da-DK"/>
              </w:rPr>
              <w:t>0.79</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5FF1" w:rsidRPr="00F7263B" w:rsidRDefault="004E5FF1" w:rsidP="004E5FF1">
            <w:pPr>
              <w:contextualSpacing/>
              <w:jc w:val="right"/>
              <w:rPr>
                <w:b/>
                <w:bCs/>
                <w:sz w:val="20"/>
                <w:szCs w:val="20"/>
                <w:lang w:eastAsia="da-DK"/>
              </w:rPr>
            </w:pPr>
            <w:r w:rsidRPr="00F7263B">
              <w:rPr>
                <w:b/>
                <w:bCs/>
                <w:sz w:val="20"/>
                <w:szCs w:val="20"/>
                <w:lang w:eastAsia="da-DK"/>
              </w:rPr>
              <w:t>79%</w:t>
            </w:r>
          </w:p>
        </w:tc>
      </w:tr>
      <w:tr w:rsidR="004E5FF1" w:rsidRPr="00F7263B">
        <w:trPr>
          <w:trHeight w:val="260"/>
        </w:trPr>
        <w:tc>
          <w:tcPr>
            <w:tcW w:w="13210" w:type="dxa"/>
            <w:gridSpan w:val="5"/>
            <w:tcBorders>
              <w:top w:val="single" w:sz="4" w:space="0" w:color="auto"/>
              <w:left w:val="nil"/>
              <w:bottom w:val="nil"/>
              <w:right w:val="nil"/>
            </w:tcBorders>
            <w:shd w:val="clear" w:color="auto" w:fill="auto"/>
            <w:noWrap/>
            <w:vAlign w:val="bottom"/>
          </w:tcPr>
          <w:p w:rsidR="004E5FF1" w:rsidRPr="00F7263B" w:rsidRDefault="004E5FF1" w:rsidP="004E5FF1">
            <w:pPr>
              <w:contextualSpacing/>
              <w:rPr>
                <w:sz w:val="20"/>
                <w:szCs w:val="20"/>
                <w:lang w:eastAsia="da-DK"/>
              </w:rPr>
            </w:pPr>
            <w:r w:rsidRPr="00F7263B">
              <w:rPr>
                <w:sz w:val="20"/>
                <w:szCs w:val="20"/>
                <w:lang w:eastAsia="da-DK"/>
              </w:rPr>
              <w:t>*Progress of projects monitored through bills of quantities and field verification.</w:t>
            </w:r>
          </w:p>
        </w:tc>
      </w:tr>
    </w:tbl>
    <w:p w:rsidR="004E5FF1" w:rsidRPr="00F7263B" w:rsidRDefault="004E5FF1" w:rsidP="004E5FF1">
      <w:pPr>
        <w:rPr>
          <w:sz w:val="20"/>
          <w:szCs w:val="20"/>
        </w:rPr>
      </w:pPr>
    </w:p>
    <w:p w:rsidR="006D27F8" w:rsidRPr="00F7263B" w:rsidRDefault="006D27F8" w:rsidP="004E5FF1">
      <w:pPr>
        <w:pStyle w:val="Caption"/>
        <w:jc w:val="center"/>
      </w:pPr>
    </w:p>
    <w:bookmarkEnd w:id="107"/>
    <w:p w:rsidR="008C54FA" w:rsidRPr="00F7263B" w:rsidRDefault="008C54FA" w:rsidP="00556F1B">
      <w:pPr>
        <w:jc w:val="both"/>
        <w:rPr>
          <w:rFonts w:cs="Times New Roman"/>
          <w:sz w:val="20"/>
          <w:szCs w:val="20"/>
        </w:rPr>
      </w:pPr>
    </w:p>
    <w:sectPr w:rsidR="008C54FA" w:rsidRPr="00F7263B" w:rsidSect="00523EE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D1D" w:rsidRDefault="00D72D1D" w:rsidP="00A7596D">
      <w:r>
        <w:separator/>
      </w:r>
    </w:p>
  </w:endnote>
  <w:endnote w:type="continuationSeparator" w:id="0">
    <w:p w:rsidR="00D72D1D" w:rsidRDefault="00D72D1D" w:rsidP="00A7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580493"/>
      <w:docPartObj>
        <w:docPartGallery w:val="Page Numbers (Bottom of Page)"/>
        <w:docPartUnique/>
      </w:docPartObj>
    </w:sdtPr>
    <w:sdtEndPr/>
    <w:sdtContent>
      <w:p w:rsidR="0079568E" w:rsidRDefault="00844725">
        <w:pPr>
          <w:pStyle w:val="Footer"/>
          <w:jc w:val="center"/>
        </w:pPr>
        <w:r>
          <w:fldChar w:fldCharType="begin"/>
        </w:r>
        <w:r>
          <w:instrText xml:space="preserve"> PAGE   \* MERGEFORMAT </w:instrText>
        </w:r>
        <w:r>
          <w:fldChar w:fldCharType="separate"/>
        </w:r>
        <w:r w:rsidR="00027BB1">
          <w:rPr>
            <w:noProof/>
          </w:rPr>
          <w:t>11</w:t>
        </w:r>
        <w:r>
          <w:rPr>
            <w:noProof/>
          </w:rPr>
          <w:fldChar w:fldCharType="end"/>
        </w:r>
      </w:p>
    </w:sdtContent>
  </w:sdt>
  <w:p w:rsidR="0079568E" w:rsidRDefault="007956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E" w:rsidRDefault="0079568E" w:rsidP="001E33F2">
    <w:pPr>
      <w:pStyle w:val="Footer"/>
      <w:jc w:val="center"/>
    </w:pPr>
    <w:r>
      <w:t>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68E" w:rsidRDefault="0079568E" w:rsidP="001E33F2">
    <w:pPr>
      <w:pStyle w:val="Footer"/>
      <w:jc w:val="center"/>
    </w:pPr>
    <w:r>
      <w:t>135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D1D" w:rsidRDefault="00D72D1D" w:rsidP="00A7596D">
      <w:r>
        <w:separator/>
      </w:r>
    </w:p>
  </w:footnote>
  <w:footnote w:type="continuationSeparator" w:id="0">
    <w:p w:rsidR="00D72D1D" w:rsidRDefault="00D72D1D" w:rsidP="00A7596D">
      <w:r>
        <w:continuationSeparator/>
      </w:r>
    </w:p>
  </w:footnote>
  <w:footnote w:id="1">
    <w:p w:rsidR="0079568E" w:rsidRDefault="0079568E" w:rsidP="00BC3492">
      <w:pPr>
        <w:pStyle w:val="FootnoteText"/>
        <w:tabs>
          <w:tab w:val="left" w:pos="360"/>
        </w:tabs>
        <w:jc w:val="both"/>
      </w:pPr>
      <w:r>
        <w:rPr>
          <w:rStyle w:val="FootnoteReference"/>
        </w:rPr>
        <w:footnoteRef/>
      </w:r>
      <w:r>
        <w:tab/>
        <w:t>Source: United Nations.  According to the Ethiopian Central Statistical Agency, the population is 82.6 million.</w:t>
      </w:r>
    </w:p>
  </w:footnote>
  <w:footnote w:id="2">
    <w:p w:rsidR="0079568E" w:rsidRDefault="0079568E" w:rsidP="00BC3492">
      <w:pPr>
        <w:pStyle w:val="FootnoteText"/>
        <w:tabs>
          <w:tab w:val="left" w:pos="360"/>
        </w:tabs>
      </w:pPr>
      <w:r>
        <w:rPr>
          <w:rStyle w:val="FootnoteReference"/>
        </w:rPr>
        <w:footnoteRef/>
      </w:r>
      <w:r>
        <w:tab/>
      </w:r>
      <w:r w:rsidRPr="001C52C7">
        <w:t xml:space="preserve">Gross National Income, </w:t>
      </w:r>
      <w:r>
        <w:t xml:space="preserve">World Bank </w:t>
      </w:r>
      <w:r w:rsidRPr="001C52C7">
        <w:t>Atlas Method</w:t>
      </w:r>
      <w:r>
        <w:t>.</w:t>
      </w:r>
    </w:p>
  </w:footnote>
  <w:footnote w:id="3">
    <w:p w:rsidR="0079568E" w:rsidRDefault="0079568E" w:rsidP="00062ACC">
      <w:pPr>
        <w:pStyle w:val="FootnoteText"/>
        <w:jc w:val="both"/>
      </w:pPr>
      <w:r>
        <w:rPr>
          <w:rStyle w:val="FootnoteReference"/>
        </w:rPr>
        <w:footnoteRef/>
      </w:r>
      <w:r>
        <w:t xml:space="preserve"> The Regions are Afar, Amhara, Benishangul-Gumuz, Gambella, Harari, Oromia, Somali, SNNPR (Southern Nations, Nationalities and Peoples), and Tigray. The chartered cities areAddis Ababa and Dire Dawa.</w:t>
      </w:r>
    </w:p>
  </w:footnote>
  <w:footnote w:id="4">
    <w:p w:rsidR="0079568E" w:rsidRPr="003C1A83" w:rsidRDefault="0079568E" w:rsidP="00CE297C">
      <w:pPr>
        <w:pStyle w:val="FootnoteText"/>
        <w:tabs>
          <w:tab w:val="left" w:pos="360"/>
        </w:tabs>
        <w:ind w:left="360" w:hanging="360"/>
        <w:rPr>
          <w:rFonts w:cs="Times New Roman"/>
          <w:sz w:val="18"/>
          <w:szCs w:val="18"/>
        </w:rPr>
      </w:pPr>
      <w:r>
        <w:rPr>
          <w:rStyle w:val="FootnoteReference"/>
        </w:rPr>
        <w:footnoteRef/>
      </w:r>
      <w:r>
        <w:tab/>
      </w:r>
      <w:r w:rsidRPr="003C1A83">
        <w:rPr>
          <w:rFonts w:cs="Times New Roman"/>
          <w:sz w:val="18"/>
          <w:szCs w:val="18"/>
        </w:rPr>
        <w:t>ULGs are managed by city administrations and have a long list of mandates and responsibilities which include both the woreda-level functions which are concurrent state functions, as well as city affairs of delivering services and providing urban infrastructure.</w:t>
      </w:r>
    </w:p>
  </w:footnote>
  <w:footnote w:id="5">
    <w:p w:rsidR="0079568E" w:rsidRPr="001C0FC3" w:rsidRDefault="0079568E" w:rsidP="000E2353">
      <w:pPr>
        <w:pStyle w:val="FootnoteText"/>
        <w:tabs>
          <w:tab w:val="left" w:pos="360"/>
        </w:tabs>
        <w:rPr>
          <w:rFonts w:cs="Times New Roman"/>
          <w:sz w:val="18"/>
          <w:szCs w:val="18"/>
        </w:rPr>
      </w:pPr>
      <w:r w:rsidRPr="001C0FC3">
        <w:rPr>
          <w:rStyle w:val="FootnoteReference"/>
          <w:rFonts w:cs="Times New Roman"/>
          <w:sz w:val="18"/>
          <w:szCs w:val="18"/>
        </w:rPr>
        <w:footnoteRef/>
      </w:r>
      <w:r>
        <w:rPr>
          <w:rFonts w:cs="Times New Roman"/>
          <w:sz w:val="18"/>
          <w:szCs w:val="18"/>
        </w:rPr>
        <w:tab/>
        <w:t>World Bank Group, Country Partnership Strategy for the Federal Republic of Ethiopia, August 29, 2012</w:t>
      </w:r>
      <w:r w:rsidRPr="001C0FC3">
        <w:rPr>
          <w:rFonts w:cs="Times New Roman"/>
          <w:sz w:val="18"/>
          <w:szCs w:val="18"/>
        </w:rPr>
        <w:t xml:space="preserve">.  </w:t>
      </w:r>
    </w:p>
  </w:footnote>
  <w:footnote w:id="6">
    <w:p w:rsidR="0079568E" w:rsidRPr="001C0FC3" w:rsidRDefault="0079568E" w:rsidP="00C34269">
      <w:pPr>
        <w:pStyle w:val="FootnoteText"/>
        <w:tabs>
          <w:tab w:val="left" w:pos="360"/>
        </w:tabs>
        <w:rPr>
          <w:rFonts w:cs="Times New Roman"/>
          <w:sz w:val="18"/>
          <w:szCs w:val="18"/>
        </w:rPr>
      </w:pPr>
      <w:r w:rsidRPr="001C0FC3">
        <w:rPr>
          <w:rStyle w:val="FootnoteReference"/>
          <w:rFonts w:cs="Times New Roman"/>
          <w:sz w:val="18"/>
          <w:szCs w:val="18"/>
        </w:rPr>
        <w:footnoteRef/>
      </w:r>
      <w:r>
        <w:rPr>
          <w:rFonts w:cs="Times New Roman"/>
          <w:sz w:val="18"/>
          <w:szCs w:val="18"/>
        </w:rPr>
        <w:tab/>
      </w:r>
      <w:r w:rsidRPr="001C0FC3">
        <w:rPr>
          <w:rFonts w:cs="Times New Roman"/>
          <w:sz w:val="18"/>
          <w:szCs w:val="18"/>
        </w:rPr>
        <w:t>World Bank Development Indicators (2012 figures), based on official estimates.</w:t>
      </w:r>
    </w:p>
  </w:footnote>
  <w:footnote w:id="7">
    <w:p w:rsidR="0079568E" w:rsidRPr="006B6056" w:rsidRDefault="0079568E" w:rsidP="00291BC2">
      <w:pPr>
        <w:pStyle w:val="FootnoteText"/>
        <w:contextualSpacing/>
        <w:rPr>
          <w:rFonts w:cs="Times New Roman"/>
        </w:rPr>
      </w:pPr>
      <w:r w:rsidRPr="006B6056">
        <w:rPr>
          <w:rStyle w:val="FootnoteReference"/>
          <w:rFonts w:cs="Times New Roman"/>
        </w:rPr>
        <w:footnoteRef/>
      </w:r>
      <w:r w:rsidRPr="006B6056">
        <w:rPr>
          <w:rFonts w:cs="Times New Roman"/>
        </w:rPr>
        <w:t xml:space="preserve"> World Bank Development Indicators database</w:t>
      </w:r>
    </w:p>
  </w:footnote>
  <w:footnote w:id="8">
    <w:p w:rsidR="0079568E" w:rsidRDefault="0079568E" w:rsidP="00291BC2">
      <w:pPr>
        <w:pStyle w:val="FootnoteText"/>
        <w:contextualSpacing/>
      </w:pPr>
      <w:r w:rsidRPr="006B6056">
        <w:rPr>
          <w:rStyle w:val="FootnoteReference"/>
          <w:rFonts w:cs="Times New Roman"/>
        </w:rPr>
        <w:footnoteRef/>
      </w:r>
      <w:r>
        <w:rPr>
          <w:rFonts w:cs="Times New Roman"/>
        </w:rPr>
        <w:t xml:space="preserve">UN, </w:t>
      </w:r>
      <w:r w:rsidRPr="006B6056">
        <w:rPr>
          <w:rFonts w:cs="Times New Roman"/>
        </w:rPr>
        <w:t>Department of Economic and Social Affairs</w:t>
      </w:r>
      <w:r>
        <w:rPr>
          <w:rFonts w:cs="Times New Roman"/>
        </w:rPr>
        <w:t>, Population Division database</w:t>
      </w:r>
    </w:p>
  </w:footnote>
  <w:footnote w:id="9">
    <w:p w:rsidR="0079568E" w:rsidRPr="001C0FC3" w:rsidRDefault="0079568E" w:rsidP="00254260">
      <w:pPr>
        <w:pStyle w:val="FootnoteText"/>
        <w:tabs>
          <w:tab w:val="left" w:pos="360"/>
        </w:tabs>
        <w:contextualSpacing/>
        <w:rPr>
          <w:rFonts w:cs="Times New Roman"/>
          <w:sz w:val="18"/>
          <w:szCs w:val="18"/>
        </w:rPr>
      </w:pPr>
      <w:r w:rsidRPr="001C0FC3">
        <w:rPr>
          <w:rStyle w:val="FootnoteReference"/>
          <w:rFonts w:cs="Times New Roman"/>
          <w:sz w:val="18"/>
          <w:szCs w:val="18"/>
        </w:rPr>
        <w:footnoteRef/>
      </w:r>
      <w:r>
        <w:rPr>
          <w:rFonts w:cs="Times New Roman"/>
          <w:sz w:val="18"/>
          <w:szCs w:val="18"/>
        </w:rPr>
        <w:tab/>
        <w:t>Some</w:t>
      </w:r>
      <w:r w:rsidRPr="001C0FC3">
        <w:rPr>
          <w:rFonts w:cs="Times New Roman"/>
          <w:sz w:val="18"/>
          <w:szCs w:val="18"/>
        </w:rPr>
        <w:t xml:space="preserve"> of these funds w</w:t>
      </w:r>
      <w:r>
        <w:rPr>
          <w:rFonts w:cs="Times New Roman"/>
          <w:sz w:val="18"/>
          <w:szCs w:val="18"/>
        </w:rPr>
        <w:t>ere</w:t>
      </w:r>
      <w:r w:rsidRPr="001C0FC3">
        <w:rPr>
          <w:rFonts w:cs="Times New Roman"/>
          <w:sz w:val="18"/>
          <w:szCs w:val="18"/>
        </w:rPr>
        <w:t xml:space="preserve"> u</w:t>
      </w:r>
      <w:r>
        <w:rPr>
          <w:rFonts w:cs="Times New Roman"/>
          <w:sz w:val="18"/>
          <w:szCs w:val="18"/>
        </w:rPr>
        <w:t xml:space="preserve">sed </w:t>
      </w:r>
      <w:r w:rsidRPr="001C0FC3">
        <w:rPr>
          <w:rFonts w:cs="Times New Roman"/>
          <w:sz w:val="18"/>
          <w:szCs w:val="18"/>
        </w:rPr>
        <w:t xml:space="preserve">for technical </w:t>
      </w:r>
      <w:r>
        <w:rPr>
          <w:rFonts w:cs="Times New Roman"/>
          <w:sz w:val="18"/>
          <w:szCs w:val="18"/>
        </w:rPr>
        <w:t>assistant</w:t>
      </w:r>
      <w:r w:rsidRPr="001C0FC3">
        <w:rPr>
          <w:rFonts w:cs="Times New Roman"/>
          <w:sz w:val="18"/>
          <w:szCs w:val="18"/>
        </w:rPr>
        <w:t xml:space="preserve">s who supported ULGs in procurement, engineering, environment and social systems management.  Additionally, these funds were used by </w:t>
      </w:r>
      <w:r>
        <w:rPr>
          <w:rFonts w:cs="Times New Roman"/>
          <w:sz w:val="18"/>
          <w:szCs w:val="18"/>
        </w:rPr>
        <w:t>MUDHCo</w:t>
      </w:r>
      <w:r w:rsidRPr="001C0FC3">
        <w:rPr>
          <w:rFonts w:cs="Times New Roman"/>
          <w:sz w:val="18"/>
          <w:szCs w:val="18"/>
        </w:rPr>
        <w:t xml:space="preserve"> to procure consultancy services for </w:t>
      </w:r>
      <w:r>
        <w:rPr>
          <w:rFonts w:cs="Times New Roman"/>
          <w:sz w:val="18"/>
          <w:szCs w:val="18"/>
        </w:rPr>
        <w:t xml:space="preserve">the </w:t>
      </w:r>
      <w:r w:rsidRPr="001C0FC3">
        <w:rPr>
          <w:rFonts w:cs="Times New Roman"/>
          <w:sz w:val="18"/>
          <w:szCs w:val="18"/>
        </w:rPr>
        <w:t>annual performance assessment</w:t>
      </w:r>
      <w:r>
        <w:rPr>
          <w:rFonts w:cs="Times New Roman"/>
          <w:sz w:val="18"/>
          <w:szCs w:val="18"/>
        </w:rPr>
        <w:t>s</w:t>
      </w:r>
      <w:r w:rsidRPr="001C0FC3">
        <w:rPr>
          <w:rFonts w:cs="Times New Roman"/>
          <w:sz w:val="18"/>
          <w:szCs w:val="18"/>
        </w:rPr>
        <w:t>, environment and social audits, a</w:t>
      </w:r>
      <w:r>
        <w:rPr>
          <w:rFonts w:cs="Times New Roman"/>
          <w:sz w:val="18"/>
          <w:szCs w:val="18"/>
        </w:rPr>
        <w:t>nd other studies</w:t>
      </w:r>
      <w:r w:rsidRPr="001C0FC3">
        <w:rPr>
          <w:rFonts w:cs="Times New Roman"/>
          <w:sz w:val="18"/>
          <w:szCs w:val="18"/>
        </w:rPr>
        <w:t>.</w:t>
      </w:r>
    </w:p>
  </w:footnote>
  <w:footnote w:id="10">
    <w:p w:rsidR="0079568E" w:rsidRDefault="0079568E" w:rsidP="00254260">
      <w:pPr>
        <w:pStyle w:val="FootnoteText"/>
        <w:tabs>
          <w:tab w:val="left" w:pos="360"/>
        </w:tabs>
      </w:pPr>
      <w:r>
        <w:rPr>
          <w:rStyle w:val="FootnoteReference"/>
        </w:rPr>
        <w:footnoteRef/>
      </w:r>
      <w:r>
        <w:tab/>
      </w:r>
      <w:r>
        <w:rPr>
          <w:rFonts w:cs="Times New Roman"/>
          <w:sz w:val="18"/>
          <w:szCs w:val="18"/>
        </w:rPr>
        <w:t>S</w:t>
      </w:r>
      <w:r w:rsidRPr="00E15CAC">
        <w:rPr>
          <w:rFonts w:cs="Times New Roman"/>
          <w:sz w:val="18"/>
          <w:szCs w:val="18"/>
        </w:rPr>
        <w:t>taffincludes (</w:t>
      </w:r>
      <w:r>
        <w:rPr>
          <w:rFonts w:cs="Times New Roman"/>
          <w:sz w:val="18"/>
          <w:szCs w:val="18"/>
        </w:rPr>
        <w:t>a</w:t>
      </w:r>
      <w:r w:rsidRPr="00E15CAC">
        <w:rPr>
          <w:rFonts w:cs="Times New Roman"/>
          <w:sz w:val="18"/>
          <w:szCs w:val="18"/>
        </w:rPr>
        <w:t xml:space="preserve">) </w:t>
      </w:r>
      <w:r>
        <w:rPr>
          <w:rFonts w:cs="Times New Roman"/>
          <w:sz w:val="18"/>
          <w:szCs w:val="18"/>
        </w:rPr>
        <w:t xml:space="preserve">an </w:t>
      </w:r>
      <w:r w:rsidRPr="00E15CAC">
        <w:rPr>
          <w:rFonts w:cs="Times New Roman"/>
          <w:sz w:val="18"/>
          <w:szCs w:val="18"/>
        </w:rPr>
        <w:t xml:space="preserve">economist in change of </w:t>
      </w:r>
      <w:r>
        <w:rPr>
          <w:rFonts w:cs="Times New Roman"/>
          <w:sz w:val="18"/>
          <w:szCs w:val="18"/>
        </w:rPr>
        <w:t xml:space="preserve">preparing the participatory </w:t>
      </w:r>
      <w:r w:rsidRPr="00E15CAC">
        <w:rPr>
          <w:rFonts w:cs="Times New Roman"/>
          <w:sz w:val="18"/>
          <w:szCs w:val="18"/>
        </w:rPr>
        <w:t>capital investment plan, (</w:t>
      </w:r>
      <w:r>
        <w:rPr>
          <w:rFonts w:cs="Times New Roman"/>
          <w:sz w:val="18"/>
          <w:szCs w:val="18"/>
        </w:rPr>
        <w:t>b</w:t>
      </w:r>
      <w:r w:rsidRPr="00E15CAC">
        <w:rPr>
          <w:rFonts w:cs="Times New Roman"/>
          <w:sz w:val="18"/>
          <w:szCs w:val="18"/>
        </w:rPr>
        <w:t>) a financial management specialist, (</w:t>
      </w:r>
      <w:r>
        <w:rPr>
          <w:rFonts w:cs="Times New Roman"/>
          <w:sz w:val="18"/>
          <w:szCs w:val="18"/>
        </w:rPr>
        <w:t>c</w:t>
      </w:r>
      <w:r w:rsidRPr="00E15CAC">
        <w:rPr>
          <w:rFonts w:cs="Times New Roman"/>
          <w:sz w:val="18"/>
          <w:szCs w:val="18"/>
        </w:rPr>
        <w:t>) a procurement specialist, (</w:t>
      </w:r>
      <w:r>
        <w:rPr>
          <w:rFonts w:cs="Times New Roman"/>
          <w:sz w:val="18"/>
          <w:szCs w:val="18"/>
        </w:rPr>
        <w:t>d</w:t>
      </w:r>
      <w:r w:rsidRPr="00E15CAC">
        <w:rPr>
          <w:rFonts w:cs="Times New Roman"/>
          <w:sz w:val="18"/>
          <w:szCs w:val="18"/>
        </w:rPr>
        <w:t>) an environmental and social safeguards specialist, (</w:t>
      </w:r>
      <w:r>
        <w:rPr>
          <w:rFonts w:cs="Times New Roman"/>
          <w:sz w:val="18"/>
          <w:szCs w:val="18"/>
        </w:rPr>
        <w:t>e</w:t>
      </w:r>
      <w:r w:rsidRPr="00E15CAC">
        <w:rPr>
          <w:rFonts w:cs="Times New Roman"/>
          <w:sz w:val="18"/>
          <w:szCs w:val="18"/>
        </w:rPr>
        <w:t>) a municipal/infrastructure engineer and (</w:t>
      </w:r>
      <w:r>
        <w:rPr>
          <w:rFonts w:cs="Times New Roman"/>
          <w:sz w:val="18"/>
          <w:szCs w:val="18"/>
        </w:rPr>
        <w:t>f</w:t>
      </w:r>
      <w:r w:rsidRPr="00E15CAC">
        <w:rPr>
          <w:rFonts w:cs="Times New Roman"/>
          <w:sz w:val="18"/>
          <w:szCs w:val="18"/>
        </w:rPr>
        <w:t>) an urban planner</w:t>
      </w:r>
      <w:r>
        <w:rPr>
          <w:rFonts w:cs="Times New Roman"/>
          <w:sz w:val="18"/>
          <w:szCs w:val="18"/>
        </w:rPr>
        <w:t>.</w:t>
      </w:r>
    </w:p>
  </w:footnote>
  <w:footnote w:id="11">
    <w:p w:rsidR="0079568E" w:rsidRPr="00164437" w:rsidRDefault="0079568E" w:rsidP="00A1368B">
      <w:pPr>
        <w:pStyle w:val="FootnoteText"/>
        <w:tabs>
          <w:tab w:val="left" w:pos="360"/>
        </w:tabs>
        <w:rPr>
          <w:rFonts w:cs="Times New Roman"/>
          <w:sz w:val="18"/>
          <w:szCs w:val="18"/>
        </w:rPr>
      </w:pPr>
      <w:r>
        <w:rPr>
          <w:rStyle w:val="FootnoteReference"/>
        </w:rPr>
        <w:footnoteRef/>
      </w:r>
      <w:r>
        <w:tab/>
      </w:r>
      <w:r>
        <w:rPr>
          <w:rFonts w:cs="Times New Roman"/>
          <w:sz w:val="18"/>
          <w:szCs w:val="18"/>
        </w:rPr>
        <w:t>The regional government</w:t>
      </w:r>
      <w:r w:rsidRPr="00164437">
        <w:rPr>
          <w:rFonts w:cs="Times New Roman"/>
          <w:sz w:val="18"/>
          <w:szCs w:val="18"/>
        </w:rPr>
        <w:t xml:space="preserve"> and ULGs will be making funding contributions at various levels</w:t>
      </w:r>
      <w:r>
        <w:rPr>
          <w:rFonts w:cs="Times New Roman"/>
          <w:sz w:val="18"/>
          <w:szCs w:val="18"/>
        </w:rPr>
        <w:t xml:space="preserve">, as detailed in the annex.  </w:t>
      </w:r>
      <w:r w:rsidRPr="00164437">
        <w:rPr>
          <w:rFonts w:cs="Times New Roman"/>
          <w:sz w:val="18"/>
          <w:szCs w:val="18"/>
        </w:rPr>
        <w:t>Th</w:t>
      </w:r>
      <w:r>
        <w:rPr>
          <w:rFonts w:cs="Times New Roman"/>
          <w:sz w:val="18"/>
          <w:szCs w:val="18"/>
        </w:rPr>
        <w:t>e contribution from the ULGs</w:t>
      </w:r>
      <w:r w:rsidRPr="00164437">
        <w:rPr>
          <w:rFonts w:cs="Times New Roman"/>
          <w:sz w:val="18"/>
          <w:szCs w:val="18"/>
        </w:rPr>
        <w:t xml:space="preserve"> will constitute one of the minimum conditions to be met for each ULGs to qualify to receive funding from the Program.</w:t>
      </w:r>
    </w:p>
  </w:footnote>
  <w:footnote w:id="12">
    <w:p w:rsidR="0079568E" w:rsidRPr="00C01852" w:rsidRDefault="0079568E" w:rsidP="003A3E05">
      <w:pPr>
        <w:pStyle w:val="FootnoteText"/>
        <w:tabs>
          <w:tab w:val="left" w:pos="360"/>
        </w:tabs>
      </w:pPr>
      <w:r>
        <w:rPr>
          <w:rStyle w:val="FootnoteReference"/>
        </w:rPr>
        <w:footnoteRef/>
      </w:r>
      <w:r>
        <w:tab/>
      </w:r>
      <w:r w:rsidRPr="00861965">
        <w:t>Unde</w:t>
      </w:r>
      <w:r w:rsidRPr="004169CC">
        <w:t>r the ULGDP, state revenues</w:t>
      </w:r>
      <w:r w:rsidRPr="00C518AF">
        <w:t xml:space="preserve"> (which are primarily transfers from regional gov</w:t>
      </w:r>
      <w:r w:rsidRPr="001218D2">
        <w:t>ernments)</w:t>
      </w:r>
      <w:r w:rsidRPr="00C01852">
        <w:t xml:space="preserve"> have improved much faster than municipal revenues. </w:t>
      </w:r>
    </w:p>
  </w:footnote>
  <w:footnote w:id="13">
    <w:p w:rsidR="0079568E" w:rsidRPr="004169CC" w:rsidRDefault="0079568E" w:rsidP="003A3E05">
      <w:pPr>
        <w:pStyle w:val="FootnoteText"/>
        <w:tabs>
          <w:tab w:val="left" w:pos="360"/>
        </w:tabs>
      </w:pPr>
      <w:r w:rsidRPr="00861965">
        <w:rPr>
          <w:rStyle w:val="FootnoteReference"/>
        </w:rPr>
        <w:footnoteRef/>
      </w:r>
      <w:r w:rsidRPr="00861965">
        <w:tab/>
      </w:r>
      <w:r w:rsidRPr="004169CC">
        <w:t xml:space="preserve">The current performance measures only focus on existence of revenue enhancement plans and compliance with planned targets for total revenues (state and municipal together). </w:t>
      </w:r>
    </w:p>
  </w:footnote>
  <w:footnote w:id="14">
    <w:p w:rsidR="0079568E" w:rsidRPr="00C518AF" w:rsidRDefault="0079568E" w:rsidP="009E2794">
      <w:pPr>
        <w:pStyle w:val="FootnoteText"/>
        <w:tabs>
          <w:tab w:val="left" w:pos="360"/>
        </w:tabs>
      </w:pPr>
      <w:r w:rsidRPr="00861965">
        <w:rPr>
          <w:rStyle w:val="FootnoteReference"/>
        </w:rPr>
        <w:footnoteRef/>
      </w:r>
      <w:r w:rsidRPr="00861965">
        <w:tab/>
      </w:r>
      <w:r w:rsidRPr="00861965">
        <w:rPr>
          <w:rFonts w:cs="Times New Roman"/>
        </w:rPr>
        <w:t>A</w:t>
      </w:r>
      <w:r w:rsidRPr="004169CC">
        <w:rPr>
          <w:rFonts w:cs="Times New Roman"/>
        </w:rPr>
        <w:t xml:space="preserve"> possible Addis Ababa-specific project is currently being discussed between the government and the World Bank.</w:t>
      </w:r>
    </w:p>
  </w:footnote>
  <w:footnote w:id="15">
    <w:p w:rsidR="0079568E" w:rsidRPr="00254260" w:rsidRDefault="0079568E" w:rsidP="00445E1B">
      <w:pPr>
        <w:pStyle w:val="FootnoteText"/>
        <w:tabs>
          <w:tab w:val="left" w:pos="360"/>
        </w:tabs>
        <w:jc w:val="both"/>
        <w:rPr>
          <w:rFonts w:cs="Times New Roman"/>
        </w:rPr>
      </w:pPr>
      <w:r w:rsidRPr="00254260">
        <w:rPr>
          <w:rStyle w:val="FootnoteReference"/>
          <w:rFonts w:cs="Times New Roman"/>
        </w:rPr>
        <w:footnoteRef/>
      </w:r>
      <w:r w:rsidRPr="00254260">
        <w:rPr>
          <w:rFonts w:cs="Times New Roman"/>
        </w:rPr>
        <w:tab/>
      </w:r>
      <w:r w:rsidRPr="00254260">
        <w:t>In the areas of planning and budgeting, assets management, public financial management, procurement, own source revenues, accountability and transparency, environment and social safeguards, land management,</w:t>
      </w:r>
      <w:r w:rsidRPr="00861965">
        <w:t xml:space="preserve"> and </w:t>
      </w:r>
      <w:r>
        <w:t xml:space="preserve">strategic </w:t>
      </w:r>
      <w:r w:rsidRPr="00861965">
        <w:t>urban planning</w:t>
      </w:r>
      <w:r w:rsidRPr="00254260">
        <w:t>.</w:t>
      </w:r>
    </w:p>
  </w:footnote>
  <w:footnote w:id="16">
    <w:p w:rsidR="0079568E" w:rsidRDefault="0079568E" w:rsidP="00254260">
      <w:pPr>
        <w:pStyle w:val="FootnoteText"/>
        <w:tabs>
          <w:tab w:val="left" w:pos="360"/>
        </w:tabs>
      </w:pPr>
      <w:r>
        <w:rPr>
          <w:rStyle w:val="FootnoteReference"/>
        </w:rPr>
        <w:footnoteRef/>
      </w:r>
      <w:r>
        <w:tab/>
        <w:t xml:space="preserve">Value for money audits will assess the quality, timeliness, and cost effectiveness of completed infrastructure (a sample of projects will be selected in each ULG) against standard benchmarks in line with the terms of reference for the auditors.  The value for money audits will be conducted from the third assessment (of performance of investments during FY15), and the results will have a weight in the performance-based allocations of grants (see annex 10 for details). </w:t>
      </w:r>
    </w:p>
  </w:footnote>
  <w:footnote w:id="17">
    <w:p w:rsidR="0079568E" w:rsidRPr="001C0FC3" w:rsidRDefault="0079568E" w:rsidP="002048F5">
      <w:pPr>
        <w:pStyle w:val="FootnoteText"/>
        <w:tabs>
          <w:tab w:val="left" w:pos="360"/>
        </w:tabs>
        <w:rPr>
          <w:rFonts w:cs="Times New Roman"/>
          <w:sz w:val="18"/>
          <w:szCs w:val="18"/>
        </w:rPr>
      </w:pPr>
      <w:r w:rsidRPr="001C0FC3">
        <w:rPr>
          <w:rStyle w:val="FootnoteReference"/>
          <w:rFonts w:cs="Times New Roman"/>
          <w:sz w:val="18"/>
          <w:szCs w:val="18"/>
        </w:rPr>
        <w:footnoteRef/>
      </w:r>
      <w:r>
        <w:rPr>
          <w:rFonts w:cs="Times New Roman"/>
          <w:sz w:val="18"/>
          <w:szCs w:val="18"/>
        </w:rPr>
        <w:tab/>
        <w:t xml:space="preserve">Comprised of US$50.13 million IDA and US$28.59 </w:t>
      </w:r>
      <w:r w:rsidRPr="001C0FC3">
        <w:rPr>
          <w:rFonts w:cs="Times New Roman"/>
          <w:sz w:val="18"/>
          <w:szCs w:val="18"/>
        </w:rPr>
        <w:t xml:space="preserve">million </w:t>
      </w:r>
      <w:r>
        <w:rPr>
          <w:rFonts w:cs="Times New Roman"/>
          <w:sz w:val="18"/>
          <w:szCs w:val="18"/>
        </w:rPr>
        <w:t>government</w:t>
      </w:r>
      <w:r w:rsidRPr="001C0FC3">
        <w:rPr>
          <w:rFonts w:cs="Times New Roman"/>
          <w:sz w:val="18"/>
          <w:szCs w:val="18"/>
        </w:rPr>
        <w:t xml:space="preserve"> funds</w:t>
      </w:r>
      <w:r>
        <w:rPr>
          <w:rFonts w:cs="Times New Roman"/>
          <w:sz w:val="18"/>
          <w:szCs w:val="18"/>
        </w:rPr>
        <w:t xml:space="preserve"> from regions and ULGs</w:t>
      </w:r>
      <w:r w:rsidRPr="001C0FC3">
        <w:rPr>
          <w:rFonts w:cs="Times New Roman"/>
          <w:sz w:val="18"/>
          <w:szCs w:val="18"/>
        </w:rPr>
        <w:t xml:space="preserve">. </w:t>
      </w:r>
    </w:p>
  </w:footnote>
  <w:footnote w:id="18">
    <w:p w:rsidR="0079568E" w:rsidRPr="001C0FC3" w:rsidRDefault="0079568E" w:rsidP="002048F5">
      <w:pPr>
        <w:pStyle w:val="FootnoteText"/>
        <w:tabs>
          <w:tab w:val="left" w:pos="360"/>
        </w:tabs>
        <w:rPr>
          <w:rFonts w:cs="Times New Roman"/>
          <w:sz w:val="18"/>
          <w:szCs w:val="18"/>
        </w:rPr>
      </w:pPr>
      <w:r w:rsidRPr="001C0FC3">
        <w:rPr>
          <w:rStyle w:val="FootnoteReference"/>
          <w:rFonts w:cs="Times New Roman"/>
          <w:sz w:val="18"/>
          <w:szCs w:val="18"/>
        </w:rPr>
        <w:footnoteRef/>
      </w:r>
      <w:r>
        <w:rPr>
          <w:rFonts w:cs="Times New Roman"/>
          <w:sz w:val="18"/>
          <w:szCs w:val="18"/>
        </w:rPr>
        <w:tab/>
        <w:t>Comprised of US$68.22 million IDA and US$ 36.98</w:t>
      </w:r>
      <w:r w:rsidRPr="001C0FC3">
        <w:rPr>
          <w:rFonts w:cs="Times New Roman"/>
          <w:sz w:val="18"/>
          <w:szCs w:val="18"/>
        </w:rPr>
        <w:t xml:space="preserve"> million </w:t>
      </w:r>
      <w:r>
        <w:rPr>
          <w:rFonts w:cs="Times New Roman"/>
          <w:sz w:val="18"/>
          <w:szCs w:val="18"/>
        </w:rPr>
        <w:t>government</w:t>
      </w:r>
      <w:r w:rsidRPr="001C0FC3">
        <w:rPr>
          <w:rFonts w:cs="Times New Roman"/>
          <w:sz w:val="18"/>
          <w:szCs w:val="18"/>
        </w:rPr>
        <w:t xml:space="preserve"> funds</w:t>
      </w:r>
      <w:r>
        <w:rPr>
          <w:rFonts w:cs="Times New Roman"/>
          <w:sz w:val="18"/>
          <w:szCs w:val="18"/>
        </w:rPr>
        <w:t xml:space="preserve"> from regions and ULGs</w:t>
      </w:r>
      <w:r w:rsidRPr="001C0FC3">
        <w:rPr>
          <w:rFonts w:cs="Times New Roman"/>
          <w:sz w:val="18"/>
          <w:szCs w:val="18"/>
        </w:rPr>
        <w:t xml:space="preserve">. </w:t>
      </w:r>
    </w:p>
  </w:footnote>
  <w:footnote w:id="19">
    <w:p w:rsidR="0079568E" w:rsidRDefault="0079568E" w:rsidP="00ED19B6">
      <w:pPr>
        <w:pStyle w:val="FootnoteText"/>
      </w:pPr>
      <w:r>
        <w:rPr>
          <w:rStyle w:val="FootnoteReference"/>
        </w:rPr>
        <w:footnoteRef/>
      </w:r>
      <w:r w:rsidRPr="0094634E">
        <w:t>Proclamation No. 433/2005 and Regulation No. 144/2008 provide</w:t>
      </w:r>
      <w:r>
        <w:t>s</w:t>
      </w:r>
      <w:r w:rsidRPr="0094634E">
        <w:t xml:space="preserve"> for the role, powers, duties, and responsibilities of the FEACC</w:t>
      </w:r>
      <w:r>
        <w:t>.</w:t>
      </w:r>
    </w:p>
  </w:footnote>
  <w:footnote w:id="20">
    <w:p w:rsidR="0079568E" w:rsidRPr="001C0FC3" w:rsidRDefault="0079568E" w:rsidP="00A32610">
      <w:pPr>
        <w:pStyle w:val="FootnoteText"/>
        <w:tabs>
          <w:tab w:val="left" w:pos="360"/>
        </w:tabs>
        <w:contextualSpacing/>
        <w:rPr>
          <w:rFonts w:cs="Times New Roman"/>
          <w:sz w:val="18"/>
          <w:szCs w:val="18"/>
        </w:rPr>
      </w:pPr>
      <w:r w:rsidRPr="001C0FC3">
        <w:rPr>
          <w:rStyle w:val="FootnoteReference"/>
          <w:rFonts w:cs="Times New Roman"/>
          <w:sz w:val="18"/>
          <w:szCs w:val="18"/>
        </w:rPr>
        <w:footnoteRef/>
      </w:r>
      <w:r>
        <w:rPr>
          <w:rFonts w:cs="Times New Roman"/>
          <w:sz w:val="18"/>
          <w:szCs w:val="18"/>
        </w:rPr>
        <w:tab/>
      </w:r>
      <w:r w:rsidRPr="001C0FC3">
        <w:rPr>
          <w:rFonts w:cs="Times New Roman"/>
          <w:sz w:val="18"/>
          <w:szCs w:val="18"/>
        </w:rPr>
        <w:t xml:space="preserve">The most recent official national census dates back to 2007. The official Central Statistics Agency (CSA) has provided an estimate to this in 2013. As agreed with </w:t>
      </w:r>
      <w:r>
        <w:rPr>
          <w:rFonts w:cs="Times New Roman"/>
          <w:sz w:val="18"/>
          <w:szCs w:val="18"/>
        </w:rPr>
        <w:t>government</w:t>
      </w:r>
      <w:r w:rsidRPr="001C0FC3">
        <w:rPr>
          <w:rFonts w:cs="Times New Roman"/>
          <w:sz w:val="18"/>
          <w:szCs w:val="18"/>
        </w:rPr>
        <w:t xml:space="preserve">, the Program uses these figures. </w:t>
      </w:r>
    </w:p>
  </w:footnote>
  <w:footnote w:id="21">
    <w:p w:rsidR="0079568E" w:rsidRPr="00164437" w:rsidRDefault="0079568E" w:rsidP="00A32610">
      <w:pPr>
        <w:pStyle w:val="FootnoteText"/>
        <w:tabs>
          <w:tab w:val="left" w:pos="360"/>
        </w:tabs>
        <w:rPr>
          <w:rFonts w:cs="Times New Roman"/>
          <w:sz w:val="18"/>
          <w:szCs w:val="18"/>
        </w:rPr>
      </w:pPr>
      <w:r>
        <w:rPr>
          <w:rStyle w:val="FootnoteReference"/>
        </w:rPr>
        <w:footnoteRef/>
      </w:r>
      <w:r>
        <w:tab/>
      </w:r>
      <w:r>
        <w:rPr>
          <w:rFonts w:cs="Times New Roman"/>
          <w:sz w:val="18"/>
          <w:szCs w:val="18"/>
        </w:rPr>
        <w:t>The regional government</w:t>
      </w:r>
      <w:r w:rsidRPr="00164437">
        <w:rPr>
          <w:rFonts w:cs="Times New Roman"/>
          <w:sz w:val="18"/>
          <w:szCs w:val="18"/>
        </w:rPr>
        <w:t xml:space="preserve"> and ULGs will be making funding contributions at various levels</w:t>
      </w:r>
      <w:r>
        <w:rPr>
          <w:rFonts w:cs="Times New Roman"/>
          <w:sz w:val="18"/>
          <w:szCs w:val="18"/>
        </w:rPr>
        <w:t xml:space="preserve"> as detailed in the Annex. Contributions from ULGs</w:t>
      </w:r>
      <w:r w:rsidRPr="00164437">
        <w:rPr>
          <w:rFonts w:cs="Times New Roman"/>
          <w:sz w:val="18"/>
          <w:szCs w:val="18"/>
        </w:rPr>
        <w:t xml:space="preserve"> will constitute one of the minimum conditions to be met for each </w:t>
      </w:r>
      <w:r>
        <w:rPr>
          <w:rFonts w:cs="Times New Roman"/>
          <w:sz w:val="18"/>
          <w:szCs w:val="18"/>
        </w:rPr>
        <w:t xml:space="preserve">of the </w:t>
      </w:r>
      <w:r w:rsidRPr="00164437">
        <w:rPr>
          <w:rFonts w:cs="Times New Roman"/>
          <w:sz w:val="18"/>
          <w:szCs w:val="18"/>
        </w:rPr>
        <w:t>ULGs to qualify to receive funding from the Program.</w:t>
      </w:r>
    </w:p>
  </w:footnote>
  <w:footnote w:id="22">
    <w:p w:rsidR="0079568E" w:rsidRPr="00C04A7B" w:rsidRDefault="0079568E" w:rsidP="00A9743F">
      <w:pPr>
        <w:pStyle w:val="FootnoteText"/>
        <w:tabs>
          <w:tab w:val="left" w:pos="360"/>
        </w:tabs>
      </w:pPr>
      <w:r w:rsidRPr="00C04A7B">
        <w:rPr>
          <w:rStyle w:val="FootnoteReference"/>
        </w:rPr>
        <w:footnoteRef/>
      </w:r>
      <w:r>
        <w:tab/>
        <w:t>T</w:t>
      </w:r>
      <w:r w:rsidRPr="00C04A7B">
        <w:t xml:space="preserve">he assessments of the </w:t>
      </w:r>
      <w:r>
        <w:t>minimum conditions and performance measures</w:t>
      </w:r>
      <w:r w:rsidRPr="00C04A7B">
        <w:t xml:space="preserve"> in the first year will start later due to the start</w:t>
      </w:r>
      <w:r>
        <w:t>-</w:t>
      </w:r>
      <w:r w:rsidRPr="00C04A7B">
        <w:t xml:space="preserve">up of the Program. </w:t>
      </w:r>
    </w:p>
  </w:footnote>
  <w:footnote w:id="23">
    <w:p w:rsidR="0079568E" w:rsidRDefault="0079568E" w:rsidP="00254260">
      <w:pPr>
        <w:pStyle w:val="FootnoteText"/>
        <w:tabs>
          <w:tab w:val="left" w:pos="360"/>
        </w:tabs>
      </w:pPr>
      <w:r>
        <w:rPr>
          <w:rStyle w:val="FootnoteReference"/>
        </w:rPr>
        <w:footnoteRef/>
      </w:r>
      <w:r>
        <w:tab/>
        <w:t xml:space="preserve">Sewer reticulation systems canals (primary canals) shall not exceed in diameter 1,000 millimeters or 10 kilometers. </w:t>
      </w:r>
    </w:p>
  </w:footnote>
  <w:footnote w:id="24">
    <w:p w:rsidR="0079568E" w:rsidRDefault="0079568E" w:rsidP="000B7F72">
      <w:pPr>
        <w:pStyle w:val="FootnoteText"/>
        <w:tabs>
          <w:tab w:val="left" w:pos="360"/>
        </w:tabs>
      </w:pPr>
      <w:r>
        <w:rPr>
          <w:rStyle w:val="FootnoteReference"/>
        </w:rPr>
        <w:footnoteRef/>
      </w:r>
      <w:r>
        <w:tab/>
        <w:t>The teams include specialists in urban planning, municipal finance, financial management, land management, procurement, environmental management, social development, local economic development, infrastructure/asset management, participation and service standards.</w:t>
      </w:r>
    </w:p>
  </w:footnote>
  <w:footnote w:id="25">
    <w:p w:rsidR="0079568E" w:rsidRDefault="0079568E" w:rsidP="000B7F72">
      <w:pPr>
        <w:pStyle w:val="FootnoteText"/>
        <w:tabs>
          <w:tab w:val="left" w:pos="360"/>
        </w:tabs>
      </w:pPr>
      <w:r>
        <w:rPr>
          <w:rStyle w:val="FootnoteReference"/>
        </w:rPr>
        <w:footnoteRef/>
      </w:r>
      <w:r>
        <w:tab/>
        <w:t>These cities are Adwa, Asosa, DebereMarkos, Gambella, Jijiga, Nekemte, Samera, Yirga, and Alem.</w:t>
      </w:r>
    </w:p>
  </w:footnote>
  <w:footnote w:id="26">
    <w:p w:rsidR="0079568E" w:rsidRDefault="0079568E" w:rsidP="00BD7ADA">
      <w:pPr>
        <w:pStyle w:val="FootnoteText"/>
        <w:tabs>
          <w:tab w:val="left" w:pos="360"/>
        </w:tabs>
      </w:pPr>
      <w:r>
        <w:rPr>
          <w:rStyle w:val="FootnoteReference"/>
        </w:rPr>
        <w:footnoteRef/>
      </w:r>
      <w:r>
        <w:tab/>
        <w:t>Specifically, for the major activities of training, consultancy and procurement, the BUDs provide specification and purchase orders to purchasing experts in the civil service bureau to effect the purchases.</w:t>
      </w:r>
    </w:p>
  </w:footnote>
  <w:footnote w:id="27">
    <w:p w:rsidR="0079568E" w:rsidRDefault="0079568E" w:rsidP="00254260">
      <w:pPr>
        <w:pStyle w:val="FootnoteText"/>
        <w:tabs>
          <w:tab w:val="left" w:pos="360"/>
        </w:tabs>
      </w:pPr>
      <w:r>
        <w:rPr>
          <w:rStyle w:val="FootnoteReference"/>
        </w:rPr>
        <w:footnoteRef/>
      </w:r>
      <w:r>
        <w:tab/>
      </w:r>
      <w:r>
        <w:rPr>
          <w:lang w:eastAsia="ja-JP"/>
        </w:rPr>
        <w:t>I</w:t>
      </w:r>
      <w:r w:rsidRPr="00125167">
        <w:rPr>
          <w:lang w:eastAsia="ja-JP"/>
        </w:rPr>
        <w:t>n the case of modules (g) and (h) above awarenessraising as to the application of ULGDP II investment and capacity building funds will be given due attention</w:t>
      </w:r>
      <w:r w:rsidRPr="007305E9">
        <w:rPr>
          <w:lang w:eastAsia="ja-JP"/>
        </w:rPr>
        <w:t>.</w:t>
      </w:r>
    </w:p>
  </w:footnote>
  <w:footnote w:id="28">
    <w:p w:rsidR="0079568E" w:rsidRDefault="0079568E" w:rsidP="00254260">
      <w:pPr>
        <w:pStyle w:val="FootnoteText"/>
        <w:tabs>
          <w:tab w:val="left" w:pos="360"/>
        </w:tabs>
      </w:pPr>
      <w:r>
        <w:rPr>
          <w:rStyle w:val="FootnoteReference"/>
        </w:rPr>
        <w:footnoteRef/>
      </w:r>
      <w:r>
        <w:tab/>
      </w:r>
      <w:r w:rsidRPr="00125167">
        <w:t xml:space="preserve">ECSU may, to ensure practicality of the course, recruit trainers with practical experience of program delivery in ULGs) and costs of delivery.  </w:t>
      </w:r>
    </w:p>
  </w:footnote>
  <w:footnote w:id="29">
    <w:p w:rsidR="0079568E" w:rsidRDefault="0079568E" w:rsidP="00771598">
      <w:pPr>
        <w:pStyle w:val="FootnoteText"/>
      </w:pPr>
      <w:r>
        <w:rPr>
          <w:rStyle w:val="FootnoteReference"/>
        </w:rPr>
        <w:footnoteRef/>
      </w:r>
      <w:r>
        <w:t xml:space="preserve"> An example of this is the revenue mobilization where MUDHCo in cooperation with relevant agencies will develop standard tariff proclamations, guidelines and best practices to be used by the regions in their implementation of the framework. </w:t>
      </w:r>
    </w:p>
  </w:footnote>
  <w:footnote w:id="30">
    <w:p w:rsidR="0079568E" w:rsidRPr="00254260" w:rsidRDefault="0079568E" w:rsidP="00151505">
      <w:pPr>
        <w:pStyle w:val="FootnoteText"/>
        <w:tabs>
          <w:tab w:val="left" w:pos="360"/>
        </w:tabs>
        <w:rPr>
          <w:rFonts w:cs="Times New Roman"/>
        </w:rPr>
      </w:pPr>
      <w:r w:rsidRPr="001C0FC3">
        <w:rPr>
          <w:rStyle w:val="FootnoteReference"/>
          <w:rFonts w:cs="Times New Roman"/>
          <w:sz w:val="18"/>
          <w:szCs w:val="18"/>
        </w:rPr>
        <w:footnoteRef/>
      </w:r>
      <w:r>
        <w:rPr>
          <w:rFonts w:cs="Times New Roman"/>
          <w:sz w:val="18"/>
          <w:szCs w:val="18"/>
        </w:rPr>
        <w:tab/>
      </w:r>
      <w:r w:rsidRPr="00254260">
        <w:rPr>
          <w:rFonts w:cs="Times New Roman"/>
        </w:rPr>
        <w:t>Fiscal 2015 is taken as year zero.</w:t>
      </w:r>
    </w:p>
  </w:footnote>
  <w:footnote w:id="31">
    <w:p w:rsidR="0079568E" w:rsidRPr="00254260" w:rsidRDefault="0079568E" w:rsidP="00151505">
      <w:pPr>
        <w:pStyle w:val="FootnoteText"/>
        <w:tabs>
          <w:tab w:val="left" w:pos="360"/>
        </w:tabs>
        <w:jc w:val="both"/>
        <w:rPr>
          <w:rFonts w:cs="Times New Roman"/>
        </w:rPr>
      </w:pPr>
      <w:r w:rsidRPr="00254260">
        <w:rPr>
          <w:rStyle w:val="FootnoteReference"/>
          <w:rFonts w:cs="Times New Roman"/>
        </w:rPr>
        <w:footnoteRef/>
      </w:r>
      <w:r w:rsidRPr="00254260">
        <w:rPr>
          <w:rFonts w:cs="Times New Roman"/>
        </w:rPr>
        <w:tab/>
      </w:r>
      <w:r w:rsidRPr="00254260">
        <w:t xml:space="preserve">In the areas of planning and budgeting, assets management, </w:t>
      </w:r>
      <w:r>
        <w:t>public financial management</w:t>
      </w:r>
      <w:r w:rsidRPr="00254260">
        <w:t xml:space="preserve">, </w:t>
      </w:r>
      <w:r>
        <w:t>p</w:t>
      </w:r>
      <w:r w:rsidRPr="00254260">
        <w:t xml:space="preserve">rocurement, </w:t>
      </w:r>
      <w:r>
        <w:t>own source revenue</w:t>
      </w:r>
      <w:r w:rsidRPr="00254260">
        <w:t>, accountability and transparency, environment and social safeguards, land management</w:t>
      </w:r>
      <w:r>
        <w:t>,</w:t>
      </w:r>
      <w:r w:rsidRPr="007305E9">
        <w:t xml:space="preserve"> and  urban planning. </w:t>
      </w:r>
      <w:r w:rsidRPr="00254260">
        <w:rPr>
          <w:rFonts w:cs="Times New Roman"/>
        </w:rPr>
        <w:t xml:space="preserve"> The performance of ULGs ranges between 0</w:t>
      </w:r>
      <w:r>
        <w:rPr>
          <w:rFonts w:cs="Times New Roman"/>
        </w:rPr>
        <w:t>–</w:t>
      </w:r>
      <w:r w:rsidRPr="00254260">
        <w:rPr>
          <w:rFonts w:cs="Times New Roman"/>
        </w:rPr>
        <w:t>100. The percentage reflects the score.</w:t>
      </w:r>
    </w:p>
  </w:footnote>
  <w:footnote w:id="32">
    <w:p w:rsidR="0079568E" w:rsidRPr="00254260" w:rsidRDefault="0079568E" w:rsidP="00254260">
      <w:pPr>
        <w:pStyle w:val="FootnoteText"/>
        <w:tabs>
          <w:tab w:val="left" w:pos="360"/>
        </w:tabs>
      </w:pPr>
      <w:r w:rsidRPr="00254260">
        <w:rPr>
          <w:rStyle w:val="FootnoteReference"/>
        </w:rPr>
        <w:footnoteRef/>
      </w:r>
      <w:r>
        <w:tab/>
      </w:r>
      <w:r w:rsidRPr="00254260">
        <w:t xml:space="preserve">The increase is measured in nominal figures. </w:t>
      </w:r>
    </w:p>
  </w:footnote>
  <w:footnote w:id="33">
    <w:p w:rsidR="0079568E" w:rsidRDefault="0079568E" w:rsidP="00DF606E">
      <w:pPr>
        <w:pStyle w:val="FootnoteText"/>
        <w:tabs>
          <w:tab w:val="left" w:pos="360"/>
        </w:tabs>
      </w:pPr>
      <w:r>
        <w:rPr>
          <w:rStyle w:val="FootnoteReference"/>
        </w:rPr>
        <w:footnoteRef/>
      </w:r>
      <w:r>
        <w:tab/>
        <w:t>Five of the 18 cities currently participating in the ULGDP have received audits on time (by January 7, 2014) for financial year 2012/13 ((Ethiopian fiscal year 2005).</w:t>
      </w:r>
    </w:p>
  </w:footnote>
  <w:footnote w:id="34">
    <w:p w:rsidR="0079568E" w:rsidRPr="00C9483C" w:rsidRDefault="0079568E" w:rsidP="00151505">
      <w:pPr>
        <w:pStyle w:val="FootnoteText"/>
        <w:tabs>
          <w:tab w:val="left" w:pos="360"/>
        </w:tabs>
        <w:rPr>
          <w:sz w:val="16"/>
          <w:szCs w:val="16"/>
        </w:rPr>
      </w:pPr>
      <w:r w:rsidRPr="00C9483C">
        <w:rPr>
          <w:rStyle w:val="FootnoteReference"/>
          <w:sz w:val="16"/>
          <w:szCs w:val="16"/>
        </w:rPr>
        <w:footnoteRef/>
      </w:r>
      <w:r w:rsidRPr="00C9483C">
        <w:rPr>
          <w:sz w:val="16"/>
          <w:szCs w:val="16"/>
        </w:rPr>
        <w:tab/>
        <w:t>Numbers are indicative only, because the number of kilometers of roads to be constructed with Program funds will not be known until ULGs prepare and execute their CIPs.</w:t>
      </w:r>
    </w:p>
  </w:footnote>
  <w:footnote w:id="35">
    <w:p w:rsidR="0079568E" w:rsidRPr="00254260" w:rsidRDefault="0079568E" w:rsidP="00254260">
      <w:pPr>
        <w:pStyle w:val="FootnoteText"/>
        <w:tabs>
          <w:tab w:val="left" w:pos="360"/>
        </w:tabs>
        <w:rPr>
          <w:rFonts w:cs="Times New Roman"/>
        </w:rPr>
      </w:pPr>
      <w:r w:rsidRPr="00254260">
        <w:rPr>
          <w:rStyle w:val="FootnoteReference"/>
        </w:rPr>
        <w:footnoteRef/>
      </w:r>
      <w:r w:rsidRPr="00254260">
        <w:rPr>
          <w:rFonts w:cs="Times New Roman"/>
        </w:rPr>
        <w:tab/>
        <w:t xml:space="preserve">In the first year, the performance measures will only be applicable to the 18 ULGDP cities.  The assessment of progress against performance measures of all 44 ULGs (including the new 26 ULGs will begin in year 2. </w:t>
      </w:r>
    </w:p>
  </w:footnote>
  <w:footnote w:id="36">
    <w:p w:rsidR="0079568E" w:rsidRPr="00254260" w:rsidRDefault="0079568E" w:rsidP="00254260">
      <w:pPr>
        <w:pStyle w:val="FootnoteText"/>
        <w:tabs>
          <w:tab w:val="left" w:pos="360"/>
        </w:tabs>
      </w:pPr>
      <w:r w:rsidRPr="00254260">
        <w:rPr>
          <w:rStyle w:val="FootnoteReference"/>
        </w:rPr>
        <w:footnoteRef/>
      </w:r>
      <w:r w:rsidRPr="00254260">
        <w:tab/>
        <w:t xml:space="preserve">See verification protocol and the Bank disbursement table for further details. </w:t>
      </w:r>
    </w:p>
  </w:footnote>
  <w:footnote w:id="37">
    <w:p w:rsidR="0079568E" w:rsidRDefault="0079568E" w:rsidP="00254260">
      <w:pPr>
        <w:pStyle w:val="FootnoteText"/>
        <w:tabs>
          <w:tab w:val="left" w:pos="360"/>
        </w:tabs>
      </w:pPr>
      <w:r>
        <w:rPr>
          <w:rStyle w:val="FootnoteReference"/>
        </w:rPr>
        <w:footnoteRef/>
      </w:r>
      <w:r>
        <w:tab/>
        <w:t>Five of the 18 cities currently participating in the ULGDP have received audits on time (by January 7, 2014) for financial year 2012/13 ((Ethiopian fiscal year 2005).</w:t>
      </w:r>
    </w:p>
  </w:footnote>
  <w:footnote w:id="38">
    <w:p w:rsidR="0079568E" w:rsidRPr="00254260" w:rsidRDefault="0079568E" w:rsidP="00254260">
      <w:pPr>
        <w:pStyle w:val="FootnoteText"/>
        <w:tabs>
          <w:tab w:val="left" w:pos="360"/>
        </w:tabs>
      </w:pPr>
      <w:r>
        <w:rPr>
          <w:rStyle w:val="FootnoteReference"/>
        </w:rPr>
        <w:footnoteRef/>
      </w:r>
      <w:r>
        <w:tab/>
      </w:r>
      <w:r w:rsidRPr="00254260">
        <w:t>The r</w:t>
      </w:r>
      <w:r w:rsidRPr="007305E9">
        <w:t>egional revenue authori</w:t>
      </w:r>
      <w:r w:rsidRPr="00E9566D">
        <w:t>tie</w:t>
      </w:r>
      <w:r w:rsidRPr="00254260">
        <w:t xml:space="preserve">s will need time to build up the capacity within this area, and the tariff proclamations are expected to be up-dated only twice during the program period, hence results will be measured for the third and the fifth year of the Program. </w:t>
      </w:r>
    </w:p>
    <w:p w:rsidR="0079568E" w:rsidRPr="00C9483C" w:rsidRDefault="0079568E">
      <w:pPr>
        <w:pStyle w:val="FootnoteText"/>
        <w:rPr>
          <w:sz w:val="16"/>
          <w:szCs w:val="16"/>
        </w:rPr>
      </w:pPr>
    </w:p>
  </w:footnote>
  <w:footnote w:id="39">
    <w:p w:rsidR="0079568E" w:rsidRPr="00606750" w:rsidRDefault="0079568E" w:rsidP="00311545">
      <w:pPr>
        <w:pStyle w:val="FootnoteText"/>
        <w:tabs>
          <w:tab w:val="left" w:pos="360"/>
        </w:tabs>
        <w:rPr>
          <w:rFonts w:cs="Times New Roman"/>
          <w:sz w:val="18"/>
          <w:szCs w:val="18"/>
        </w:rPr>
      </w:pPr>
      <w:r w:rsidRPr="00606750">
        <w:rPr>
          <w:rStyle w:val="FootnoteReference"/>
          <w:sz w:val="18"/>
          <w:szCs w:val="18"/>
        </w:rPr>
        <w:footnoteRef/>
      </w:r>
      <w:r>
        <w:rPr>
          <w:rFonts w:cs="Times New Roman"/>
          <w:sz w:val="18"/>
          <w:szCs w:val="18"/>
        </w:rPr>
        <w:tab/>
        <w:t>Composite index of performance based on performance in the areas of</w:t>
      </w:r>
      <w:r w:rsidRPr="00606750">
        <w:rPr>
          <w:rFonts w:cs="Times New Roman"/>
          <w:sz w:val="18"/>
          <w:szCs w:val="18"/>
        </w:rPr>
        <w:t xml:space="preserve"> planning, revenue enhancement,</w:t>
      </w:r>
      <w:r>
        <w:rPr>
          <w:rFonts w:cs="Times New Roman"/>
          <w:sz w:val="18"/>
          <w:szCs w:val="18"/>
        </w:rPr>
        <w:t xml:space="preserve"> assets management,</w:t>
      </w:r>
      <w:r w:rsidRPr="00606750">
        <w:rPr>
          <w:rFonts w:cs="Times New Roman"/>
          <w:sz w:val="18"/>
          <w:szCs w:val="18"/>
        </w:rPr>
        <w:t xml:space="preserve"> fiduciary systems,</w:t>
      </w:r>
      <w:r>
        <w:rPr>
          <w:rFonts w:cs="Times New Roman"/>
          <w:sz w:val="18"/>
          <w:szCs w:val="18"/>
        </w:rPr>
        <w:t xml:space="preserve"> procurement,accountability/</w:t>
      </w:r>
      <w:r w:rsidRPr="00606750">
        <w:rPr>
          <w:rFonts w:cs="Times New Roman"/>
          <w:sz w:val="18"/>
          <w:szCs w:val="18"/>
        </w:rPr>
        <w:t xml:space="preserve"> oversight systems</w:t>
      </w:r>
      <w:r>
        <w:rPr>
          <w:rFonts w:cs="Times New Roman"/>
          <w:sz w:val="18"/>
          <w:szCs w:val="18"/>
        </w:rPr>
        <w:t>,</w:t>
      </w:r>
      <w:r w:rsidRPr="00606750">
        <w:rPr>
          <w:rFonts w:cs="Times New Roman"/>
          <w:sz w:val="18"/>
          <w:szCs w:val="18"/>
        </w:rPr>
        <w:t xml:space="preserve"> environmental and social systems management</w:t>
      </w:r>
      <w:r>
        <w:rPr>
          <w:rFonts w:cs="Times New Roman"/>
          <w:sz w:val="18"/>
          <w:szCs w:val="18"/>
        </w:rPr>
        <w:t xml:space="preserve"> and urban land management, see annex 10</w:t>
      </w:r>
      <w:r w:rsidRPr="00606750">
        <w:rPr>
          <w:rFonts w:cs="Times New Roman"/>
          <w:sz w:val="18"/>
          <w:szCs w:val="18"/>
        </w:rPr>
        <w:t xml:space="preserve">. </w:t>
      </w:r>
    </w:p>
  </w:footnote>
  <w:footnote w:id="40">
    <w:p w:rsidR="0079568E" w:rsidRDefault="0079568E">
      <w:pPr>
        <w:pStyle w:val="FootnoteText"/>
      </w:pPr>
      <w:r>
        <w:rPr>
          <w:rStyle w:val="FootnoteReference"/>
        </w:rPr>
        <w:footnoteRef/>
      </w:r>
      <w:r>
        <w:t xml:space="preserve"> Composite index of performance based on areas in infrastructure implementation, maintenance performance, planning and implementation on job creation and value for the money of investments implemented. </w:t>
      </w:r>
    </w:p>
  </w:footnote>
  <w:footnote w:id="41">
    <w:p w:rsidR="0079568E" w:rsidRDefault="0079568E" w:rsidP="00553600">
      <w:pPr>
        <w:pStyle w:val="FootnoteText"/>
        <w:tabs>
          <w:tab w:val="left" w:pos="360"/>
        </w:tabs>
      </w:pPr>
      <w:r>
        <w:rPr>
          <w:rStyle w:val="FootnoteReference"/>
        </w:rPr>
        <w:footnoteRef/>
      </w:r>
      <w:r>
        <w:tab/>
      </w:r>
      <w:r w:rsidRPr="00553600">
        <w:rPr>
          <w:rFonts w:cs="Times New Roman"/>
        </w:rPr>
        <w:t>As consolidated budget accounts only report on spending from treasury sources (that is, federal/state revenues and block grants) and external sources (international grants and loans), but exclude local expenditures funded from municipal own source revenues. In order to get a view that is as comprehensive as possible, it is assumed that municipal own sources are fully spent on urban development.  Caution should be used in interpreting these data, as there are some  inconsistencies in categorization and/or coding of the underlying budget data, which makes it difficult to consistently isolate urban development spending.</w:t>
      </w:r>
    </w:p>
  </w:footnote>
  <w:footnote w:id="42">
    <w:p w:rsidR="0079568E" w:rsidRDefault="0079568E" w:rsidP="00624BDE">
      <w:pPr>
        <w:tabs>
          <w:tab w:val="left" w:pos="360"/>
        </w:tabs>
        <w:autoSpaceDE w:val="0"/>
        <w:autoSpaceDN w:val="0"/>
        <w:adjustRightInd w:val="0"/>
        <w:rPr>
          <w:rFonts w:cs="Times New Roman"/>
          <w:color w:val="000000"/>
          <w:sz w:val="18"/>
          <w:szCs w:val="18"/>
        </w:rPr>
      </w:pPr>
      <w:r w:rsidRPr="001C0FC3">
        <w:rPr>
          <w:rStyle w:val="FootnoteReference"/>
          <w:rFonts w:cs="Times New Roman"/>
          <w:sz w:val="18"/>
          <w:szCs w:val="18"/>
        </w:rPr>
        <w:footnoteRef/>
      </w:r>
      <w:r>
        <w:rPr>
          <w:rFonts w:cs="Times New Roman"/>
          <w:sz w:val="18"/>
          <w:szCs w:val="18"/>
        </w:rPr>
        <w:tab/>
      </w:r>
      <w:r w:rsidRPr="001C0FC3">
        <w:rPr>
          <w:rFonts w:cs="Times New Roman"/>
          <w:sz w:val="18"/>
          <w:szCs w:val="18"/>
        </w:rPr>
        <w:t xml:space="preserve"> Ibid, </w:t>
      </w:r>
      <w:r>
        <w:rPr>
          <w:rFonts w:cs="Times New Roman"/>
          <w:color w:val="000000"/>
          <w:sz w:val="18"/>
          <w:szCs w:val="18"/>
        </w:rPr>
        <w:t>Ibid, Component 2a, Table 4.5 As is the case with all reports generated by IBEX, caution is needed in interpreting the data. For instance, it is possible that inconsistencies in the coding of the underlying budget data allows to identify some—but not all—urban development spending.  (Exchange rate: 1 US$ =18.8 Birr to US$ is applied in this case).</w:t>
      </w:r>
    </w:p>
    <w:p w:rsidR="0079568E" w:rsidRDefault="0079568E" w:rsidP="00624BDE">
      <w:pPr>
        <w:autoSpaceDE w:val="0"/>
        <w:autoSpaceDN w:val="0"/>
        <w:adjustRightInd w:val="0"/>
        <w:rPr>
          <w:rFonts w:cs="Times New Roman"/>
          <w:color w:val="000000"/>
          <w:sz w:val="18"/>
          <w:szCs w:val="18"/>
        </w:rPr>
      </w:pPr>
    </w:p>
    <w:p w:rsidR="0079568E" w:rsidRPr="001C0FC3" w:rsidRDefault="0079568E" w:rsidP="00AB72CB">
      <w:pPr>
        <w:pStyle w:val="FootnoteText"/>
        <w:contextualSpacing/>
        <w:rPr>
          <w:rFonts w:cs="Times New Roman"/>
          <w:sz w:val="18"/>
          <w:szCs w:val="18"/>
        </w:rPr>
      </w:pPr>
    </w:p>
  </w:footnote>
  <w:footnote w:id="43">
    <w:p w:rsidR="0079568E" w:rsidRPr="00254260" w:rsidRDefault="0079568E" w:rsidP="00AF73B3">
      <w:pPr>
        <w:pStyle w:val="FootnoteText"/>
        <w:tabs>
          <w:tab w:val="left" w:pos="360"/>
        </w:tabs>
        <w:contextualSpacing/>
        <w:rPr>
          <w:rFonts w:cs="Times New Roman"/>
        </w:rPr>
      </w:pPr>
      <w:r w:rsidRPr="001C0FC3">
        <w:rPr>
          <w:rStyle w:val="FootnoteReference"/>
          <w:rFonts w:cs="Times New Roman"/>
          <w:sz w:val="18"/>
          <w:szCs w:val="18"/>
        </w:rPr>
        <w:footnoteRef/>
      </w:r>
      <w:r>
        <w:rPr>
          <w:rFonts w:cs="Times New Roman"/>
          <w:sz w:val="18"/>
          <w:szCs w:val="18"/>
        </w:rPr>
        <w:tab/>
      </w:r>
      <w:r w:rsidRPr="00254260">
        <w:rPr>
          <w:rFonts w:cs="Times New Roman"/>
        </w:rPr>
        <w:t xml:space="preserve">Dege Consult, Urban Institute and SuDCA Development Consultants: Ethiopian LG Revenue Enhancement Study, Component 2a Report, October 2013. </w:t>
      </w:r>
    </w:p>
  </w:footnote>
  <w:footnote w:id="44">
    <w:p w:rsidR="0079568E" w:rsidRPr="00254260" w:rsidRDefault="0079568E" w:rsidP="00AF73B3">
      <w:pPr>
        <w:pStyle w:val="FootnoteText"/>
        <w:tabs>
          <w:tab w:val="left" w:pos="360"/>
        </w:tabs>
        <w:contextualSpacing/>
        <w:rPr>
          <w:rFonts w:cs="Times New Roman"/>
        </w:rPr>
      </w:pPr>
      <w:r w:rsidRPr="00254260">
        <w:rPr>
          <w:rStyle w:val="FootnoteReference"/>
          <w:rFonts w:cs="Times New Roman"/>
        </w:rPr>
        <w:footnoteRef/>
      </w:r>
      <w:r w:rsidRPr="00254260">
        <w:rPr>
          <w:rFonts w:cs="Times New Roman"/>
        </w:rPr>
        <w:tab/>
        <w:t xml:space="preserve">SUDCA, August 2013. </w:t>
      </w:r>
    </w:p>
  </w:footnote>
  <w:footnote w:id="45">
    <w:p w:rsidR="0079568E" w:rsidRPr="00254260" w:rsidRDefault="0079568E" w:rsidP="00AF73B3">
      <w:pPr>
        <w:pStyle w:val="FootnoteText"/>
        <w:tabs>
          <w:tab w:val="left" w:pos="360"/>
        </w:tabs>
        <w:contextualSpacing/>
        <w:rPr>
          <w:rFonts w:cs="Times New Roman"/>
        </w:rPr>
      </w:pPr>
      <w:r w:rsidRPr="00254260">
        <w:rPr>
          <w:rStyle w:val="FootnoteReference"/>
          <w:rFonts w:cs="Times New Roman"/>
        </w:rPr>
        <w:footnoteRef/>
      </w:r>
      <w:r w:rsidRPr="00254260">
        <w:rPr>
          <w:rFonts w:cs="Times New Roman"/>
        </w:rPr>
        <w:tab/>
        <w:t xml:space="preserve">ULGDP has developed a number of guidelines issues by MUDHCo, including for Assets Management, PFM, Capital investment planning, the project operational manual, which with slight up-date and refinement, will be used for the second phase as well. </w:t>
      </w:r>
    </w:p>
  </w:footnote>
  <w:footnote w:id="46">
    <w:p w:rsidR="0079568E" w:rsidRPr="001C0FC3" w:rsidRDefault="0079568E" w:rsidP="00C935A2">
      <w:pPr>
        <w:pStyle w:val="FootnoteText"/>
        <w:tabs>
          <w:tab w:val="left" w:pos="360"/>
        </w:tabs>
        <w:spacing w:before="2" w:after="2"/>
        <w:rPr>
          <w:rFonts w:cs="Times New Roman"/>
          <w:sz w:val="18"/>
          <w:szCs w:val="18"/>
        </w:rPr>
      </w:pPr>
      <w:r w:rsidRPr="001C0FC3">
        <w:rPr>
          <w:rStyle w:val="FootnoteReference"/>
          <w:rFonts w:cs="Times New Roman"/>
          <w:sz w:val="18"/>
          <w:szCs w:val="18"/>
        </w:rPr>
        <w:footnoteRef/>
      </w:r>
      <w:r>
        <w:rPr>
          <w:rFonts w:cs="Times New Roman"/>
          <w:sz w:val="18"/>
          <w:szCs w:val="18"/>
        </w:rPr>
        <w:tab/>
        <w:t>Comprised of US$50.13 million IDA and 28.60 US$</w:t>
      </w:r>
      <w:r w:rsidRPr="001C0FC3">
        <w:rPr>
          <w:rFonts w:cs="Times New Roman"/>
          <w:sz w:val="18"/>
          <w:szCs w:val="18"/>
        </w:rPr>
        <w:t xml:space="preserve"> million </w:t>
      </w:r>
      <w:r>
        <w:rPr>
          <w:rFonts w:cs="Times New Roman"/>
          <w:sz w:val="18"/>
          <w:szCs w:val="18"/>
        </w:rPr>
        <w:t>government</w:t>
      </w:r>
      <w:r w:rsidRPr="001C0FC3">
        <w:rPr>
          <w:rFonts w:cs="Times New Roman"/>
          <w:sz w:val="18"/>
          <w:szCs w:val="18"/>
        </w:rPr>
        <w:t xml:space="preserve"> funds</w:t>
      </w:r>
      <w:r>
        <w:rPr>
          <w:rFonts w:cs="Times New Roman"/>
          <w:sz w:val="18"/>
          <w:szCs w:val="18"/>
        </w:rPr>
        <w:t xml:space="preserve"> from regions and ULGs</w:t>
      </w:r>
      <w:r w:rsidRPr="001C0FC3">
        <w:rPr>
          <w:rFonts w:cs="Times New Roman"/>
          <w:sz w:val="18"/>
          <w:szCs w:val="18"/>
        </w:rPr>
        <w:t xml:space="preserve">. </w:t>
      </w:r>
    </w:p>
  </w:footnote>
  <w:footnote w:id="47">
    <w:p w:rsidR="0079568E" w:rsidRPr="001C0FC3" w:rsidRDefault="0079568E" w:rsidP="00C935A2">
      <w:pPr>
        <w:pStyle w:val="FootnoteText"/>
        <w:tabs>
          <w:tab w:val="left" w:pos="360"/>
        </w:tabs>
        <w:spacing w:before="2" w:after="2"/>
        <w:rPr>
          <w:rFonts w:cs="Times New Roman"/>
          <w:sz w:val="18"/>
          <w:szCs w:val="18"/>
        </w:rPr>
      </w:pPr>
      <w:r w:rsidRPr="001C0FC3">
        <w:rPr>
          <w:rStyle w:val="FootnoteReference"/>
          <w:rFonts w:cs="Times New Roman"/>
          <w:sz w:val="18"/>
          <w:szCs w:val="18"/>
        </w:rPr>
        <w:footnoteRef/>
      </w:r>
      <w:r>
        <w:rPr>
          <w:rFonts w:cs="Times New Roman"/>
          <w:sz w:val="18"/>
          <w:szCs w:val="18"/>
        </w:rPr>
        <w:tab/>
        <w:t>Comprised of US$68.22 million IDA and US$ 36.98</w:t>
      </w:r>
      <w:r w:rsidRPr="001C0FC3">
        <w:rPr>
          <w:rFonts w:cs="Times New Roman"/>
          <w:sz w:val="18"/>
          <w:szCs w:val="18"/>
        </w:rPr>
        <w:t xml:space="preserve"> million </w:t>
      </w:r>
      <w:r>
        <w:rPr>
          <w:rFonts w:cs="Times New Roman"/>
          <w:sz w:val="18"/>
          <w:szCs w:val="18"/>
        </w:rPr>
        <w:t>government</w:t>
      </w:r>
      <w:r w:rsidRPr="001C0FC3">
        <w:rPr>
          <w:rFonts w:cs="Times New Roman"/>
          <w:sz w:val="18"/>
          <w:szCs w:val="18"/>
        </w:rPr>
        <w:t xml:space="preserve"> funds</w:t>
      </w:r>
      <w:r>
        <w:rPr>
          <w:rFonts w:cs="Times New Roman"/>
          <w:sz w:val="18"/>
          <w:szCs w:val="18"/>
        </w:rPr>
        <w:t xml:space="preserve"> from regions and ULGs</w:t>
      </w:r>
      <w:r w:rsidRPr="001C0FC3">
        <w:rPr>
          <w:rFonts w:cs="Times New Roman"/>
          <w:sz w:val="18"/>
          <w:szCs w:val="18"/>
        </w:rPr>
        <w:t xml:space="preserve">. </w:t>
      </w:r>
    </w:p>
  </w:footnote>
  <w:footnote w:id="48">
    <w:p w:rsidR="0079568E" w:rsidRPr="001C0FC3" w:rsidRDefault="0079568E" w:rsidP="005B1287">
      <w:pPr>
        <w:pStyle w:val="FootnoteText"/>
        <w:tabs>
          <w:tab w:val="left" w:pos="360"/>
        </w:tabs>
        <w:contextualSpacing/>
        <w:rPr>
          <w:rFonts w:cs="Times New Roman"/>
          <w:sz w:val="18"/>
          <w:szCs w:val="18"/>
        </w:rPr>
      </w:pPr>
      <w:r w:rsidRPr="001C0FC3">
        <w:rPr>
          <w:rStyle w:val="FootnoteReference"/>
          <w:rFonts w:cs="Times New Roman"/>
          <w:sz w:val="18"/>
          <w:szCs w:val="18"/>
        </w:rPr>
        <w:footnoteRef/>
      </w:r>
      <w:r>
        <w:rPr>
          <w:rFonts w:cs="Times New Roman"/>
          <w:sz w:val="18"/>
          <w:szCs w:val="18"/>
        </w:rPr>
        <w:tab/>
      </w:r>
      <w:r w:rsidRPr="001C0FC3">
        <w:rPr>
          <w:rFonts w:cs="Times New Roman"/>
          <w:sz w:val="18"/>
          <w:szCs w:val="18"/>
        </w:rPr>
        <w:t>Instead of the current systems of fund requests and replenishments.</w:t>
      </w:r>
    </w:p>
  </w:footnote>
  <w:footnote w:id="49">
    <w:p w:rsidR="0079568E" w:rsidRPr="001C0FC3" w:rsidRDefault="0079568E" w:rsidP="00BD3705">
      <w:pPr>
        <w:pStyle w:val="FootnoteText"/>
        <w:contextualSpacing/>
        <w:rPr>
          <w:rFonts w:cs="Times New Roman"/>
          <w:sz w:val="18"/>
          <w:szCs w:val="18"/>
        </w:rPr>
      </w:pPr>
      <w:r w:rsidRPr="001C0FC3">
        <w:rPr>
          <w:rStyle w:val="FootnoteReference"/>
          <w:rFonts w:cs="Times New Roman"/>
          <w:sz w:val="18"/>
          <w:szCs w:val="18"/>
        </w:rPr>
        <w:footnoteRef/>
      </w:r>
      <w:r w:rsidRPr="001C0FC3">
        <w:rPr>
          <w:rFonts w:cs="Times New Roman"/>
          <w:sz w:val="18"/>
          <w:szCs w:val="18"/>
        </w:rPr>
        <w:t xml:space="preserve"> See Dege Consultant, UI, and SuDCA Development Consultants: Ethiopian LG Revenue Study, October 2013, Report on Component 2a. </w:t>
      </w:r>
    </w:p>
  </w:footnote>
  <w:footnote w:id="50">
    <w:p w:rsidR="0079568E" w:rsidRPr="001C0FC3" w:rsidRDefault="0079568E" w:rsidP="00260DC8">
      <w:pPr>
        <w:pStyle w:val="FootnoteText"/>
        <w:contextualSpacing/>
        <w:rPr>
          <w:rFonts w:cs="Times New Roman"/>
          <w:sz w:val="18"/>
          <w:szCs w:val="18"/>
        </w:rPr>
      </w:pPr>
      <w:r w:rsidRPr="001C0FC3">
        <w:rPr>
          <w:rStyle w:val="FootnoteReference"/>
          <w:rFonts w:cs="Times New Roman"/>
          <w:sz w:val="18"/>
          <w:szCs w:val="18"/>
        </w:rPr>
        <w:footnoteRef/>
      </w:r>
      <w:r w:rsidRPr="001C0FC3">
        <w:rPr>
          <w:rFonts w:cs="Times New Roman"/>
          <w:sz w:val="18"/>
          <w:szCs w:val="18"/>
        </w:rPr>
        <w:t xml:space="preserve"> The existing manual system of consolidation of M&amp;E reports will be upgraded to a computerized electronic data system, using access, excel, or similar tools. </w:t>
      </w:r>
    </w:p>
  </w:footnote>
  <w:footnote w:id="51">
    <w:p w:rsidR="0079568E" w:rsidRPr="001C0FC3" w:rsidRDefault="0079568E" w:rsidP="00AF7963">
      <w:pPr>
        <w:pStyle w:val="FootnoteText"/>
        <w:contextualSpacing/>
        <w:rPr>
          <w:rFonts w:cs="Times New Roman"/>
          <w:sz w:val="18"/>
          <w:szCs w:val="18"/>
        </w:rPr>
      </w:pPr>
      <w:r w:rsidRPr="001C0FC3">
        <w:rPr>
          <w:rStyle w:val="FootnoteReference"/>
          <w:rFonts w:cs="Times New Roman"/>
          <w:sz w:val="18"/>
          <w:szCs w:val="18"/>
        </w:rPr>
        <w:footnoteRef/>
      </w:r>
      <w:r w:rsidRPr="001C0FC3">
        <w:rPr>
          <w:rFonts w:cs="Times New Roman"/>
          <w:sz w:val="18"/>
          <w:szCs w:val="18"/>
        </w:rPr>
        <w:t xml:space="preserve"> See GIZ: “Making Good Governance Tangible, GIZ, 2011” and the Draft Report: “Assignment on Money for Investment of ULGDP, Assessment and Evaluation Report”, Volume 1, Main Report for GIZ, 2011. See also Dege Consult, UI and SuDCA Development Consultants, “ELGRS”, Component 2a, Part One Main Report, October 2013 for examples of the benefits. </w:t>
      </w:r>
    </w:p>
  </w:footnote>
  <w:footnote w:id="52">
    <w:p w:rsidR="0079568E" w:rsidRPr="001C0FC3" w:rsidRDefault="0079568E" w:rsidP="00C66940">
      <w:pPr>
        <w:pStyle w:val="FootnoteText"/>
        <w:tabs>
          <w:tab w:val="left" w:pos="360"/>
        </w:tabs>
        <w:contextualSpacing/>
        <w:rPr>
          <w:rFonts w:cs="Times New Roman"/>
          <w:sz w:val="18"/>
          <w:szCs w:val="18"/>
        </w:rPr>
      </w:pPr>
      <w:r w:rsidRPr="001C0FC3">
        <w:rPr>
          <w:rStyle w:val="FootnoteReference"/>
          <w:rFonts w:cs="Times New Roman"/>
          <w:sz w:val="18"/>
          <w:szCs w:val="18"/>
        </w:rPr>
        <w:footnoteRef/>
      </w:r>
      <w:r>
        <w:rPr>
          <w:rFonts w:cs="Times New Roman"/>
          <w:sz w:val="18"/>
          <w:szCs w:val="18"/>
        </w:rPr>
        <w:tab/>
      </w:r>
      <w:r w:rsidRPr="001C0FC3">
        <w:rPr>
          <w:rFonts w:cs="Times New Roman"/>
          <w:sz w:val="18"/>
          <w:szCs w:val="18"/>
        </w:rPr>
        <w:t xml:space="preserve">Based on M&amp;E reports from </w:t>
      </w:r>
      <w:r>
        <w:rPr>
          <w:rFonts w:cs="Times New Roman"/>
          <w:sz w:val="18"/>
          <w:szCs w:val="18"/>
        </w:rPr>
        <w:t>MUDHCo</w:t>
      </w:r>
      <w:r w:rsidRPr="001C0FC3">
        <w:rPr>
          <w:rFonts w:cs="Times New Roman"/>
          <w:sz w:val="18"/>
          <w:szCs w:val="18"/>
        </w:rPr>
        <w:t>, 2013.</w:t>
      </w:r>
    </w:p>
  </w:footnote>
  <w:footnote w:id="53">
    <w:p w:rsidR="0079568E" w:rsidRPr="001C0FC3" w:rsidRDefault="0079568E" w:rsidP="00C66940">
      <w:pPr>
        <w:pStyle w:val="FootnoteText"/>
        <w:tabs>
          <w:tab w:val="left" w:pos="360"/>
        </w:tabs>
        <w:contextualSpacing/>
        <w:rPr>
          <w:rFonts w:cs="Times New Roman"/>
          <w:sz w:val="18"/>
          <w:szCs w:val="18"/>
        </w:rPr>
      </w:pPr>
      <w:r w:rsidRPr="001C0FC3">
        <w:rPr>
          <w:rStyle w:val="FootnoteReference"/>
          <w:rFonts w:cs="Times New Roman"/>
          <w:sz w:val="18"/>
          <w:szCs w:val="18"/>
        </w:rPr>
        <w:footnoteRef/>
      </w:r>
      <w:r>
        <w:rPr>
          <w:rFonts w:cs="Times New Roman"/>
          <w:sz w:val="18"/>
          <w:szCs w:val="18"/>
        </w:rPr>
        <w:tab/>
      </w:r>
      <w:r w:rsidRPr="001C0FC3">
        <w:rPr>
          <w:rFonts w:cs="Times New Roman"/>
          <w:sz w:val="18"/>
          <w:szCs w:val="18"/>
        </w:rPr>
        <w:t xml:space="preserve">Similar investment profiles from other countries show high IRR for urban investments in core infrastructure, see technical assessments for USMID  (Uganda, 2012) and ULGSP (Tanzania, 2012). </w:t>
      </w:r>
    </w:p>
  </w:footnote>
  <w:footnote w:id="54">
    <w:p w:rsidR="0079568E" w:rsidRDefault="0079568E" w:rsidP="004D2B36">
      <w:pPr>
        <w:pStyle w:val="FootnoteText"/>
      </w:pPr>
      <w:r>
        <w:rPr>
          <w:rStyle w:val="FootnoteReference"/>
        </w:rPr>
        <w:footnoteRef/>
      </w:r>
      <w:r w:rsidRPr="0094634E">
        <w:t>Proclamation No. 433/2005 and Regulation No. 144/2008 provide</w:t>
      </w:r>
      <w:r>
        <w:t>s</w:t>
      </w:r>
      <w:r w:rsidRPr="0094634E">
        <w:t xml:space="preserve"> for the role, powers, duties, and responsibilities of the FEACC</w:t>
      </w:r>
      <w:r>
        <w:t>.</w:t>
      </w:r>
    </w:p>
  </w:footnote>
  <w:footnote w:id="55">
    <w:p w:rsidR="0079568E" w:rsidRDefault="0079568E" w:rsidP="004D2B36">
      <w:pPr>
        <w:pStyle w:val="FootnoteText"/>
      </w:pPr>
      <w:r>
        <w:rPr>
          <w:rStyle w:val="FootnoteReference"/>
        </w:rPr>
        <w:footnoteRef/>
      </w:r>
      <w:r w:rsidRPr="00E6312F">
        <w:rPr>
          <w:sz w:val="16"/>
          <w:szCs w:val="16"/>
        </w:rPr>
        <w:t xml:space="preserve">In </w:t>
      </w:r>
      <w:r>
        <w:rPr>
          <w:sz w:val="16"/>
          <w:szCs w:val="16"/>
        </w:rPr>
        <w:t>Oromia</w:t>
      </w:r>
      <w:r w:rsidRPr="00E6312F">
        <w:rPr>
          <w:sz w:val="16"/>
          <w:szCs w:val="16"/>
        </w:rPr>
        <w:t xml:space="preserve"> Region, cases which are below Birr 100,000 (About 5,000 USD) and not </w:t>
      </w:r>
      <w:r w:rsidRPr="00F50C26">
        <w:rPr>
          <w:sz w:val="16"/>
          <w:szCs w:val="16"/>
        </w:rPr>
        <w:t>committed</w:t>
      </w:r>
      <w:r w:rsidRPr="00E6312F">
        <w:rPr>
          <w:sz w:val="16"/>
          <w:szCs w:val="16"/>
        </w:rPr>
        <w:t xml:space="preserve"> by higher official is considered to be petty corruption and will be </w:t>
      </w:r>
      <w:r w:rsidRPr="00F50C26">
        <w:rPr>
          <w:sz w:val="16"/>
          <w:szCs w:val="16"/>
        </w:rPr>
        <w:t>referred</w:t>
      </w:r>
      <w:r w:rsidRPr="00E6312F">
        <w:rPr>
          <w:sz w:val="16"/>
          <w:szCs w:val="16"/>
        </w:rPr>
        <w:t xml:space="preserve"> to the Bureau of </w:t>
      </w:r>
      <w:r w:rsidRPr="00F50C26">
        <w:rPr>
          <w:sz w:val="16"/>
          <w:szCs w:val="16"/>
        </w:rPr>
        <w:t>Justice</w:t>
      </w:r>
      <w:r w:rsidRPr="00E6312F">
        <w:rPr>
          <w:sz w:val="16"/>
          <w:szCs w:val="16"/>
        </w:rPr>
        <w:t xml:space="preserve"> for investigation. On the other hand </w:t>
      </w:r>
      <w:r w:rsidRPr="00F50C26">
        <w:rPr>
          <w:sz w:val="16"/>
          <w:szCs w:val="16"/>
        </w:rPr>
        <w:t>a case which is</w:t>
      </w:r>
      <w:r w:rsidRPr="00E6312F">
        <w:rPr>
          <w:sz w:val="16"/>
          <w:szCs w:val="16"/>
        </w:rPr>
        <w:t xml:space="preserve"> above Birr 100, 000 or even below Birr 100,000 but </w:t>
      </w:r>
      <w:r w:rsidRPr="00F50C26">
        <w:rPr>
          <w:sz w:val="16"/>
          <w:szCs w:val="16"/>
        </w:rPr>
        <w:t>committed</w:t>
      </w:r>
      <w:r w:rsidRPr="00E6312F">
        <w:rPr>
          <w:sz w:val="16"/>
          <w:szCs w:val="16"/>
        </w:rPr>
        <w:t xml:space="preserve"> with the involvement of higher official is considered to be Grand corruption and will be referred to the investigation department in REACC.</w:t>
      </w:r>
    </w:p>
  </w:footnote>
  <w:footnote w:id="56">
    <w:p w:rsidR="0079568E" w:rsidRDefault="0079568E" w:rsidP="004D2B36">
      <w:pPr>
        <w:pStyle w:val="FootnoteText"/>
      </w:pPr>
      <w:r>
        <w:rPr>
          <w:rStyle w:val="FootnoteReference"/>
        </w:rPr>
        <w:footnoteRef/>
      </w:r>
      <w:r>
        <w:t>FEACC Annual Reports, 2011 and 2012.</w:t>
      </w:r>
    </w:p>
  </w:footnote>
  <w:footnote w:id="57">
    <w:p w:rsidR="0079568E" w:rsidRDefault="0079568E" w:rsidP="004D2B36">
      <w:pPr>
        <w:pStyle w:val="FootnoteText"/>
      </w:pPr>
      <w:r>
        <w:rPr>
          <w:rStyle w:val="FootnoteReference"/>
        </w:rPr>
        <w:footnoteRef/>
      </w:r>
      <w:r>
        <w:t xml:space="preserve"> Ibid.</w:t>
      </w:r>
    </w:p>
  </w:footnote>
  <w:footnote w:id="58">
    <w:p w:rsidR="0079568E" w:rsidRDefault="0079568E" w:rsidP="004E5FF1">
      <w:pPr>
        <w:pStyle w:val="FootnoteText"/>
      </w:pPr>
      <w:r>
        <w:rPr>
          <w:rStyle w:val="FootnoteReference"/>
        </w:rPr>
        <w:footnoteRef/>
      </w:r>
      <w:r w:rsidRPr="003240F9">
        <w:rPr>
          <w:sz w:val="16"/>
          <w:szCs w:val="16"/>
        </w:rPr>
        <w:t xml:space="preserve">Annual Independent procurement audit (IPA), including contracts effectiveness is to be conducted and reported along with management response of issues raised. The IPA will have an agreed terms of reference and conducted by regional public procurement agencies or an independent consultant.  At the moment, since the RPPAs do not have the capacity, the first two years independent procurement audit will be conducted together with APA and the terms of reference of the APA will be modified to address the IPA need. The RPPAs capacity will be enhanced during the first two years and the RPPAs will take over the IPA responsibility from the APA consultant (Procurement audit is their legal mandate). The adequacy of the regional </w:t>
      </w:r>
      <w:r w:rsidRPr="003240F9">
        <w:rPr>
          <w:rFonts w:cs="Times New Roman"/>
          <w:sz w:val="16"/>
          <w:szCs w:val="16"/>
        </w:rPr>
        <w:t>public procurement and asset management agencies</w:t>
      </w:r>
      <w:r w:rsidRPr="003240F9">
        <w:rPr>
          <w:sz w:val="16"/>
          <w:szCs w:val="16"/>
        </w:rPr>
        <w:t xml:space="preserve"> to carry out IPA will be assessed and confirmed by joint review of </w:t>
      </w:r>
      <w:r w:rsidRPr="003240F9">
        <w:rPr>
          <w:rFonts w:cs="Times New Roman"/>
          <w:sz w:val="16"/>
          <w:szCs w:val="16"/>
        </w:rPr>
        <w:t>Federal Public Procurement and Asset Management Agency</w:t>
      </w:r>
      <w:r w:rsidRPr="003240F9">
        <w:rPr>
          <w:sz w:val="16"/>
          <w:szCs w:val="16"/>
        </w:rPr>
        <w:t xml:space="preserve"> and the World Bank</w:t>
      </w:r>
      <w:r w:rsidRPr="00263871">
        <w:t>.</w:t>
      </w:r>
    </w:p>
  </w:footnote>
  <w:footnote w:id="59">
    <w:p w:rsidR="0079568E" w:rsidRPr="004F7790" w:rsidRDefault="0079568E" w:rsidP="004E5FF1">
      <w:pPr>
        <w:pStyle w:val="FootnoteText"/>
        <w:rPr>
          <w:sz w:val="18"/>
          <w:szCs w:val="18"/>
        </w:rPr>
      </w:pPr>
      <w:r w:rsidRPr="004F7790">
        <w:rPr>
          <w:rStyle w:val="FootnoteReference"/>
          <w:sz w:val="18"/>
          <w:szCs w:val="18"/>
        </w:rPr>
        <w:footnoteRef/>
      </w:r>
      <w:r w:rsidRPr="00E25CC3">
        <w:rPr>
          <w:sz w:val="18"/>
          <w:szCs w:val="18"/>
        </w:rPr>
        <w:t xml:space="preserve"> For the first assessment in 2014: reviewing all investments implemented in FY 2012/13 (EFY 2005). Note that this DLI is only applied for the current ULGDP ULGs in the first assessment. The assessment will review all investments, not only the ones funded by ULGDP PB grants. </w:t>
      </w:r>
    </w:p>
  </w:footnote>
  <w:footnote w:id="60">
    <w:p w:rsidR="0079568E" w:rsidRPr="00412DAC" w:rsidRDefault="0079568E" w:rsidP="004E5FF1">
      <w:pPr>
        <w:pStyle w:val="FootnoteText"/>
        <w:rPr>
          <w:rFonts w:ascii="Times new" w:hAnsi="Times new"/>
          <w:sz w:val="18"/>
          <w:szCs w:val="18"/>
        </w:rPr>
      </w:pPr>
      <w:r w:rsidRPr="000F6085">
        <w:rPr>
          <w:rStyle w:val="FootnoteReference"/>
          <w:sz w:val="18"/>
          <w:szCs w:val="18"/>
        </w:rPr>
        <w:footnoteRef/>
      </w:r>
      <w:r w:rsidRPr="000F6085">
        <w:rPr>
          <w:sz w:val="18"/>
          <w:szCs w:val="18"/>
        </w:rPr>
        <w:t xml:space="preserve"> See means of verification below in the notes. </w:t>
      </w:r>
    </w:p>
  </w:footnote>
  <w:footnote w:id="61">
    <w:p w:rsidR="0079568E" w:rsidRPr="00031048" w:rsidRDefault="0079568E" w:rsidP="004E5FF1">
      <w:pPr>
        <w:pStyle w:val="FootnoteText"/>
        <w:rPr>
          <w:sz w:val="18"/>
          <w:szCs w:val="18"/>
        </w:rPr>
      </w:pPr>
      <w:r w:rsidRPr="00031048">
        <w:rPr>
          <w:rStyle w:val="FootnoteReference"/>
          <w:sz w:val="18"/>
          <w:szCs w:val="18"/>
        </w:rPr>
        <w:footnoteRef/>
      </w:r>
      <w:r w:rsidRPr="00031048">
        <w:rPr>
          <w:sz w:val="18"/>
          <w:szCs w:val="18"/>
        </w:rPr>
        <w:t xml:space="preserve"> The </w:t>
      </w:r>
      <w:r>
        <w:rPr>
          <w:sz w:val="18"/>
          <w:szCs w:val="18"/>
        </w:rPr>
        <w:t>value for money will be conducted from the 3</w:t>
      </w:r>
      <w:r w:rsidRPr="00E25CC3">
        <w:rPr>
          <w:sz w:val="18"/>
          <w:szCs w:val="18"/>
          <w:vertAlign w:val="superscript"/>
        </w:rPr>
        <w:t>rd</w:t>
      </w:r>
      <w:r>
        <w:rPr>
          <w:sz w:val="18"/>
          <w:szCs w:val="18"/>
        </w:rPr>
        <w:t xml:space="preserve"> assessment starting in September 2015. In case they are not completed by the time needed to be incorporated in the regular assessment, the firm, which will carry out the assessment will revise the assessment results by taking the VFM audit results into account in due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CB8FAB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9C46B31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9C71B5"/>
    <w:multiLevelType w:val="hybridMultilevel"/>
    <w:tmpl w:val="FAFC33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01A845C3"/>
    <w:multiLevelType w:val="hybridMultilevel"/>
    <w:tmpl w:val="3FEC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A426A"/>
    <w:multiLevelType w:val="hybridMultilevel"/>
    <w:tmpl w:val="FA3EBC60"/>
    <w:lvl w:ilvl="0" w:tplc="78E08FE6">
      <w:start w:val="3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9322E9"/>
    <w:multiLevelType w:val="hybridMultilevel"/>
    <w:tmpl w:val="0CB6EF2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Arial"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Arial"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Arial" w:hint="default"/>
      </w:rPr>
    </w:lvl>
    <w:lvl w:ilvl="8" w:tplc="04090005" w:tentative="1">
      <w:start w:val="1"/>
      <w:numFmt w:val="bullet"/>
      <w:lvlText w:val=""/>
      <w:lvlJc w:val="left"/>
      <w:pPr>
        <w:ind w:left="6822" w:hanging="360"/>
      </w:pPr>
      <w:rPr>
        <w:rFonts w:ascii="Wingdings" w:hAnsi="Wingdings" w:hint="default"/>
      </w:rPr>
    </w:lvl>
  </w:abstractNum>
  <w:abstractNum w:abstractNumId="6">
    <w:nsid w:val="05E963E1"/>
    <w:multiLevelType w:val="hybridMultilevel"/>
    <w:tmpl w:val="E2F8C5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D68AB"/>
    <w:multiLevelType w:val="hybridMultilevel"/>
    <w:tmpl w:val="5F8C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2402D6"/>
    <w:multiLevelType w:val="multilevel"/>
    <w:tmpl w:val="C3C049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8764B4B"/>
    <w:multiLevelType w:val="hybridMultilevel"/>
    <w:tmpl w:val="860270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DB3784"/>
    <w:multiLevelType w:val="hybridMultilevel"/>
    <w:tmpl w:val="28383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E361B1"/>
    <w:multiLevelType w:val="hybridMultilevel"/>
    <w:tmpl w:val="3D183054"/>
    <w:lvl w:ilvl="0" w:tplc="FFFFFFFF">
      <w:start w:val="1"/>
      <w:numFmt w:val="bullet"/>
      <w:lvlText w:val=""/>
      <w:lvlJc w:val="left"/>
      <w:pPr>
        <w:tabs>
          <w:tab w:val="num" w:pos="360"/>
        </w:tabs>
        <w:ind w:left="360" w:hanging="360"/>
      </w:pPr>
      <w:rPr>
        <w:rFonts w:ascii="Symbol" w:hAnsi="Symbol" w:cs="Calibri" w:hint="default"/>
      </w:rPr>
    </w:lvl>
    <w:lvl w:ilvl="1" w:tplc="FFFFFFFF">
      <w:start w:val="1"/>
      <w:numFmt w:val="bullet"/>
      <w:lvlText w:val=""/>
      <w:lvlJc w:val="left"/>
      <w:pPr>
        <w:tabs>
          <w:tab w:val="num" w:pos="1080"/>
        </w:tabs>
        <w:ind w:left="1080" w:hanging="360"/>
      </w:pPr>
      <w:rPr>
        <w:rFonts w:ascii="Wingdings" w:hAnsi="Wingdings" w:cs="Calibri" w:hint="default"/>
        <w:sz w:val="16"/>
        <w:szCs w:val="16"/>
      </w:rPr>
    </w:lvl>
    <w:lvl w:ilvl="2" w:tplc="FFFFFFFF">
      <w:start w:val="1"/>
      <w:numFmt w:val="bullet"/>
      <w:lvlText w:val=""/>
      <w:lvlJc w:val="left"/>
      <w:pPr>
        <w:tabs>
          <w:tab w:val="num" w:pos="1800"/>
        </w:tabs>
        <w:ind w:left="1800" w:hanging="360"/>
      </w:pPr>
      <w:rPr>
        <w:rFonts w:ascii="Wingdings" w:hAnsi="Wingdings" w:cs="Calibri" w:hint="default"/>
      </w:rPr>
    </w:lvl>
    <w:lvl w:ilvl="3" w:tplc="FFFFFFFF">
      <w:start w:val="1"/>
      <w:numFmt w:val="bullet"/>
      <w:lvlText w:val=""/>
      <w:lvlJc w:val="left"/>
      <w:pPr>
        <w:tabs>
          <w:tab w:val="num" w:pos="2520"/>
        </w:tabs>
        <w:ind w:left="2520" w:hanging="360"/>
      </w:pPr>
      <w:rPr>
        <w:rFonts w:ascii="Symbol" w:hAnsi="Symbol" w:cs="Calibri" w:hint="default"/>
      </w:rPr>
    </w:lvl>
    <w:lvl w:ilvl="4" w:tplc="FFFFFFFF">
      <w:start w:val="1"/>
      <w:numFmt w:val="bullet"/>
      <w:lvlText w:val="o"/>
      <w:lvlJc w:val="left"/>
      <w:pPr>
        <w:tabs>
          <w:tab w:val="num" w:pos="3240"/>
        </w:tabs>
        <w:ind w:left="3240" w:hanging="360"/>
      </w:pPr>
      <w:rPr>
        <w:rFonts w:ascii="Courier New" w:hAnsi="Courier New" w:cs="Calibri" w:hint="default"/>
      </w:rPr>
    </w:lvl>
    <w:lvl w:ilvl="5" w:tplc="FFFFFFFF">
      <w:start w:val="1"/>
      <w:numFmt w:val="bullet"/>
      <w:lvlText w:val=""/>
      <w:lvlJc w:val="left"/>
      <w:pPr>
        <w:tabs>
          <w:tab w:val="num" w:pos="3960"/>
        </w:tabs>
        <w:ind w:left="3960" w:hanging="360"/>
      </w:pPr>
      <w:rPr>
        <w:rFonts w:ascii="Wingdings" w:hAnsi="Wingdings" w:cs="Calibri" w:hint="default"/>
      </w:rPr>
    </w:lvl>
    <w:lvl w:ilvl="6" w:tplc="FFFFFFFF">
      <w:start w:val="1"/>
      <w:numFmt w:val="bullet"/>
      <w:lvlText w:val=""/>
      <w:lvlJc w:val="left"/>
      <w:pPr>
        <w:tabs>
          <w:tab w:val="num" w:pos="4680"/>
        </w:tabs>
        <w:ind w:left="4680" w:hanging="360"/>
      </w:pPr>
      <w:rPr>
        <w:rFonts w:ascii="Symbol" w:hAnsi="Symbol" w:cs="Calibri" w:hint="default"/>
      </w:rPr>
    </w:lvl>
    <w:lvl w:ilvl="7" w:tplc="FFFFFFFF">
      <w:start w:val="1"/>
      <w:numFmt w:val="bullet"/>
      <w:lvlText w:val="o"/>
      <w:lvlJc w:val="left"/>
      <w:pPr>
        <w:tabs>
          <w:tab w:val="num" w:pos="5400"/>
        </w:tabs>
        <w:ind w:left="5400" w:hanging="360"/>
      </w:pPr>
      <w:rPr>
        <w:rFonts w:ascii="Courier New" w:hAnsi="Courier New" w:cs="Calibri" w:hint="default"/>
      </w:rPr>
    </w:lvl>
    <w:lvl w:ilvl="8" w:tplc="FFFFFFFF">
      <w:start w:val="1"/>
      <w:numFmt w:val="bullet"/>
      <w:lvlText w:val=""/>
      <w:lvlJc w:val="left"/>
      <w:pPr>
        <w:tabs>
          <w:tab w:val="num" w:pos="6120"/>
        </w:tabs>
        <w:ind w:left="6120" w:hanging="360"/>
      </w:pPr>
      <w:rPr>
        <w:rFonts w:ascii="Wingdings" w:hAnsi="Wingdings" w:cs="Calibri" w:hint="default"/>
      </w:rPr>
    </w:lvl>
  </w:abstractNum>
  <w:abstractNum w:abstractNumId="12">
    <w:nsid w:val="112C0161"/>
    <w:multiLevelType w:val="hybridMultilevel"/>
    <w:tmpl w:val="26A4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A1034"/>
    <w:multiLevelType w:val="hybridMultilevel"/>
    <w:tmpl w:val="7EA85B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D1C38"/>
    <w:multiLevelType w:val="hybridMultilevel"/>
    <w:tmpl w:val="A2B0CDC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06B6B"/>
    <w:multiLevelType w:val="hybridMultilevel"/>
    <w:tmpl w:val="76CC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10834"/>
    <w:multiLevelType w:val="hybridMultilevel"/>
    <w:tmpl w:val="D95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D4444"/>
    <w:multiLevelType w:val="hybridMultilevel"/>
    <w:tmpl w:val="D34ED6DA"/>
    <w:lvl w:ilvl="0" w:tplc="E49E224E">
      <w:start w:val="47"/>
      <w:numFmt w:val="decimal"/>
      <w:lvlText w:val="%1."/>
      <w:lvlJc w:val="left"/>
      <w:pPr>
        <w:ind w:left="360" w:hanging="360"/>
      </w:pPr>
      <w:rPr>
        <w:rFonts w:hint="default"/>
        <w:b w:val="0"/>
        <w:i w:val="0"/>
        <w:sz w:val="24"/>
        <w:szCs w:val="24"/>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34B6A174" w:tentative="1">
      <w:start w:val="1"/>
      <w:numFmt w:val="decimal"/>
      <w:lvlText w:val="%4."/>
      <w:lvlJc w:val="left"/>
      <w:pPr>
        <w:ind w:left="2880" w:hanging="360"/>
      </w:pPr>
    </w:lvl>
    <w:lvl w:ilvl="4" w:tplc="45D44282" w:tentative="1">
      <w:start w:val="1"/>
      <w:numFmt w:val="lowerLetter"/>
      <w:lvlText w:val="%5."/>
      <w:lvlJc w:val="left"/>
      <w:pPr>
        <w:ind w:left="3600" w:hanging="360"/>
      </w:pPr>
    </w:lvl>
    <w:lvl w:ilvl="5" w:tplc="C24A4AB2" w:tentative="1">
      <w:start w:val="1"/>
      <w:numFmt w:val="lowerRoman"/>
      <w:lvlText w:val="%6."/>
      <w:lvlJc w:val="right"/>
      <w:pPr>
        <w:ind w:left="4320" w:hanging="180"/>
      </w:pPr>
    </w:lvl>
    <w:lvl w:ilvl="6" w:tplc="F0D84FE6" w:tentative="1">
      <w:start w:val="1"/>
      <w:numFmt w:val="decimal"/>
      <w:lvlText w:val="%7."/>
      <w:lvlJc w:val="left"/>
      <w:pPr>
        <w:ind w:left="5040" w:hanging="360"/>
      </w:pPr>
    </w:lvl>
    <w:lvl w:ilvl="7" w:tplc="9D1A8C54" w:tentative="1">
      <w:start w:val="1"/>
      <w:numFmt w:val="lowerLetter"/>
      <w:lvlText w:val="%8."/>
      <w:lvlJc w:val="left"/>
      <w:pPr>
        <w:ind w:left="5760" w:hanging="360"/>
      </w:pPr>
    </w:lvl>
    <w:lvl w:ilvl="8" w:tplc="08B21402" w:tentative="1">
      <w:start w:val="1"/>
      <w:numFmt w:val="lowerRoman"/>
      <w:lvlText w:val="%9."/>
      <w:lvlJc w:val="right"/>
      <w:pPr>
        <w:ind w:left="6480" w:hanging="180"/>
      </w:pPr>
    </w:lvl>
  </w:abstractNum>
  <w:abstractNum w:abstractNumId="18">
    <w:nsid w:val="1BAF356E"/>
    <w:multiLevelType w:val="hybridMultilevel"/>
    <w:tmpl w:val="B63C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B074E6"/>
    <w:multiLevelType w:val="hybridMultilevel"/>
    <w:tmpl w:val="ED84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134324"/>
    <w:multiLevelType w:val="multilevel"/>
    <w:tmpl w:val="1C5A21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1D9F1A62"/>
    <w:multiLevelType w:val="multilevel"/>
    <w:tmpl w:val="8EB0A1E8"/>
    <w:lvl w:ilvl="0">
      <w:start w:val="2"/>
      <w:numFmt w:val="decimal"/>
      <w:lvlText w:val="%1"/>
      <w:lvlJc w:val="left"/>
      <w:pPr>
        <w:ind w:left="360" w:hanging="360"/>
      </w:pPr>
      <w:rPr>
        <w:rFonts w:hint="default"/>
      </w:rPr>
    </w:lvl>
    <w:lvl w:ilvl="1">
      <w:start w:val="4"/>
      <w:numFmt w:val="decimal"/>
      <w:lvlText w:val="%1.%2"/>
      <w:lvlJc w:val="left"/>
      <w:pPr>
        <w:ind w:left="444" w:hanging="360"/>
      </w:pPr>
      <w:rPr>
        <w:rFonts w:hint="default"/>
      </w:rPr>
    </w:lvl>
    <w:lvl w:ilvl="2">
      <w:start w:val="1"/>
      <w:numFmt w:val="decimal"/>
      <w:lvlText w:val="%1.%2.%3"/>
      <w:lvlJc w:val="left"/>
      <w:pPr>
        <w:ind w:left="888" w:hanging="720"/>
      </w:pPr>
      <w:rPr>
        <w:rFonts w:hint="default"/>
      </w:rPr>
    </w:lvl>
    <w:lvl w:ilvl="3">
      <w:start w:val="1"/>
      <w:numFmt w:val="decimal"/>
      <w:lvlText w:val="%1.%2.%3.%4"/>
      <w:lvlJc w:val="left"/>
      <w:pPr>
        <w:ind w:left="972" w:hanging="720"/>
      </w:pPr>
      <w:rPr>
        <w:rFonts w:hint="default"/>
      </w:rPr>
    </w:lvl>
    <w:lvl w:ilvl="4">
      <w:start w:val="1"/>
      <w:numFmt w:val="decimal"/>
      <w:lvlText w:val="%1.%2.%3.%4.%5"/>
      <w:lvlJc w:val="left"/>
      <w:pPr>
        <w:ind w:left="1056" w:hanging="720"/>
      </w:pPr>
      <w:rPr>
        <w:rFonts w:hint="default"/>
      </w:rPr>
    </w:lvl>
    <w:lvl w:ilvl="5">
      <w:start w:val="1"/>
      <w:numFmt w:val="decimal"/>
      <w:lvlText w:val="%1.%2.%3.%4.%5.%6"/>
      <w:lvlJc w:val="left"/>
      <w:pPr>
        <w:ind w:left="1500" w:hanging="1080"/>
      </w:pPr>
      <w:rPr>
        <w:rFonts w:hint="default"/>
      </w:rPr>
    </w:lvl>
    <w:lvl w:ilvl="6">
      <w:start w:val="1"/>
      <w:numFmt w:val="decimal"/>
      <w:lvlText w:val="%1.%2.%3.%4.%5.%6.%7"/>
      <w:lvlJc w:val="left"/>
      <w:pPr>
        <w:ind w:left="1584" w:hanging="1080"/>
      </w:pPr>
      <w:rPr>
        <w:rFonts w:hint="default"/>
      </w:rPr>
    </w:lvl>
    <w:lvl w:ilvl="7">
      <w:start w:val="1"/>
      <w:numFmt w:val="decimal"/>
      <w:lvlText w:val="%1.%2.%3.%4.%5.%6.%7.%8"/>
      <w:lvlJc w:val="left"/>
      <w:pPr>
        <w:ind w:left="2028" w:hanging="1440"/>
      </w:pPr>
      <w:rPr>
        <w:rFonts w:hint="default"/>
      </w:rPr>
    </w:lvl>
    <w:lvl w:ilvl="8">
      <w:start w:val="1"/>
      <w:numFmt w:val="decimal"/>
      <w:lvlText w:val="%1.%2.%3.%4.%5.%6.%7.%8.%9"/>
      <w:lvlJc w:val="left"/>
      <w:pPr>
        <w:ind w:left="2112" w:hanging="1440"/>
      </w:pPr>
      <w:rPr>
        <w:rFonts w:hint="default"/>
      </w:rPr>
    </w:lvl>
  </w:abstractNum>
  <w:abstractNum w:abstractNumId="22">
    <w:nsid w:val="1F8D0D07"/>
    <w:multiLevelType w:val="hybridMultilevel"/>
    <w:tmpl w:val="D7904F4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Arial"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Arial"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Arial"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20E23FA0"/>
    <w:multiLevelType w:val="hybridMultilevel"/>
    <w:tmpl w:val="57441C42"/>
    <w:lvl w:ilvl="0" w:tplc="7AE63838">
      <w:start w:val="1"/>
      <w:numFmt w:val="bullet"/>
      <w:pStyle w:val="StyleListBullet3After6ptLinespacingsingl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9"/>
        </w:tabs>
        <w:ind w:left="249" w:hanging="360"/>
      </w:pPr>
      <w:rPr>
        <w:rFonts w:ascii="Courier New" w:hAnsi="Courier New" w:cs="Symbol" w:hint="default"/>
      </w:rPr>
    </w:lvl>
    <w:lvl w:ilvl="2" w:tplc="04090005" w:tentative="1">
      <w:start w:val="1"/>
      <w:numFmt w:val="bullet"/>
      <w:lvlText w:val=""/>
      <w:lvlJc w:val="left"/>
      <w:pPr>
        <w:tabs>
          <w:tab w:val="num" w:pos="969"/>
        </w:tabs>
        <w:ind w:left="969" w:hanging="360"/>
      </w:pPr>
      <w:rPr>
        <w:rFonts w:ascii="Wingdings" w:hAnsi="Wingdings" w:hint="default"/>
      </w:rPr>
    </w:lvl>
    <w:lvl w:ilvl="3" w:tplc="04090001" w:tentative="1">
      <w:start w:val="1"/>
      <w:numFmt w:val="bullet"/>
      <w:lvlText w:val=""/>
      <w:lvlJc w:val="left"/>
      <w:pPr>
        <w:tabs>
          <w:tab w:val="num" w:pos="1689"/>
        </w:tabs>
        <w:ind w:left="1689" w:hanging="360"/>
      </w:pPr>
      <w:rPr>
        <w:rFonts w:ascii="Symbol" w:hAnsi="Symbol" w:hint="default"/>
      </w:rPr>
    </w:lvl>
    <w:lvl w:ilvl="4" w:tplc="04090003" w:tentative="1">
      <w:start w:val="1"/>
      <w:numFmt w:val="bullet"/>
      <w:lvlText w:val="o"/>
      <w:lvlJc w:val="left"/>
      <w:pPr>
        <w:tabs>
          <w:tab w:val="num" w:pos="2409"/>
        </w:tabs>
        <w:ind w:left="2409" w:hanging="360"/>
      </w:pPr>
      <w:rPr>
        <w:rFonts w:ascii="Courier New" w:hAnsi="Courier New" w:cs="Symbol" w:hint="default"/>
      </w:rPr>
    </w:lvl>
    <w:lvl w:ilvl="5" w:tplc="04090005" w:tentative="1">
      <w:start w:val="1"/>
      <w:numFmt w:val="bullet"/>
      <w:lvlText w:val=""/>
      <w:lvlJc w:val="left"/>
      <w:pPr>
        <w:tabs>
          <w:tab w:val="num" w:pos="3129"/>
        </w:tabs>
        <w:ind w:left="3129" w:hanging="360"/>
      </w:pPr>
      <w:rPr>
        <w:rFonts w:ascii="Wingdings" w:hAnsi="Wingdings" w:hint="default"/>
      </w:rPr>
    </w:lvl>
    <w:lvl w:ilvl="6" w:tplc="04090001" w:tentative="1">
      <w:start w:val="1"/>
      <w:numFmt w:val="bullet"/>
      <w:lvlText w:val=""/>
      <w:lvlJc w:val="left"/>
      <w:pPr>
        <w:tabs>
          <w:tab w:val="num" w:pos="3849"/>
        </w:tabs>
        <w:ind w:left="3849" w:hanging="360"/>
      </w:pPr>
      <w:rPr>
        <w:rFonts w:ascii="Symbol" w:hAnsi="Symbol" w:hint="default"/>
      </w:rPr>
    </w:lvl>
    <w:lvl w:ilvl="7" w:tplc="04090003" w:tentative="1">
      <w:start w:val="1"/>
      <w:numFmt w:val="bullet"/>
      <w:lvlText w:val="o"/>
      <w:lvlJc w:val="left"/>
      <w:pPr>
        <w:tabs>
          <w:tab w:val="num" w:pos="4569"/>
        </w:tabs>
        <w:ind w:left="4569" w:hanging="360"/>
      </w:pPr>
      <w:rPr>
        <w:rFonts w:ascii="Courier New" w:hAnsi="Courier New" w:cs="Symbol" w:hint="default"/>
      </w:rPr>
    </w:lvl>
    <w:lvl w:ilvl="8" w:tplc="04090005" w:tentative="1">
      <w:start w:val="1"/>
      <w:numFmt w:val="bullet"/>
      <w:lvlText w:val=""/>
      <w:lvlJc w:val="left"/>
      <w:pPr>
        <w:tabs>
          <w:tab w:val="num" w:pos="5289"/>
        </w:tabs>
        <w:ind w:left="5289" w:hanging="360"/>
      </w:pPr>
      <w:rPr>
        <w:rFonts w:ascii="Wingdings" w:hAnsi="Wingdings" w:hint="default"/>
      </w:rPr>
    </w:lvl>
  </w:abstractNum>
  <w:abstractNum w:abstractNumId="24">
    <w:nsid w:val="24365291"/>
    <w:multiLevelType w:val="hybridMultilevel"/>
    <w:tmpl w:val="B5529D4C"/>
    <w:lvl w:ilvl="0" w:tplc="EE5CD176">
      <w:start w:val="4"/>
      <w:numFmt w:val="decimal"/>
      <w:lvlText w:val="%1."/>
      <w:lvlJc w:val="left"/>
      <w:pPr>
        <w:ind w:left="404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4F7004"/>
    <w:multiLevelType w:val="hybridMultilevel"/>
    <w:tmpl w:val="1A5CB8B0"/>
    <w:lvl w:ilvl="0" w:tplc="95EE41DE">
      <w:start w:val="3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6E22DF"/>
    <w:multiLevelType w:val="hybridMultilevel"/>
    <w:tmpl w:val="E7F8AC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Arial"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Arial"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Arial"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5707E73"/>
    <w:multiLevelType w:val="hybridMultilevel"/>
    <w:tmpl w:val="8F86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6DB5053"/>
    <w:multiLevelType w:val="hybridMultilevel"/>
    <w:tmpl w:val="7AACB98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9A28D1"/>
    <w:multiLevelType w:val="hybridMultilevel"/>
    <w:tmpl w:val="42E0E2A6"/>
    <w:lvl w:ilvl="0" w:tplc="BFD85CE0">
      <w:start w:val="39"/>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2561EE"/>
    <w:multiLevelType w:val="hybridMultilevel"/>
    <w:tmpl w:val="6EDC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E843D91"/>
    <w:multiLevelType w:val="hybridMultilevel"/>
    <w:tmpl w:val="56BE4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F01705E"/>
    <w:multiLevelType w:val="hybridMultilevel"/>
    <w:tmpl w:val="1804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F5168DE"/>
    <w:multiLevelType w:val="hybridMultilevel"/>
    <w:tmpl w:val="6066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F7C6FB9"/>
    <w:multiLevelType w:val="hybridMultilevel"/>
    <w:tmpl w:val="C5E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FBC0BDF"/>
    <w:multiLevelType w:val="hybridMultilevel"/>
    <w:tmpl w:val="7BB4124E"/>
    <w:lvl w:ilvl="0" w:tplc="B60ED6EA">
      <w:start w:val="1"/>
      <w:numFmt w:val="decimal"/>
      <w:pStyle w:val="MainParanoChapter-Ch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3F03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nsid w:val="319B38D6"/>
    <w:multiLevelType w:val="hybridMultilevel"/>
    <w:tmpl w:val="A86A59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38">
    <w:nsid w:val="33F56C57"/>
    <w:multiLevelType w:val="hybridMultilevel"/>
    <w:tmpl w:val="93A23E94"/>
    <w:lvl w:ilvl="0" w:tplc="CBA6129C">
      <w:start w:val="1"/>
      <w:numFmt w:val="lowerRoman"/>
      <w:lvlText w:val="%1."/>
      <w:lvlJc w:val="righ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42479E6"/>
    <w:multiLevelType w:val="hybridMultilevel"/>
    <w:tmpl w:val="B7FA6D96"/>
    <w:lvl w:ilvl="0" w:tplc="4BD6CF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49A235C"/>
    <w:multiLevelType w:val="hybridMultilevel"/>
    <w:tmpl w:val="831C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5E439AE"/>
    <w:multiLevelType w:val="hybridMultilevel"/>
    <w:tmpl w:val="149024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453E08"/>
    <w:multiLevelType w:val="hybridMultilevel"/>
    <w:tmpl w:val="C422062E"/>
    <w:lvl w:ilvl="0" w:tplc="BEDEE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EE0A3A"/>
    <w:multiLevelType w:val="hybridMultilevel"/>
    <w:tmpl w:val="62C8EAC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3B513FF2"/>
    <w:multiLevelType w:val="hybridMultilevel"/>
    <w:tmpl w:val="4F8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0DB557C"/>
    <w:multiLevelType w:val="multilevel"/>
    <w:tmpl w:val="A1E65DD6"/>
    <w:lvl w:ilvl="0">
      <w:start w:val="1"/>
      <w:numFmt w:val="decimal"/>
      <w:lvlText w:val="%1."/>
      <w:lvlJc w:val="left"/>
      <w:pPr>
        <w:ind w:left="540" w:hanging="360"/>
      </w:pPr>
    </w:lvl>
    <w:lvl w:ilvl="1">
      <w:start w:val="4"/>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6">
    <w:nsid w:val="40F11E2E"/>
    <w:multiLevelType w:val="hybridMultilevel"/>
    <w:tmpl w:val="1D8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643857"/>
    <w:multiLevelType w:val="hybridMultilevel"/>
    <w:tmpl w:val="536CC684"/>
    <w:lvl w:ilvl="0" w:tplc="204A2DC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683369"/>
    <w:multiLevelType w:val="hybridMultilevel"/>
    <w:tmpl w:val="0CC4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890A30"/>
    <w:multiLevelType w:val="hybridMultilevel"/>
    <w:tmpl w:val="C6A40A64"/>
    <w:lvl w:ilvl="0" w:tplc="2ADECB82">
      <w:start w:val="1"/>
      <w:numFmt w:val="decimal"/>
      <w:lvlText w:val="%1."/>
      <w:lvlJc w:val="left"/>
      <w:pPr>
        <w:ind w:left="4046"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FBAA57E">
      <w:start w:val="1"/>
      <w:numFmt w:val="decimal"/>
      <w:lvlText w:val="%4."/>
      <w:lvlJc w:val="left"/>
      <w:pPr>
        <w:ind w:left="2880" w:hanging="360"/>
      </w:pPr>
    </w:lvl>
    <w:lvl w:ilvl="4" w:tplc="3AEA8316">
      <w:start w:val="1"/>
      <w:numFmt w:val="lowerLetter"/>
      <w:lvlText w:val="%5."/>
      <w:lvlJc w:val="left"/>
      <w:pPr>
        <w:ind w:left="3600" w:hanging="360"/>
      </w:pPr>
    </w:lvl>
    <w:lvl w:ilvl="5" w:tplc="4C629994">
      <w:start w:val="1"/>
      <w:numFmt w:val="lowerRoman"/>
      <w:lvlText w:val="%6."/>
      <w:lvlJc w:val="right"/>
      <w:pPr>
        <w:ind w:left="4320" w:hanging="180"/>
      </w:pPr>
    </w:lvl>
    <w:lvl w:ilvl="6" w:tplc="2C004120" w:tentative="1">
      <w:start w:val="1"/>
      <w:numFmt w:val="decimal"/>
      <w:lvlText w:val="%7."/>
      <w:lvlJc w:val="left"/>
      <w:pPr>
        <w:ind w:left="5040" w:hanging="360"/>
      </w:pPr>
    </w:lvl>
    <w:lvl w:ilvl="7" w:tplc="F5D47DB8" w:tentative="1">
      <w:start w:val="1"/>
      <w:numFmt w:val="lowerLetter"/>
      <w:lvlText w:val="%8."/>
      <w:lvlJc w:val="left"/>
      <w:pPr>
        <w:ind w:left="5760" w:hanging="360"/>
      </w:pPr>
    </w:lvl>
    <w:lvl w:ilvl="8" w:tplc="714835AA" w:tentative="1">
      <w:start w:val="1"/>
      <w:numFmt w:val="lowerRoman"/>
      <w:lvlText w:val="%9."/>
      <w:lvlJc w:val="right"/>
      <w:pPr>
        <w:ind w:left="6480" w:hanging="180"/>
      </w:pPr>
    </w:lvl>
  </w:abstractNum>
  <w:abstractNum w:abstractNumId="50">
    <w:nsid w:val="47CD3715"/>
    <w:multiLevelType w:val="hybridMultilevel"/>
    <w:tmpl w:val="0806397C"/>
    <w:lvl w:ilvl="0" w:tplc="0409000F">
      <w:start w:val="1"/>
      <w:numFmt w:val="decimal"/>
      <w:lvlText w:val="%1."/>
      <w:lvlJc w:val="left"/>
      <w:pPr>
        <w:ind w:left="4046" w:hanging="360"/>
      </w:pPr>
      <w:rPr>
        <w:rFonts w:hint="default"/>
        <w:b w:val="0"/>
        <w:i w:val="0"/>
      </w:rPr>
    </w:lvl>
    <w:lvl w:ilvl="1" w:tplc="0409001B">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DFBAA57E">
      <w:start w:val="1"/>
      <w:numFmt w:val="decimal"/>
      <w:lvlText w:val="%4."/>
      <w:lvlJc w:val="left"/>
      <w:pPr>
        <w:ind w:left="2880" w:hanging="360"/>
      </w:pPr>
    </w:lvl>
    <w:lvl w:ilvl="4" w:tplc="3AEA8316">
      <w:start w:val="1"/>
      <w:numFmt w:val="lowerLetter"/>
      <w:lvlText w:val="%5."/>
      <w:lvlJc w:val="left"/>
      <w:pPr>
        <w:ind w:left="3600" w:hanging="360"/>
      </w:pPr>
    </w:lvl>
    <w:lvl w:ilvl="5" w:tplc="4C629994">
      <w:start w:val="1"/>
      <w:numFmt w:val="lowerRoman"/>
      <w:lvlText w:val="%6."/>
      <w:lvlJc w:val="right"/>
      <w:pPr>
        <w:ind w:left="4320" w:hanging="180"/>
      </w:pPr>
    </w:lvl>
    <w:lvl w:ilvl="6" w:tplc="2C004120" w:tentative="1">
      <w:start w:val="1"/>
      <w:numFmt w:val="decimal"/>
      <w:lvlText w:val="%7."/>
      <w:lvlJc w:val="left"/>
      <w:pPr>
        <w:ind w:left="5040" w:hanging="360"/>
      </w:pPr>
    </w:lvl>
    <w:lvl w:ilvl="7" w:tplc="F5D47DB8" w:tentative="1">
      <w:start w:val="1"/>
      <w:numFmt w:val="lowerLetter"/>
      <w:lvlText w:val="%8."/>
      <w:lvlJc w:val="left"/>
      <w:pPr>
        <w:ind w:left="5760" w:hanging="360"/>
      </w:pPr>
    </w:lvl>
    <w:lvl w:ilvl="8" w:tplc="714835AA" w:tentative="1">
      <w:start w:val="1"/>
      <w:numFmt w:val="lowerRoman"/>
      <w:lvlText w:val="%9."/>
      <w:lvlJc w:val="right"/>
      <w:pPr>
        <w:ind w:left="6480" w:hanging="180"/>
      </w:pPr>
    </w:lvl>
  </w:abstractNum>
  <w:abstractNum w:abstractNumId="51">
    <w:nsid w:val="4A3764E7"/>
    <w:multiLevelType w:val="hybridMultilevel"/>
    <w:tmpl w:val="D8DE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1F7EFF"/>
    <w:multiLevelType w:val="hybridMultilevel"/>
    <w:tmpl w:val="C42C475E"/>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921A84"/>
    <w:multiLevelType w:val="hybridMultilevel"/>
    <w:tmpl w:val="BFA48BCE"/>
    <w:lvl w:ilvl="0" w:tplc="0409000F">
      <w:start w:val="1"/>
      <w:numFmt w:val="decimal"/>
      <w:lvlText w:val="%1."/>
      <w:lvlJc w:val="left"/>
      <w:pPr>
        <w:ind w:left="720" w:hanging="360"/>
      </w:pPr>
      <w:rPr>
        <w:rFonts w:hint="default"/>
      </w:rPr>
    </w:lvl>
    <w:lvl w:ilvl="1" w:tplc="0409001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FE417FE"/>
    <w:multiLevelType w:val="hybridMultilevel"/>
    <w:tmpl w:val="9442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7F5D3A"/>
    <w:multiLevelType w:val="hybridMultilevel"/>
    <w:tmpl w:val="65B2D606"/>
    <w:lvl w:ilvl="0" w:tplc="460A5B08">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85209D"/>
    <w:multiLevelType w:val="hybridMultilevel"/>
    <w:tmpl w:val="390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B1069E"/>
    <w:multiLevelType w:val="hybridMultilevel"/>
    <w:tmpl w:val="3990D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3470D94"/>
    <w:multiLevelType w:val="hybridMultilevel"/>
    <w:tmpl w:val="CDEC6900"/>
    <w:lvl w:ilvl="0" w:tplc="99387464">
      <w:start w:val="1"/>
      <w:numFmt w:val="decimal"/>
      <w:pStyle w:val="BodyText1"/>
      <w:lvlText w:val="%1."/>
      <w:lvlJc w:val="left"/>
      <w:pPr>
        <w:ind w:left="54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884F0E"/>
    <w:multiLevelType w:val="hybridMultilevel"/>
    <w:tmpl w:val="5FFCC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6A416EE"/>
    <w:multiLevelType w:val="hybridMultilevel"/>
    <w:tmpl w:val="A31E5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9B42376"/>
    <w:multiLevelType w:val="hybridMultilevel"/>
    <w:tmpl w:val="41443206"/>
    <w:lvl w:ilvl="0" w:tplc="2BEEA1B0">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A362A4"/>
    <w:multiLevelType w:val="hybridMultilevel"/>
    <w:tmpl w:val="FFD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AF3F33"/>
    <w:multiLevelType w:val="hybridMultilevel"/>
    <w:tmpl w:val="0C2E8F2A"/>
    <w:lvl w:ilvl="0" w:tplc="CFFEDDA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25239EF"/>
    <w:multiLevelType w:val="hybridMultilevel"/>
    <w:tmpl w:val="B45A7092"/>
    <w:lvl w:ilvl="0" w:tplc="E49E224E">
      <w:start w:val="47"/>
      <w:numFmt w:val="decimal"/>
      <w:lvlText w:val="%1."/>
      <w:lvlJc w:val="left"/>
      <w:pPr>
        <w:ind w:left="360" w:hanging="360"/>
      </w:pPr>
      <w:rPr>
        <w:rFonts w:hint="default"/>
        <w:b w:val="0"/>
        <w:i w:val="0"/>
        <w:sz w:val="24"/>
        <w:szCs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34B6A174" w:tentative="1">
      <w:start w:val="1"/>
      <w:numFmt w:val="decimal"/>
      <w:lvlText w:val="%4."/>
      <w:lvlJc w:val="left"/>
      <w:pPr>
        <w:ind w:left="2880" w:hanging="360"/>
      </w:pPr>
    </w:lvl>
    <w:lvl w:ilvl="4" w:tplc="45D44282" w:tentative="1">
      <w:start w:val="1"/>
      <w:numFmt w:val="lowerLetter"/>
      <w:lvlText w:val="%5."/>
      <w:lvlJc w:val="left"/>
      <w:pPr>
        <w:ind w:left="3600" w:hanging="360"/>
      </w:pPr>
    </w:lvl>
    <w:lvl w:ilvl="5" w:tplc="C24A4AB2" w:tentative="1">
      <w:start w:val="1"/>
      <w:numFmt w:val="lowerRoman"/>
      <w:lvlText w:val="%6."/>
      <w:lvlJc w:val="right"/>
      <w:pPr>
        <w:ind w:left="4320" w:hanging="180"/>
      </w:pPr>
    </w:lvl>
    <w:lvl w:ilvl="6" w:tplc="F0D84FE6" w:tentative="1">
      <w:start w:val="1"/>
      <w:numFmt w:val="decimal"/>
      <w:lvlText w:val="%7."/>
      <w:lvlJc w:val="left"/>
      <w:pPr>
        <w:ind w:left="5040" w:hanging="360"/>
      </w:pPr>
    </w:lvl>
    <w:lvl w:ilvl="7" w:tplc="9D1A8C54" w:tentative="1">
      <w:start w:val="1"/>
      <w:numFmt w:val="lowerLetter"/>
      <w:lvlText w:val="%8."/>
      <w:lvlJc w:val="left"/>
      <w:pPr>
        <w:ind w:left="5760" w:hanging="360"/>
      </w:pPr>
    </w:lvl>
    <w:lvl w:ilvl="8" w:tplc="08B21402" w:tentative="1">
      <w:start w:val="1"/>
      <w:numFmt w:val="lowerRoman"/>
      <w:lvlText w:val="%9."/>
      <w:lvlJc w:val="right"/>
      <w:pPr>
        <w:ind w:left="6480" w:hanging="180"/>
      </w:pPr>
    </w:lvl>
  </w:abstractNum>
  <w:abstractNum w:abstractNumId="65">
    <w:nsid w:val="62DD106F"/>
    <w:multiLevelType w:val="multilevel"/>
    <w:tmpl w:val="B086B0A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3340903"/>
    <w:multiLevelType w:val="hybridMultilevel"/>
    <w:tmpl w:val="AC88591C"/>
    <w:lvl w:ilvl="0" w:tplc="DFBCF10A">
      <w:start w:val="1"/>
      <w:numFmt w:val="decimal"/>
      <w:pStyle w:val="MainParanoChapter"/>
      <w:lvlText w:val="%1."/>
      <w:lvlJc w:val="left"/>
      <w:pPr>
        <w:ind w:left="360" w:hanging="360"/>
      </w:pPr>
      <w:rPr>
        <w:b w:val="0"/>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36A1D8E"/>
    <w:multiLevelType w:val="hybridMultilevel"/>
    <w:tmpl w:val="31B43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638A7DA9"/>
    <w:multiLevelType w:val="hybridMultilevel"/>
    <w:tmpl w:val="90F20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3A4446E"/>
    <w:multiLevelType w:val="hybridMultilevel"/>
    <w:tmpl w:val="02EA0F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42820C7"/>
    <w:multiLevelType w:val="hybridMultilevel"/>
    <w:tmpl w:val="5C0A817A"/>
    <w:lvl w:ilvl="0" w:tplc="2ADECB82">
      <w:start w:val="1"/>
      <w:numFmt w:val="decimal"/>
      <w:lvlText w:val="%1."/>
      <w:lvlJc w:val="left"/>
      <w:pPr>
        <w:ind w:left="4046"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FBAA57E">
      <w:start w:val="1"/>
      <w:numFmt w:val="decimal"/>
      <w:lvlText w:val="%4."/>
      <w:lvlJc w:val="left"/>
      <w:pPr>
        <w:ind w:left="2880" w:hanging="360"/>
      </w:pPr>
    </w:lvl>
    <w:lvl w:ilvl="4" w:tplc="3AEA8316">
      <w:start w:val="1"/>
      <w:numFmt w:val="lowerLetter"/>
      <w:lvlText w:val="%5."/>
      <w:lvlJc w:val="left"/>
      <w:pPr>
        <w:ind w:left="3600" w:hanging="360"/>
      </w:pPr>
    </w:lvl>
    <w:lvl w:ilvl="5" w:tplc="4C629994">
      <w:start w:val="1"/>
      <w:numFmt w:val="lowerRoman"/>
      <w:lvlText w:val="%6."/>
      <w:lvlJc w:val="right"/>
      <w:pPr>
        <w:ind w:left="4320" w:hanging="180"/>
      </w:pPr>
    </w:lvl>
    <w:lvl w:ilvl="6" w:tplc="2C004120" w:tentative="1">
      <w:start w:val="1"/>
      <w:numFmt w:val="decimal"/>
      <w:lvlText w:val="%7."/>
      <w:lvlJc w:val="left"/>
      <w:pPr>
        <w:ind w:left="5040" w:hanging="360"/>
      </w:pPr>
    </w:lvl>
    <w:lvl w:ilvl="7" w:tplc="F5D47DB8" w:tentative="1">
      <w:start w:val="1"/>
      <w:numFmt w:val="lowerLetter"/>
      <w:lvlText w:val="%8."/>
      <w:lvlJc w:val="left"/>
      <w:pPr>
        <w:ind w:left="5760" w:hanging="360"/>
      </w:pPr>
    </w:lvl>
    <w:lvl w:ilvl="8" w:tplc="714835AA" w:tentative="1">
      <w:start w:val="1"/>
      <w:numFmt w:val="lowerRoman"/>
      <w:lvlText w:val="%9."/>
      <w:lvlJc w:val="right"/>
      <w:pPr>
        <w:ind w:left="6480" w:hanging="180"/>
      </w:pPr>
    </w:lvl>
  </w:abstractNum>
  <w:abstractNum w:abstractNumId="71">
    <w:nsid w:val="64F7354A"/>
    <w:multiLevelType w:val="hybridMultilevel"/>
    <w:tmpl w:val="3BE6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751837"/>
    <w:multiLevelType w:val="hybridMultilevel"/>
    <w:tmpl w:val="16D40002"/>
    <w:lvl w:ilvl="0" w:tplc="4D227A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78E004A"/>
    <w:multiLevelType w:val="hybridMultilevel"/>
    <w:tmpl w:val="BE86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8D33566"/>
    <w:multiLevelType w:val="hybridMultilevel"/>
    <w:tmpl w:val="9B10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EA57E1"/>
    <w:multiLevelType w:val="hybridMultilevel"/>
    <w:tmpl w:val="390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CAB23FA"/>
    <w:multiLevelType w:val="hybridMultilevel"/>
    <w:tmpl w:val="B6DE0A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DA23179"/>
    <w:multiLevelType w:val="hybridMultilevel"/>
    <w:tmpl w:val="6BBEE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78">
    <w:nsid w:val="6DE53457"/>
    <w:multiLevelType w:val="hybridMultilevel"/>
    <w:tmpl w:val="74AE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6EA44AAA"/>
    <w:multiLevelType w:val="hybridMultilevel"/>
    <w:tmpl w:val="60AE803A"/>
    <w:lvl w:ilvl="0" w:tplc="768E88AE">
      <w:start w:val="4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B90C96"/>
    <w:multiLevelType w:val="hybridMultilevel"/>
    <w:tmpl w:val="2C4A5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700F30D0"/>
    <w:multiLevelType w:val="hybridMultilevel"/>
    <w:tmpl w:val="5428F72A"/>
    <w:lvl w:ilvl="0" w:tplc="0409000B">
      <w:start w:val="1"/>
      <w:numFmt w:val="bullet"/>
      <w:lvlText w:val=""/>
      <w:lvlJc w:val="left"/>
      <w:pPr>
        <w:ind w:left="1260" w:hanging="360"/>
      </w:pPr>
      <w:rPr>
        <w:rFonts w:ascii="Wingdings" w:hAnsi="Wingdings" w:hint="default"/>
      </w:rPr>
    </w:lvl>
    <w:lvl w:ilvl="1" w:tplc="0409000B">
      <w:start w:val="1"/>
      <w:numFmt w:val="bullet"/>
      <w:lvlText w:val=""/>
      <w:lvlJc w:val="left"/>
      <w:pPr>
        <w:ind w:left="198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82">
    <w:nsid w:val="70874627"/>
    <w:multiLevelType w:val="hybridMultilevel"/>
    <w:tmpl w:val="0622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F4045F"/>
    <w:multiLevelType w:val="hybridMultilevel"/>
    <w:tmpl w:val="C56427B4"/>
    <w:lvl w:ilvl="0" w:tplc="2ADECB82">
      <w:start w:val="1"/>
      <w:numFmt w:val="decimal"/>
      <w:lvlText w:val="%1."/>
      <w:lvlJc w:val="left"/>
      <w:pPr>
        <w:ind w:left="4046"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DFBAA57E">
      <w:start w:val="1"/>
      <w:numFmt w:val="decimal"/>
      <w:lvlText w:val="%4."/>
      <w:lvlJc w:val="left"/>
      <w:pPr>
        <w:ind w:left="2880" w:hanging="360"/>
      </w:pPr>
    </w:lvl>
    <w:lvl w:ilvl="4" w:tplc="3AEA8316">
      <w:start w:val="1"/>
      <w:numFmt w:val="lowerLetter"/>
      <w:lvlText w:val="%5."/>
      <w:lvlJc w:val="left"/>
      <w:pPr>
        <w:ind w:left="3600" w:hanging="360"/>
      </w:pPr>
    </w:lvl>
    <w:lvl w:ilvl="5" w:tplc="4C629994">
      <w:start w:val="1"/>
      <w:numFmt w:val="lowerRoman"/>
      <w:lvlText w:val="%6."/>
      <w:lvlJc w:val="right"/>
      <w:pPr>
        <w:ind w:left="4320" w:hanging="180"/>
      </w:pPr>
    </w:lvl>
    <w:lvl w:ilvl="6" w:tplc="2C004120" w:tentative="1">
      <w:start w:val="1"/>
      <w:numFmt w:val="decimal"/>
      <w:lvlText w:val="%7."/>
      <w:lvlJc w:val="left"/>
      <w:pPr>
        <w:ind w:left="5040" w:hanging="360"/>
      </w:pPr>
    </w:lvl>
    <w:lvl w:ilvl="7" w:tplc="F5D47DB8" w:tentative="1">
      <w:start w:val="1"/>
      <w:numFmt w:val="lowerLetter"/>
      <w:lvlText w:val="%8."/>
      <w:lvlJc w:val="left"/>
      <w:pPr>
        <w:ind w:left="5760" w:hanging="360"/>
      </w:pPr>
    </w:lvl>
    <w:lvl w:ilvl="8" w:tplc="714835AA" w:tentative="1">
      <w:start w:val="1"/>
      <w:numFmt w:val="lowerRoman"/>
      <w:lvlText w:val="%9."/>
      <w:lvlJc w:val="right"/>
      <w:pPr>
        <w:ind w:left="6480" w:hanging="180"/>
      </w:pPr>
    </w:lvl>
  </w:abstractNum>
  <w:abstractNum w:abstractNumId="84">
    <w:nsid w:val="71B15072"/>
    <w:multiLevelType w:val="hybridMultilevel"/>
    <w:tmpl w:val="CFCE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2ED45E8"/>
    <w:multiLevelType w:val="hybridMultilevel"/>
    <w:tmpl w:val="32E4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33B6763"/>
    <w:multiLevelType w:val="hybridMultilevel"/>
    <w:tmpl w:val="0196207E"/>
    <w:lvl w:ilvl="0" w:tplc="04090001">
      <w:start w:val="1"/>
      <w:numFmt w:val="bullet"/>
      <w:lvlText w:val=""/>
      <w:lvlJc w:val="left"/>
      <w:pPr>
        <w:ind w:left="1492" w:hanging="360"/>
      </w:pPr>
      <w:rPr>
        <w:rFonts w:ascii="Symbol" w:hAnsi="Symbol" w:hint="default"/>
      </w:rPr>
    </w:lvl>
    <w:lvl w:ilvl="1" w:tplc="0409001B">
      <w:start w:val="1"/>
      <w:numFmt w:val="lowerRoman"/>
      <w:lvlText w:val="%2."/>
      <w:lvlJc w:val="righ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87">
    <w:nsid w:val="73C11663"/>
    <w:multiLevelType w:val="multilevel"/>
    <w:tmpl w:val="98D21ACC"/>
    <w:lvl w:ilvl="0">
      <w:start w:val="1"/>
      <w:numFmt w:val="upperRoman"/>
      <w:lvlText w:val="%1."/>
      <w:lvlJc w:val="right"/>
      <w:pPr>
        <w:ind w:left="360" w:hanging="360"/>
      </w:pPr>
      <w:rPr>
        <w:rFonts w:hint="default"/>
      </w:rPr>
    </w:lvl>
    <w:lvl w:ilvl="1">
      <w:start w:val="1"/>
      <w:numFmt w:val="decimal"/>
      <w:pStyle w:val="MainParawithChapter"/>
      <w:lvlText w:val="%1.%2"/>
      <w:lvlJc w:val="left"/>
      <w:pPr>
        <w:tabs>
          <w:tab w:val="num" w:pos="720"/>
        </w:tabs>
        <w:ind w:left="720" w:hanging="720"/>
      </w:pPr>
      <w:rPr>
        <w:rFonts w:hint="default"/>
      </w:rPr>
    </w:lvl>
    <w:lvl w:ilvl="2">
      <w:start w:val="1"/>
      <w:numFmt w:val="lowerLetter"/>
      <w:pStyle w:val="MainParawithChap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abstractNum w:abstractNumId="88">
    <w:nsid w:val="73DA35F7"/>
    <w:multiLevelType w:val="hybridMultilevel"/>
    <w:tmpl w:val="060C50EE"/>
    <w:lvl w:ilvl="0" w:tplc="94420DC6">
      <w:start w:val="1"/>
      <w:numFmt w:val="decimal"/>
      <w:lvlText w:val="%1."/>
      <w:lvlJc w:val="left"/>
      <w:pPr>
        <w:ind w:left="404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7DB56A9"/>
    <w:multiLevelType w:val="hybridMultilevel"/>
    <w:tmpl w:val="018EF96C"/>
    <w:lvl w:ilvl="0" w:tplc="93A820C0">
      <w:start w:val="1"/>
      <w:numFmt w:val="decimal"/>
      <w:pStyle w:val="MainParanoChapter-Ch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BAE228F"/>
    <w:multiLevelType w:val="hybridMultilevel"/>
    <w:tmpl w:val="DDF23E54"/>
    <w:lvl w:ilvl="0" w:tplc="789A30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C611B1"/>
    <w:multiLevelType w:val="hybridMultilevel"/>
    <w:tmpl w:val="8302748C"/>
    <w:lvl w:ilvl="0" w:tplc="04090001">
      <w:start w:val="1"/>
      <w:numFmt w:val="bullet"/>
      <w:lvlText w:val=""/>
      <w:lvlJc w:val="left"/>
      <w:pPr>
        <w:ind w:left="658" w:hanging="360"/>
      </w:pPr>
      <w:rPr>
        <w:rFonts w:ascii="Symbol" w:hAnsi="Symbol" w:hint="default"/>
      </w:rPr>
    </w:lvl>
    <w:lvl w:ilvl="1" w:tplc="04090003" w:tentative="1">
      <w:start w:val="1"/>
      <w:numFmt w:val="bullet"/>
      <w:lvlText w:val="o"/>
      <w:lvlJc w:val="left"/>
      <w:pPr>
        <w:ind w:left="1378" w:hanging="360"/>
      </w:pPr>
      <w:rPr>
        <w:rFonts w:ascii="Courier New" w:hAnsi="Courier New" w:hint="default"/>
      </w:rPr>
    </w:lvl>
    <w:lvl w:ilvl="2" w:tplc="04090005" w:tentative="1">
      <w:start w:val="1"/>
      <w:numFmt w:val="bullet"/>
      <w:lvlText w:val=""/>
      <w:lvlJc w:val="left"/>
      <w:pPr>
        <w:ind w:left="2098" w:hanging="360"/>
      </w:pPr>
      <w:rPr>
        <w:rFonts w:ascii="Wingdings" w:hAnsi="Wingdings" w:hint="default"/>
      </w:rPr>
    </w:lvl>
    <w:lvl w:ilvl="3" w:tplc="04090001" w:tentative="1">
      <w:start w:val="1"/>
      <w:numFmt w:val="bullet"/>
      <w:lvlText w:val=""/>
      <w:lvlJc w:val="left"/>
      <w:pPr>
        <w:ind w:left="2818" w:hanging="360"/>
      </w:pPr>
      <w:rPr>
        <w:rFonts w:ascii="Symbol" w:hAnsi="Symbol" w:hint="default"/>
      </w:rPr>
    </w:lvl>
    <w:lvl w:ilvl="4" w:tplc="04090003" w:tentative="1">
      <w:start w:val="1"/>
      <w:numFmt w:val="bullet"/>
      <w:lvlText w:val="o"/>
      <w:lvlJc w:val="left"/>
      <w:pPr>
        <w:ind w:left="3538" w:hanging="360"/>
      </w:pPr>
      <w:rPr>
        <w:rFonts w:ascii="Courier New" w:hAnsi="Courier New" w:hint="default"/>
      </w:rPr>
    </w:lvl>
    <w:lvl w:ilvl="5" w:tplc="04090005" w:tentative="1">
      <w:start w:val="1"/>
      <w:numFmt w:val="bullet"/>
      <w:lvlText w:val=""/>
      <w:lvlJc w:val="left"/>
      <w:pPr>
        <w:ind w:left="4258" w:hanging="360"/>
      </w:pPr>
      <w:rPr>
        <w:rFonts w:ascii="Wingdings" w:hAnsi="Wingdings" w:hint="default"/>
      </w:rPr>
    </w:lvl>
    <w:lvl w:ilvl="6" w:tplc="04090001" w:tentative="1">
      <w:start w:val="1"/>
      <w:numFmt w:val="bullet"/>
      <w:lvlText w:val=""/>
      <w:lvlJc w:val="left"/>
      <w:pPr>
        <w:ind w:left="4978" w:hanging="360"/>
      </w:pPr>
      <w:rPr>
        <w:rFonts w:ascii="Symbol" w:hAnsi="Symbol" w:hint="default"/>
      </w:rPr>
    </w:lvl>
    <w:lvl w:ilvl="7" w:tplc="04090003" w:tentative="1">
      <w:start w:val="1"/>
      <w:numFmt w:val="bullet"/>
      <w:lvlText w:val="o"/>
      <w:lvlJc w:val="left"/>
      <w:pPr>
        <w:ind w:left="5698" w:hanging="360"/>
      </w:pPr>
      <w:rPr>
        <w:rFonts w:ascii="Courier New" w:hAnsi="Courier New" w:hint="default"/>
      </w:rPr>
    </w:lvl>
    <w:lvl w:ilvl="8" w:tplc="04090005" w:tentative="1">
      <w:start w:val="1"/>
      <w:numFmt w:val="bullet"/>
      <w:lvlText w:val=""/>
      <w:lvlJc w:val="left"/>
      <w:pPr>
        <w:ind w:left="6418" w:hanging="360"/>
      </w:pPr>
      <w:rPr>
        <w:rFonts w:ascii="Wingdings" w:hAnsi="Wingdings" w:hint="default"/>
      </w:rPr>
    </w:lvl>
  </w:abstractNum>
  <w:abstractNum w:abstractNumId="92">
    <w:nsid w:val="7CE002D5"/>
    <w:multiLevelType w:val="hybridMultilevel"/>
    <w:tmpl w:val="90D8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E042729"/>
    <w:multiLevelType w:val="hybridMultilevel"/>
    <w:tmpl w:val="D81650E4"/>
    <w:lvl w:ilvl="0" w:tplc="2ADECB82">
      <w:start w:val="1"/>
      <w:numFmt w:val="decimal"/>
      <w:lvlText w:val="%1."/>
      <w:lvlJc w:val="left"/>
      <w:pPr>
        <w:ind w:left="4046" w:hanging="360"/>
      </w:pPr>
      <w:rPr>
        <w:rFonts w:hint="default"/>
        <w:b w:val="0"/>
        <w:i w:val="0"/>
      </w:rPr>
    </w:lvl>
    <w:lvl w:ilvl="1" w:tplc="0409001B">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DFBAA57E">
      <w:start w:val="1"/>
      <w:numFmt w:val="decimal"/>
      <w:lvlText w:val="%4."/>
      <w:lvlJc w:val="left"/>
      <w:pPr>
        <w:ind w:left="2880" w:hanging="360"/>
      </w:pPr>
    </w:lvl>
    <w:lvl w:ilvl="4" w:tplc="3AEA8316">
      <w:start w:val="1"/>
      <w:numFmt w:val="lowerLetter"/>
      <w:lvlText w:val="%5."/>
      <w:lvlJc w:val="left"/>
      <w:pPr>
        <w:ind w:left="3600" w:hanging="360"/>
      </w:pPr>
    </w:lvl>
    <w:lvl w:ilvl="5" w:tplc="4C629994">
      <w:start w:val="1"/>
      <w:numFmt w:val="lowerRoman"/>
      <w:lvlText w:val="%6."/>
      <w:lvlJc w:val="right"/>
      <w:pPr>
        <w:ind w:left="4320" w:hanging="180"/>
      </w:pPr>
    </w:lvl>
    <w:lvl w:ilvl="6" w:tplc="2C004120" w:tentative="1">
      <w:start w:val="1"/>
      <w:numFmt w:val="decimal"/>
      <w:lvlText w:val="%7."/>
      <w:lvlJc w:val="left"/>
      <w:pPr>
        <w:ind w:left="5040" w:hanging="360"/>
      </w:pPr>
    </w:lvl>
    <w:lvl w:ilvl="7" w:tplc="F5D47DB8" w:tentative="1">
      <w:start w:val="1"/>
      <w:numFmt w:val="lowerLetter"/>
      <w:lvlText w:val="%8."/>
      <w:lvlJc w:val="left"/>
      <w:pPr>
        <w:ind w:left="5760" w:hanging="360"/>
      </w:pPr>
    </w:lvl>
    <w:lvl w:ilvl="8" w:tplc="714835AA" w:tentative="1">
      <w:start w:val="1"/>
      <w:numFmt w:val="lowerRoman"/>
      <w:lvlText w:val="%9."/>
      <w:lvlJc w:val="right"/>
      <w:pPr>
        <w:ind w:left="6480" w:hanging="180"/>
      </w:pPr>
    </w:lvl>
  </w:abstractNum>
  <w:abstractNum w:abstractNumId="94">
    <w:nsid w:val="7F2F0265"/>
    <w:multiLevelType w:val="hybridMultilevel"/>
    <w:tmpl w:val="20DE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CD2C0F"/>
    <w:multiLevelType w:val="hybridMultilevel"/>
    <w:tmpl w:val="27EE33EC"/>
    <w:lvl w:ilvl="0" w:tplc="6BFABAA2">
      <w:start w:val="47"/>
      <w:numFmt w:val="decimal"/>
      <w:lvlText w:val="%1."/>
      <w:lvlJc w:val="left"/>
      <w:pPr>
        <w:ind w:left="360" w:hanging="360"/>
      </w:pPr>
      <w:rPr>
        <w:rFonts w:hint="default"/>
        <w:b w:val="0"/>
        <w:i w:val="0"/>
        <w:sz w:val="24"/>
        <w:szCs w:val="24"/>
      </w:rPr>
    </w:lvl>
    <w:lvl w:ilvl="1" w:tplc="04090003">
      <w:start w:val="1"/>
      <w:numFmt w:val="lowerRoman"/>
      <w:lvlText w:val="%2."/>
      <w:lvlJc w:val="right"/>
      <w:pPr>
        <w:ind w:left="1440" w:hanging="360"/>
      </w:pPr>
    </w:lvl>
    <w:lvl w:ilvl="2" w:tplc="04090005">
      <w:start w:val="1"/>
      <w:numFmt w:val="bullet"/>
      <w:lvlText w:val=""/>
      <w:lvlJc w:val="left"/>
      <w:pPr>
        <w:ind w:left="2160" w:hanging="180"/>
      </w:pPr>
      <w:rPr>
        <w:rFonts w:ascii="Symbol" w:hAnsi="Symbol"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6">
    <w:nsid w:val="7FE30505"/>
    <w:multiLevelType w:val="hybridMultilevel"/>
    <w:tmpl w:val="25E07446"/>
    <w:lvl w:ilvl="0" w:tplc="0409000F">
      <w:start w:val="1"/>
      <w:numFmt w:val="bullet"/>
      <w:pStyle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7">
    <w:nsid w:val="7FE4341A"/>
    <w:multiLevelType w:val="hybridMultilevel"/>
    <w:tmpl w:val="C422062E"/>
    <w:lvl w:ilvl="0" w:tplc="BEDEE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65"/>
  </w:num>
  <w:num w:numId="4">
    <w:abstractNumId w:val="20"/>
  </w:num>
  <w:num w:numId="5">
    <w:abstractNumId w:val="21"/>
  </w:num>
  <w:num w:numId="6">
    <w:abstractNumId w:val="66"/>
  </w:num>
  <w:num w:numId="7">
    <w:abstractNumId w:val="44"/>
  </w:num>
  <w:num w:numId="8">
    <w:abstractNumId w:val="89"/>
  </w:num>
  <w:num w:numId="9">
    <w:abstractNumId w:val="50"/>
  </w:num>
  <w:num w:numId="10">
    <w:abstractNumId w:val="37"/>
  </w:num>
  <w:num w:numId="11">
    <w:abstractNumId w:val="87"/>
  </w:num>
  <w:num w:numId="12">
    <w:abstractNumId w:val="64"/>
  </w:num>
  <w:num w:numId="13">
    <w:abstractNumId w:val="90"/>
  </w:num>
  <w:num w:numId="14">
    <w:abstractNumId w:val="94"/>
  </w:num>
  <w:num w:numId="15">
    <w:abstractNumId w:val="4"/>
  </w:num>
  <w:num w:numId="16">
    <w:abstractNumId w:val="63"/>
  </w:num>
  <w:num w:numId="17">
    <w:abstractNumId w:val="86"/>
  </w:num>
  <w:num w:numId="18">
    <w:abstractNumId w:val="26"/>
  </w:num>
  <w:num w:numId="19">
    <w:abstractNumId w:val="2"/>
  </w:num>
  <w:num w:numId="20">
    <w:abstractNumId w:val="71"/>
  </w:num>
  <w:num w:numId="21">
    <w:abstractNumId w:val="60"/>
  </w:num>
  <w:num w:numId="22">
    <w:abstractNumId w:val="88"/>
  </w:num>
  <w:num w:numId="23">
    <w:abstractNumId w:val="28"/>
  </w:num>
  <w:num w:numId="24">
    <w:abstractNumId w:val="12"/>
  </w:num>
  <w:num w:numId="25">
    <w:abstractNumId w:val="3"/>
  </w:num>
  <w:num w:numId="26">
    <w:abstractNumId w:val="77"/>
  </w:num>
  <w:num w:numId="27">
    <w:abstractNumId w:val="97"/>
  </w:num>
  <w:num w:numId="28">
    <w:abstractNumId w:val="42"/>
  </w:num>
  <w:num w:numId="29">
    <w:abstractNumId w:val="72"/>
  </w:num>
  <w:num w:numId="30">
    <w:abstractNumId w:val="56"/>
  </w:num>
  <w:num w:numId="31">
    <w:abstractNumId w:val="93"/>
  </w:num>
  <w:num w:numId="32">
    <w:abstractNumId w:val="70"/>
  </w:num>
  <w:num w:numId="33">
    <w:abstractNumId w:val="76"/>
  </w:num>
  <w:num w:numId="34">
    <w:abstractNumId w:val="11"/>
  </w:num>
  <w:num w:numId="35">
    <w:abstractNumId w:val="62"/>
  </w:num>
  <w:num w:numId="36">
    <w:abstractNumId w:val="35"/>
  </w:num>
  <w:num w:numId="37">
    <w:abstractNumId w:val="23"/>
  </w:num>
  <w:num w:numId="38">
    <w:abstractNumId w:val="1"/>
  </w:num>
  <w:num w:numId="39">
    <w:abstractNumId w:val="0"/>
  </w:num>
  <w:num w:numId="40">
    <w:abstractNumId w:val="96"/>
  </w:num>
  <w:num w:numId="41">
    <w:abstractNumId w:val="58"/>
  </w:num>
  <w:num w:numId="42">
    <w:abstractNumId w:val="59"/>
  </w:num>
  <w:num w:numId="43">
    <w:abstractNumId w:val="75"/>
  </w:num>
  <w:num w:numId="44">
    <w:abstractNumId w:val="32"/>
  </w:num>
  <w:num w:numId="45">
    <w:abstractNumId w:val="15"/>
  </w:num>
  <w:num w:numId="46">
    <w:abstractNumId w:val="85"/>
  </w:num>
  <w:num w:numId="47">
    <w:abstractNumId w:val="82"/>
  </w:num>
  <w:num w:numId="48">
    <w:abstractNumId w:val="84"/>
  </w:num>
  <w:num w:numId="49">
    <w:abstractNumId w:val="18"/>
  </w:num>
  <w:num w:numId="50">
    <w:abstractNumId w:val="7"/>
  </w:num>
  <w:num w:numId="51">
    <w:abstractNumId w:val="74"/>
  </w:num>
  <w:num w:numId="52">
    <w:abstractNumId w:val="57"/>
  </w:num>
  <w:num w:numId="53">
    <w:abstractNumId w:val="33"/>
  </w:num>
  <w:num w:numId="54">
    <w:abstractNumId w:val="91"/>
  </w:num>
  <w:num w:numId="55">
    <w:abstractNumId w:val="54"/>
  </w:num>
  <w:num w:numId="56">
    <w:abstractNumId w:val="34"/>
  </w:num>
  <w:num w:numId="57">
    <w:abstractNumId w:val="45"/>
  </w:num>
  <w:num w:numId="58">
    <w:abstractNumId w:val="43"/>
  </w:num>
  <w:num w:numId="59">
    <w:abstractNumId w:val="67"/>
  </w:num>
  <w:num w:numId="60">
    <w:abstractNumId w:val="27"/>
  </w:num>
  <w:num w:numId="61">
    <w:abstractNumId w:val="53"/>
  </w:num>
  <w:num w:numId="62">
    <w:abstractNumId w:val="39"/>
  </w:num>
  <w:num w:numId="63">
    <w:abstractNumId w:val="30"/>
  </w:num>
  <w:num w:numId="64">
    <w:abstractNumId w:val="95"/>
  </w:num>
  <w:num w:numId="65">
    <w:abstractNumId w:val="17"/>
  </w:num>
  <w:num w:numId="66">
    <w:abstractNumId w:val="92"/>
  </w:num>
  <w:num w:numId="67">
    <w:abstractNumId w:val="49"/>
  </w:num>
  <w:num w:numId="68">
    <w:abstractNumId w:val="22"/>
  </w:num>
  <w:num w:numId="69">
    <w:abstractNumId w:val="83"/>
  </w:num>
  <w:num w:numId="70">
    <w:abstractNumId w:val="9"/>
  </w:num>
  <w:num w:numId="71">
    <w:abstractNumId w:val="13"/>
  </w:num>
  <w:num w:numId="72">
    <w:abstractNumId w:val="5"/>
  </w:num>
  <w:num w:numId="73">
    <w:abstractNumId w:val="81"/>
  </w:num>
  <w:num w:numId="74">
    <w:abstractNumId w:val="38"/>
  </w:num>
  <w:num w:numId="75">
    <w:abstractNumId w:val="55"/>
  </w:num>
  <w:num w:numId="76">
    <w:abstractNumId w:val="47"/>
  </w:num>
  <w:num w:numId="77">
    <w:abstractNumId w:val="69"/>
  </w:num>
  <w:num w:numId="78">
    <w:abstractNumId w:val="48"/>
  </w:num>
  <w:num w:numId="79">
    <w:abstractNumId w:val="40"/>
  </w:num>
  <w:num w:numId="80">
    <w:abstractNumId w:val="19"/>
  </w:num>
  <w:num w:numId="81">
    <w:abstractNumId w:val="73"/>
  </w:num>
  <w:num w:numId="82">
    <w:abstractNumId w:val="46"/>
  </w:num>
  <w:num w:numId="83">
    <w:abstractNumId w:val="80"/>
  </w:num>
  <w:num w:numId="84">
    <w:abstractNumId w:val="78"/>
  </w:num>
  <w:num w:numId="85">
    <w:abstractNumId w:val="31"/>
  </w:num>
  <w:num w:numId="86">
    <w:abstractNumId w:val="68"/>
  </w:num>
  <w:num w:numId="87">
    <w:abstractNumId w:val="10"/>
  </w:num>
  <w:num w:numId="88">
    <w:abstractNumId w:val="14"/>
  </w:num>
  <w:num w:numId="89">
    <w:abstractNumId w:val="41"/>
  </w:num>
  <w:num w:numId="90">
    <w:abstractNumId w:val="16"/>
  </w:num>
  <w:num w:numId="91">
    <w:abstractNumId w:val="6"/>
  </w:num>
  <w:num w:numId="92">
    <w:abstractNumId w:val="61"/>
  </w:num>
  <w:num w:numId="93">
    <w:abstractNumId w:val="51"/>
  </w:num>
  <w:num w:numId="94">
    <w:abstractNumId w:val="25"/>
  </w:num>
  <w:num w:numId="95">
    <w:abstractNumId w:val="29"/>
  </w:num>
  <w:num w:numId="96">
    <w:abstractNumId w:val="79"/>
  </w:num>
  <w:num w:numId="97">
    <w:abstractNumId w:val="36"/>
  </w:num>
  <w:num w:numId="98">
    <w:abstractNumId w:val="52"/>
  </w:num>
  <w:num w:numId="99">
    <w:abstractNumId w:val="89"/>
  </w:num>
  <w:num w:numId="100">
    <w:abstractNumId w:val="24"/>
  </w:num>
  <w:num w:numId="101">
    <w:abstractNumId w:val="36"/>
  </w:num>
  <w:num w:numId="102">
    <w:abstractNumId w:val="36"/>
  </w:num>
  <w:num w:numId="103">
    <w:abstractNumId w:val="3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26"/>
    <w:rsid w:val="00000AE2"/>
    <w:rsid w:val="000036AB"/>
    <w:rsid w:val="00003D14"/>
    <w:rsid w:val="0000428D"/>
    <w:rsid w:val="0000440B"/>
    <w:rsid w:val="0000456C"/>
    <w:rsid w:val="000046C3"/>
    <w:rsid w:val="000054EF"/>
    <w:rsid w:val="00005667"/>
    <w:rsid w:val="000059BB"/>
    <w:rsid w:val="000067E4"/>
    <w:rsid w:val="00006DD6"/>
    <w:rsid w:val="00006FEE"/>
    <w:rsid w:val="0001126F"/>
    <w:rsid w:val="00011B7D"/>
    <w:rsid w:val="00011DE7"/>
    <w:rsid w:val="00011EC3"/>
    <w:rsid w:val="00012655"/>
    <w:rsid w:val="000127C9"/>
    <w:rsid w:val="000133B2"/>
    <w:rsid w:val="00014143"/>
    <w:rsid w:val="000143D0"/>
    <w:rsid w:val="00014F35"/>
    <w:rsid w:val="00015ADC"/>
    <w:rsid w:val="0001617F"/>
    <w:rsid w:val="00016BA2"/>
    <w:rsid w:val="00017A8D"/>
    <w:rsid w:val="00020328"/>
    <w:rsid w:val="00021662"/>
    <w:rsid w:val="00022202"/>
    <w:rsid w:val="00022F2E"/>
    <w:rsid w:val="000240D2"/>
    <w:rsid w:val="00024B91"/>
    <w:rsid w:val="00024DF3"/>
    <w:rsid w:val="00025663"/>
    <w:rsid w:val="00025944"/>
    <w:rsid w:val="00025CCA"/>
    <w:rsid w:val="00026A0E"/>
    <w:rsid w:val="00027BB1"/>
    <w:rsid w:val="00032F20"/>
    <w:rsid w:val="0003445A"/>
    <w:rsid w:val="00034835"/>
    <w:rsid w:val="0003640F"/>
    <w:rsid w:val="000367FB"/>
    <w:rsid w:val="00036847"/>
    <w:rsid w:val="00037587"/>
    <w:rsid w:val="00041013"/>
    <w:rsid w:val="00043AE7"/>
    <w:rsid w:val="00043DEE"/>
    <w:rsid w:val="0004490B"/>
    <w:rsid w:val="0004779C"/>
    <w:rsid w:val="00047E9D"/>
    <w:rsid w:val="000508E3"/>
    <w:rsid w:val="0005117F"/>
    <w:rsid w:val="00053EB7"/>
    <w:rsid w:val="000547A1"/>
    <w:rsid w:val="00054C2D"/>
    <w:rsid w:val="00054C5F"/>
    <w:rsid w:val="00055564"/>
    <w:rsid w:val="00055B8C"/>
    <w:rsid w:val="00056E20"/>
    <w:rsid w:val="00056FC8"/>
    <w:rsid w:val="00061363"/>
    <w:rsid w:val="00062ACC"/>
    <w:rsid w:val="000634BF"/>
    <w:rsid w:val="000635E9"/>
    <w:rsid w:val="000649C5"/>
    <w:rsid w:val="00065152"/>
    <w:rsid w:val="000658A1"/>
    <w:rsid w:val="00067F4C"/>
    <w:rsid w:val="000727B0"/>
    <w:rsid w:val="00072CA6"/>
    <w:rsid w:val="000737F7"/>
    <w:rsid w:val="0007384E"/>
    <w:rsid w:val="00075199"/>
    <w:rsid w:val="000765D6"/>
    <w:rsid w:val="000773D8"/>
    <w:rsid w:val="00077667"/>
    <w:rsid w:val="00083013"/>
    <w:rsid w:val="000838B7"/>
    <w:rsid w:val="00090388"/>
    <w:rsid w:val="00092CE3"/>
    <w:rsid w:val="00092D20"/>
    <w:rsid w:val="000935A0"/>
    <w:rsid w:val="00094DF9"/>
    <w:rsid w:val="00095946"/>
    <w:rsid w:val="00097417"/>
    <w:rsid w:val="00097557"/>
    <w:rsid w:val="00097F3B"/>
    <w:rsid w:val="000A19DB"/>
    <w:rsid w:val="000A1A16"/>
    <w:rsid w:val="000A2752"/>
    <w:rsid w:val="000A2C7D"/>
    <w:rsid w:val="000A3472"/>
    <w:rsid w:val="000A3577"/>
    <w:rsid w:val="000A35C0"/>
    <w:rsid w:val="000A443F"/>
    <w:rsid w:val="000A4B61"/>
    <w:rsid w:val="000A5D72"/>
    <w:rsid w:val="000A6742"/>
    <w:rsid w:val="000A78BB"/>
    <w:rsid w:val="000A7D17"/>
    <w:rsid w:val="000B14EB"/>
    <w:rsid w:val="000B601B"/>
    <w:rsid w:val="000B7F72"/>
    <w:rsid w:val="000C1CA8"/>
    <w:rsid w:val="000C2469"/>
    <w:rsid w:val="000C2E0A"/>
    <w:rsid w:val="000C370D"/>
    <w:rsid w:val="000C3BFC"/>
    <w:rsid w:val="000C4067"/>
    <w:rsid w:val="000C4985"/>
    <w:rsid w:val="000C528B"/>
    <w:rsid w:val="000D058E"/>
    <w:rsid w:val="000D1FB8"/>
    <w:rsid w:val="000D21B2"/>
    <w:rsid w:val="000D2B09"/>
    <w:rsid w:val="000D5678"/>
    <w:rsid w:val="000D6D33"/>
    <w:rsid w:val="000D7C63"/>
    <w:rsid w:val="000E0CAE"/>
    <w:rsid w:val="000E1186"/>
    <w:rsid w:val="000E135C"/>
    <w:rsid w:val="000E2353"/>
    <w:rsid w:val="000E263D"/>
    <w:rsid w:val="000E3B7C"/>
    <w:rsid w:val="000E3BD7"/>
    <w:rsid w:val="000E4046"/>
    <w:rsid w:val="000E41BF"/>
    <w:rsid w:val="000E591B"/>
    <w:rsid w:val="000E5B80"/>
    <w:rsid w:val="000E6C9A"/>
    <w:rsid w:val="000F0AD2"/>
    <w:rsid w:val="000F160B"/>
    <w:rsid w:val="000F1677"/>
    <w:rsid w:val="000F4826"/>
    <w:rsid w:val="000F60EB"/>
    <w:rsid w:val="000F69D0"/>
    <w:rsid w:val="000F6BF2"/>
    <w:rsid w:val="000F7EFD"/>
    <w:rsid w:val="00100DC1"/>
    <w:rsid w:val="001015E5"/>
    <w:rsid w:val="00103959"/>
    <w:rsid w:val="00104DDD"/>
    <w:rsid w:val="00111DA6"/>
    <w:rsid w:val="00112A34"/>
    <w:rsid w:val="00113521"/>
    <w:rsid w:val="0011368F"/>
    <w:rsid w:val="001139A8"/>
    <w:rsid w:val="001146E1"/>
    <w:rsid w:val="00114C2F"/>
    <w:rsid w:val="00115846"/>
    <w:rsid w:val="0011667F"/>
    <w:rsid w:val="00116B71"/>
    <w:rsid w:val="00116BEA"/>
    <w:rsid w:val="001218D2"/>
    <w:rsid w:val="00121C28"/>
    <w:rsid w:val="001226E1"/>
    <w:rsid w:val="00122D53"/>
    <w:rsid w:val="00123232"/>
    <w:rsid w:val="001242D7"/>
    <w:rsid w:val="0012588E"/>
    <w:rsid w:val="00126A18"/>
    <w:rsid w:val="00126FE8"/>
    <w:rsid w:val="001278B0"/>
    <w:rsid w:val="00127A14"/>
    <w:rsid w:val="00127E92"/>
    <w:rsid w:val="00130DE4"/>
    <w:rsid w:val="0013126C"/>
    <w:rsid w:val="00131536"/>
    <w:rsid w:val="001329B7"/>
    <w:rsid w:val="00132B19"/>
    <w:rsid w:val="00134E41"/>
    <w:rsid w:val="0013527D"/>
    <w:rsid w:val="00136520"/>
    <w:rsid w:val="001377F5"/>
    <w:rsid w:val="00137DF8"/>
    <w:rsid w:val="001420CD"/>
    <w:rsid w:val="00142634"/>
    <w:rsid w:val="001428ED"/>
    <w:rsid w:val="00142AEE"/>
    <w:rsid w:val="0014501F"/>
    <w:rsid w:val="001450B6"/>
    <w:rsid w:val="0014580F"/>
    <w:rsid w:val="00146455"/>
    <w:rsid w:val="0014664C"/>
    <w:rsid w:val="001472E4"/>
    <w:rsid w:val="001477EC"/>
    <w:rsid w:val="001502BA"/>
    <w:rsid w:val="001509A0"/>
    <w:rsid w:val="00150CA4"/>
    <w:rsid w:val="00151505"/>
    <w:rsid w:val="00151D90"/>
    <w:rsid w:val="0015218C"/>
    <w:rsid w:val="00152B18"/>
    <w:rsid w:val="00152BF7"/>
    <w:rsid w:val="001533F0"/>
    <w:rsid w:val="0015440E"/>
    <w:rsid w:val="001552B6"/>
    <w:rsid w:val="00156BC6"/>
    <w:rsid w:val="00156D53"/>
    <w:rsid w:val="00157692"/>
    <w:rsid w:val="00161D92"/>
    <w:rsid w:val="001633A4"/>
    <w:rsid w:val="001635BC"/>
    <w:rsid w:val="00164437"/>
    <w:rsid w:val="00164FF7"/>
    <w:rsid w:val="00170E91"/>
    <w:rsid w:val="0017120B"/>
    <w:rsid w:val="0017129B"/>
    <w:rsid w:val="001715DB"/>
    <w:rsid w:val="00175254"/>
    <w:rsid w:val="00177104"/>
    <w:rsid w:val="001772C0"/>
    <w:rsid w:val="00177A15"/>
    <w:rsid w:val="00182C77"/>
    <w:rsid w:val="00183A63"/>
    <w:rsid w:val="00183A6C"/>
    <w:rsid w:val="00185755"/>
    <w:rsid w:val="00191B07"/>
    <w:rsid w:val="001921B5"/>
    <w:rsid w:val="00192AD2"/>
    <w:rsid w:val="001936E7"/>
    <w:rsid w:val="00193FFB"/>
    <w:rsid w:val="001966A7"/>
    <w:rsid w:val="001967DA"/>
    <w:rsid w:val="00196818"/>
    <w:rsid w:val="00196A60"/>
    <w:rsid w:val="001973B3"/>
    <w:rsid w:val="001A09A3"/>
    <w:rsid w:val="001A09AD"/>
    <w:rsid w:val="001A0CCC"/>
    <w:rsid w:val="001A146C"/>
    <w:rsid w:val="001A15B6"/>
    <w:rsid w:val="001A31D9"/>
    <w:rsid w:val="001A3854"/>
    <w:rsid w:val="001A388B"/>
    <w:rsid w:val="001A4879"/>
    <w:rsid w:val="001A54B9"/>
    <w:rsid w:val="001A5FBC"/>
    <w:rsid w:val="001A6EB7"/>
    <w:rsid w:val="001A7CA0"/>
    <w:rsid w:val="001B0CCF"/>
    <w:rsid w:val="001B1A05"/>
    <w:rsid w:val="001B33E2"/>
    <w:rsid w:val="001B34B7"/>
    <w:rsid w:val="001B4825"/>
    <w:rsid w:val="001B4D24"/>
    <w:rsid w:val="001B4D34"/>
    <w:rsid w:val="001B4D5A"/>
    <w:rsid w:val="001B5AF2"/>
    <w:rsid w:val="001B5C43"/>
    <w:rsid w:val="001B5C44"/>
    <w:rsid w:val="001B5D92"/>
    <w:rsid w:val="001B64C0"/>
    <w:rsid w:val="001B7624"/>
    <w:rsid w:val="001C00CE"/>
    <w:rsid w:val="001C07A4"/>
    <w:rsid w:val="001C0CE3"/>
    <w:rsid w:val="001C223B"/>
    <w:rsid w:val="001C2570"/>
    <w:rsid w:val="001C3679"/>
    <w:rsid w:val="001C41D3"/>
    <w:rsid w:val="001C557D"/>
    <w:rsid w:val="001C5AD0"/>
    <w:rsid w:val="001C71D4"/>
    <w:rsid w:val="001C7B10"/>
    <w:rsid w:val="001C7BDA"/>
    <w:rsid w:val="001D16F2"/>
    <w:rsid w:val="001D2366"/>
    <w:rsid w:val="001D2534"/>
    <w:rsid w:val="001D2940"/>
    <w:rsid w:val="001D4104"/>
    <w:rsid w:val="001D4118"/>
    <w:rsid w:val="001D4564"/>
    <w:rsid w:val="001D48BE"/>
    <w:rsid w:val="001D4D19"/>
    <w:rsid w:val="001D589F"/>
    <w:rsid w:val="001D5AF7"/>
    <w:rsid w:val="001D6172"/>
    <w:rsid w:val="001D65D1"/>
    <w:rsid w:val="001D67D6"/>
    <w:rsid w:val="001E0475"/>
    <w:rsid w:val="001E149C"/>
    <w:rsid w:val="001E2BA3"/>
    <w:rsid w:val="001E33F2"/>
    <w:rsid w:val="001E4EA0"/>
    <w:rsid w:val="001E6CEA"/>
    <w:rsid w:val="001F04C3"/>
    <w:rsid w:val="001F0863"/>
    <w:rsid w:val="001F10A3"/>
    <w:rsid w:val="001F2DD0"/>
    <w:rsid w:val="001F5B78"/>
    <w:rsid w:val="001F6A83"/>
    <w:rsid w:val="001F75EC"/>
    <w:rsid w:val="0020029B"/>
    <w:rsid w:val="00201439"/>
    <w:rsid w:val="0020334A"/>
    <w:rsid w:val="002048F5"/>
    <w:rsid w:val="00204A87"/>
    <w:rsid w:val="00204D5A"/>
    <w:rsid w:val="00205AB8"/>
    <w:rsid w:val="00206C59"/>
    <w:rsid w:val="00207179"/>
    <w:rsid w:val="0020778C"/>
    <w:rsid w:val="002113C5"/>
    <w:rsid w:val="0021188F"/>
    <w:rsid w:val="00213603"/>
    <w:rsid w:val="00215C79"/>
    <w:rsid w:val="00217869"/>
    <w:rsid w:val="0021792B"/>
    <w:rsid w:val="00217CF2"/>
    <w:rsid w:val="002205F1"/>
    <w:rsid w:val="002212E9"/>
    <w:rsid w:val="0022204B"/>
    <w:rsid w:val="00222433"/>
    <w:rsid w:val="00222FA4"/>
    <w:rsid w:val="00223528"/>
    <w:rsid w:val="00224661"/>
    <w:rsid w:val="002267A1"/>
    <w:rsid w:val="00227AB9"/>
    <w:rsid w:val="00232C57"/>
    <w:rsid w:val="00233170"/>
    <w:rsid w:val="0023351C"/>
    <w:rsid w:val="002345A2"/>
    <w:rsid w:val="002345F6"/>
    <w:rsid w:val="00236FF4"/>
    <w:rsid w:val="0023742F"/>
    <w:rsid w:val="002430A3"/>
    <w:rsid w:val="002431F0"/>
    <w:rsid w:val="002443D7"/>
    <w:rsid w:val="00245301"/>
    <w:rsid w:val="00246600"/>
    <w:rsid w:val="00246C03"/>
    <w:rsid w:val="002475C9"/>
    <w:rsid w:val="00251334"/>
    <w:rsid w:val="00251628"/>
    <w:rsid w:val="00251F4A"/>
    <w:rsid w:val="0025247B"/>
    <w:rsid w:val="002526F8"/>
    <w:rsid w:val="00254260"/>
    <w:rsid w:val="00254D60"/>
    <w:rsid w:val="00255E19"/>
    <w:rsid w:val="00255FAF"/>
    <w:rsid w:val="00256957"/>
    <w:rsid w:val="002576A0"/>
    <w:rsid w:val="00260010"/>
    <w:rsid w:val="00260DC8"/>
    <w:rsid w:val="0026163C"/>
    <w:rsid w:val="002646F2"/>
    <w:rsid w:val="002648FD"/>
    <w:rsid w:val="00264DC6"/>
    <w:rsid w:val="00265864"/>
    <w:rsid w:val="002665C1"/>
    <w:rsid w:val="002669CE"/>
    <w:rsid w:val="00266F9B"/>
    <w:rsid w:val="00267C30"/>
    <w:rsid w:val="00270799"/>
    <w:rsid w:val="002720A7"/>
    <w:rsid w:val="0027248F"/>
    <w:rsid w:val="0027299D"/>
    <w:rsid w:val="00272B4E"/>
    <w:rsid w:val="00274157"/>
    <w:rsid w:val="0027612D"/>
    <w:rsid w:val="00276BC8"/>
    <w:rsid w:val="00280346"/>
    <w:rsid w:val="00280BDE"/>
    <w:rsid w:val="00280BFA"/>
    <w:rsid w:val="002810F2"/>
    <w:rsid w:val="00282B94"/>
    <w:rsid w:val="00285DE1"/>
    <w:rsid w:val="0029010F"/>
    <w:rsid w:val="0029060B"/>
    <w:rsid w:val="00291B2D"/>
    <w:rsid w:val="00291BC2"/>
    <w:rsid w:val="00293BA4"/>
    <w:rsid w:val="002943F1"/>
    <w:rsid w:val="00294C1D"/>
    <w:rsid w:val="00294D08"/>
    <w:rsid w:val="002952F7"/>
    <w:rsid w:val="00297F4C"/>
    <w:rsid w:val="002A11D5"/>
    <w:rsid w:val="002A1D04"/>
    <w:rsid w:val="002A2022"/>
    <w:rsid w:val="002A2E1E"/>
    <w:rsid w:val="002A38F5"/>
    <w:rsid w:val="002A51C1"/>
    <w:rsid w:val="002A76C1"/>
    <w:rsid w:val="002B26EE"/>
    <w:rsid w:val="002B496F"/>
    <w:rsid w:val="002B5BD7"/>
    <w:rsid w:val="002B5BDA"/>
    <w:rsid w:val="002B7023"/>
    <w:rsid w:val="002B77E0"/>
    <w:rsid w:val="002B7F3E"/>
    <w:rsid w:val="002C0478"/>
    <w:rsid w:val="002C2842"/>
    <w:rsid w:val="002C31EF"/>
    <w:rsid w:val="002C3CB5"/>
    <w:rsid w:val="002C3FFE"/>
    <w:rsid w:val="002C4390"/>
    <w:rsid w:val="002C4CBC"/>
    <w:rsid w:val="002C52FB"/>
    <w:rsid w:val="002C5D4A"/>
    <w:rsid w:val="002C5FE1"/>
    <w:rsid w:val="002C605F"/>
    <w:rsid w:val="002C75E7"/>
    <w:rsid w:val="002C7C64"/>
    <w:rsid w:val="002D017F"/>
    <w:rsid w:val="002D1C52"/>
    <w:rsid w:val="002D22A0"/>
    <w:rsid w:val="002D2B6E"/>
    <w:rsid w:val="002D3CED"/>
    <w:rsid w:val="002D3E34"/>
    <w:rsid w:val="002D489F"/>
    <w:rsid w:val="002D4A9F"/>
    <w:rsid w:val="002D5092"/>
    <w:rsid w:val="002D5694"/>
    <w:rsid w:val="002D6601"/>
    <w:rsid w:val="002D72E5"/>
    <w:rsid w:val="002E06F6"/>
    <w:rsid w:val="002E12B2"/>
    <w:rsid w:val="002E24C3"/>
    <w:rsid w:val="002E2843"/>
    <w:rsid w:val="002E373E"/>
    <w:rsid w:val="002E39BF"/>
    <w:rsid w:val="002E4226"/>
    <w:rsid w:val="002E6051"/>
    <w:rsid w:val="002E6515"/>
    <w:rsid w:val="002E6E1E"/>
    <w:rsid w:val="002E770E"/>
    <w:rsid w:val="002F0CB5"/>
    <w:rsid w:val="002F20EB"/>
    <w:rsid w:val="002F27E5"/>
    <w:rsid w:val="002F384A"/>
    <w:rsid w:val="002F3A4D"/>
    <w:rsid w:val="002F3F09"/>
    <w:rsid w:val="002F4A55"/>
    <w:rsid w:val="002F4AA3"/>
    <w:rsid w:val="002F4FFB"/>
    <w:rsid w:val="002F5E67"/>
    <w:rsid w:val="002F633B"/>
    <w:rsid w:val="002F7B6F"/>
    <w:rsid w:val="0030157D"/>
    <w:rsid w:val="00302930"/>
    <w:rsid w:val="003029E5"/>
    <w:rsid w:val="00303C63"/>
    <w:rsid w:val="00303D2D"/>
    <w:rsid w:val="00305287"/>
    <w:rsid w:val="0030546E"/>
    <w:rsid w:val="00305DCB"/>
    <w:rsid w:val="00306985"/>
    <w:rsid w:val="003108FA"/>
    <w:rsid w:val="00310A1C"/>
    <w:rsid w:val="00310AC3"/>
    <w:rsid w:val="00310EDB"/>
    <w:rsid w:val="00311519"/>
    <w:rsid w:val="00311545"/>
    <w:rsid w:val="00311890"/>
    <w:rsid w:val="003119F8"/>
    <w:rsid w:val="00311B6C"/>
    <w:rsid w:val="00313799"/>
    <w:rsid w:val="00313F3A"/>
    <w:rsid w:val="00315973"/>
    <w:rsid w:val="00320117"/>
    <w:rsid w:val="003214AE"/>
    <w:rsid w:val="003214C9"/>
    <w:rsid w:val="00322A08"/>
    <w:rsid w:val="003236B6"/>
    <w:rsid w:val="0032371C"/>
    <w:rsid w:val="00323E57"/>
    <w:rsid w:val="003240F9"/>
    <w:rsid w:val="00326B7C"/>
    <w:rsid w:val="003276E0"/>
    <w:rsid w:val="00330A27"/>
    <w:rsid w:val="0033124E"/>
    <w:rsid w:val="0033125A"/>
    <w:rsid w:val="00331471"/>
    <w:rsid w:val="00333AF1"/>
    <w:rsid w:val="00334239"/>
    <w:rsid w:val="00335264"/>
    <w:rsid w:val="00335352"/>
    <w:rsid w:val="003365DE"/>
    <w:rsid w:val="003366B3"/>
    <w:rsid w:val="00340C8D"/>
    <w:rsid w:val="00341F05"/>
    <w:rsid w:val="00341F93"/>
    <w:rsid w:val="0034227A"/>
    <w:rsid w:val="0034273A"/>
    <w:rsid w:val="00343654"/>
    <w:rsid w:val="003436C0"/>
    <w:rsid w:val="0034402D"/>
    <w:rsid w:val="00344E40"/>
    <w:rsid w:val="00347A1E"/>
    <w:rsid w:val="00347B0F"/>
    <w:rsid w:val="00351020"/>
    <w:rsid w:val="003520BF"/>
    <w:rsid w:val="003532CF"/>
    <w:rsid w:val="00353F62"/>
    <w:rsid w:val="00353F76"/>
    <w:rsid w:val="0035469A"/>
    <w:rsid w:val="00354B88"/>
    <w:rsid w:val="00355E53"/>
    <w:rsid w:val="003564E3"/>
    <w:rsid w:val="003569E5"/>
    <w:rsid w:val="00356AE5"/>
    <w:rsid w:val="00356CB6"/>
    <w:rsid w:val="00356F64"/>
    <w:rsid w:val="003579AA"/>
    <w:rsid w:val="00360172"/>
    <w:rsid w:val="00362BED"/>
    <w:rsid w:val="0036318B"/>
    <w:rsid w:val="00363C2E"/>
    <w:rsid w:val="003653DF"/>
    <w:rsid w:val="0036548D"/>
    <w:rsid w:val="00367B48"/>
    <w:rsid w:val="00367CAE"/>
    <w:rsid w:val="0037090C"/>
    <w:rsid w:val="00371899"/>
    <w:rsid w:val="003718AE"/>
    <w:rsid w:val="003729A9"/>
    <w:rsid w:val="00373BD4"/>
    <w:rsid w:val="00373FBA"/>
    <w:rsid w:val="003740C1"/>
    <w:rsid w:val="00374751"/>
    <w:rsid w:val="003750B7"/>
    <w:rsid w:val="00375685"/>
    <w:rsid w:val="00376FA5"/>
    <w:rsid w:val="00377206"/>
    <w:rsid w:val="00377234"/>
    <w:rsid w:val="0037784A"/>
    <w:rsid w:val="00380124"/>
    <w:rsid w:val="00380D32"/>
    <w:rsid w:val="00380EF7"/>
    <w:rsid w:val="00381CA4"/>
    <w:rsid w:val="003825BA"/>
    <w:rsid w:val="00382E0F"/>
    <w:rsid w:val="00383580"/>
    <w:rsid w:val="00383DEA"/>
    <w:rsid w:val="003842F4"/>
    <w:rsid w:val="003845AE"/>
    <w:rsid w:val="00385795"/>
    <w:rsid w:val="00386910"/>
    <w:rsid w:val="003878F1"/>
    <w:rsid w:val="00387E89"/>
    <w:rsid w:val="003903A2"/>
    <w:rsid w:val="003912CF"/>
    <w:rsid w:val="00391558"/>
    <w:rsid w:val="00391918"/>
    <w:rsid w:val="003923B4"/>
    <w:rsid w:val="0039265F"/>
    <w:rsid w:val="0039548F"/>
    <w:rsid w:val="00395815"/>
    <w:rsid w:val="00397BFD"/>
    <w:rsid w:val="00397FE3"/>
    <w:rsid w:val="003A17FA"/>
    <w:rsid w:val="003A2D81"/>
    <w:rsid w:val="003A2E4B"/>
    <w:rsid w:val="003A382D"/>
    <w:rsid w:val="003A3D5D"/>
    <w:rsid w:val="003A3E05"/>
    <w:rsid w:val="003A497B"/>
    <w:rsid w:val="003A53C4"/>
    <w:rsid w:val="003A548C"/>
    <w:rsid w:val="003A7326"/>
    <w:rsid w:val="003B0510"/>
    <w:rsid w:val="003B0603"/>
    <w:rsid w:val="003B0D69"/>
    <w:rsid w:val="003B13B9"/>
    <w:rsid w:val="003B1413"/>
    <w:rsid w:val="003B271D"/>
    <w:rsid w:val="003B3B4E"/>
    <w:rsid w:val="003B427D"/>
    <w:rsid w:val="003B4D0F"/>
    <w:rsid w:val="003B5070"/>
    <w:rsid w:val="003B5455"/>
    <w:rsid w:val="003B73A5"/>
    <w:rsid w:val="003B7BCB"/>
    <w:rsid w:val="003C0C7B"/>
    <w:rsid w:val="003C14EF"/>
    <w:rsid w:val="003C191C"/>
    <w:rsid w:val="003C1A83"/>
    <w:rsid w:val="003C63C0"/>
    <w:rsid w:val="003D0123"/>
    <w:rsid w:val="003D194F"/>
    <w:rsid w:val="003D3280"/>
    <w:rsid w:val="003D39E3"/>
    <w:rsid w:val="003D487F"/>
    <w:rsid w:val="003D6049"/>
    <w:rsid w:val="003D75F3"/>
    <w:rsid w:val="003E2642"/>
    <w:rsid w:val="003E48EC"/>
    <w:rsid w:val="003E7591"/>
    <w:rsid w:val="003F2A13"/>
    <w:rsid w:val="003F2B54"/>
    <w:rsid w:val="003F32C6"/>
    <w:rsid w:val="003F48C8"/>
    <w:rsid w:val="003F4BDE"/>
    <w:rsid w:val="00400879"/>
    <w:rsid w:val="004017F3"/>
    <w:rsid w:val="00403187"/>
    <w:rsid w:val="00403845"/>
    <w:rsid w:val="00405DC2"/>
    <w:rsid w:val="00405E7E"/>
    <w:rsid w:val="004119C0"/>
    <w:rsid w:val="00412197"/>
    <w:rsid w:val="00413C34"/>
    <w:rsid w:val="004147E2"/>
    <w:rsid w:val="004151CA"/>
    <w:rsid w:val="00415C22"/>
    <w:rsid w:val="004169CC"/>
    <w:rsid w:val="004215CE"/>
    <w:rsid w:val="0042217B"/>
    <w:rsid w:val="004225EC"/>
    <w:rsid w:val="00422673"/>
    <w:rsid w:val="00422EFD"/>
    <w:rsid w:val="00423ED7"/>
    <w:rsid w:val="004244BB"/>
    <w:rsid w:val="0042519F"/>
    <w:rsid w:val="00426607"/>
    <w:rsid w:val="004267F4"/>
    <w:rsid w:val="0043183E"/>
    <w:rsid w:val="00431986"/>
    <w:rsid w:val="00431C04"/>
    <w:rsid w:val="004327FA"/>
    <w:rsid w:val="00432B6A"/>
    <w:rsid w:val="00432FF9"/>
    <w:rsid w:val="00433549"/>
    <w:rsid w:val="004348A1"/>
    <w:rsid w:val="00436A32"/>
    <w:rsid w:val="00436EB1"/>
    <w:rsid w:val="00437B03"/>
    <w:rsid w:val="00440AF5"/>
    <w:rsid w:val="00440E6E"/>
    <w:rsid w:val="00442B60"/>
    <w:rsid w:val="00442FFA"/>
    <w:rsid w:val="00444364"/>
    <w:rsid w:val="004445AE"/>
    <w:rsid w:val="0044470D"/>
    <w:rsid w:val="0044511B"/>
    <w:rsid w:val="004458FC"/>
    <w:rsid w:val="00445E1B"/>
    <w:rsid w:val="00446703"/>
    <w:rsid w:val="00446A92"/>
    <w:rsid w:val="004503DE"/>
    <w:rsid w:val="00450F86"/>
    <w:rsid w:val="0045108E"/>
    <w:rsid w:val="004517AB"/>
    <w:rsid w:val="00452390"/>
    <w:rsid w:val="00453407"/>
    <w:rsid w:val="0045355A"/>
    <w:rsid w:val="00455A6F"/>
    <w:rsid w:val="00455A8B"/>
    <w:rsid w:val="004563CD"/>
    <w:rsid w:val="00460110"/>
    <w:rsid w:val="00462276"/>
    <w:rsid w:val="0046343E"/>
    <w:rsid w:val="00463D46"/>
    <w:rsid w:val="00465D6A"/>
    <w:rsid w:val="004666FD"/>
    <w:rsid w:val="004670D6"/>
    <w:rsid w:val="0046797D"/>
    <w:rsid w:val="00467B9C"/>
    <w:rsid w:val="00472060"/>
    <w:rsid w:val="00472184"/>
    <w:rsid w:val="004723E5"/>
    <w:rsid w:val="00472B3D"/>
    <w:rsid w:val="004731D0"/>
    <w:rsid w:val="00473830"/>
    <w:rsid w:val="0047580F"/>
    <w:rsid w:val="00475E91"/>
    <w:rsid w:val="004762D7"/>
    <w:rsid w:val="004800DC"/>
    <w:rsid w:val="004816E2"/>
    <w:rsid w:val="00482274"/>
    <w:rsid w:val="00482C16"/>
    <w:rsid w:val="004838A4"/>
    <w:rsid w:val="0048429E"/>
    <w:rsid w:val="0048792D"/>
    <w:rsid w:val="00490340"/>
    <w:rsid w:val="00490C2D"/>
    <w:rsid w:val="0049182D"/>
    <w:rsid w:val="00493155"/>
    <w:rsid w:val="00493770"/>
    <w:rsid w:val="00495428"/>
    <w:rsid w:val="00496A0E"/>
    <w:rsid w:val="004973D6"/>
    <w:rsid w:val="004A08DC"/>
    <w:rsid w:val="004A30DC"/>
    <w:rsid w:val="004A4F8B"/>
    <w:rsid w:val="004A5128"/>
    <w:rsid w:val="004A6003"/>
    <w:rsid w:val="004A65FD"/>
    <w:rsid w:val="004A663E"/>
    <w:rsid w:val="004B025A"/>
    <w:rsid w:val="004B05FB"/>
    <w:rsid w:val="004B06A7"/>
    <w:rsid w:val="004B09CF"/>
    <w:rsid w:val="004B0AAA"/>
    <w:rsid w:val="004B0AE7"/>
    <w:rsid w:val="004B2F1F"/>
    <w:rsid w:val="004B3337"/>
    <w:rsid w:val="004B3425"/>
    <w:rsid w:val="004B3487"/>
    <w:rsid w:val="004B4292"/>
    <w:rsid w:val="004B44AC"/>
    <w:rsid w:val="004B49AE"/>
    <w:rsid w:val="004B4AA4"/>
    <w:rsid w:val="004B6779"/>
    <w:rsid w:val="004B733A"/>
    <w:rsid w:val="004B7453"/>
    <w:rsid w:val="004B77C0"/>
    <w:rsid w:val="004C04E9"/>
    <w:rsid w:val="004C2394"/>
    <w:rsid w:val="004C36C5"/>
    <w:rsid w:val="004C53E5"/>
    <w:rsid w:val="004C647A"/>
    <w:rsid w:val="004C754F"/>
    <w:rsid w:val="004C7AEF"/>
    <w:rsid w:val="004C7DCC"/>
    <w:rsid w:val="004D0DD1"/>
    <w:rsid w:val="004D2289"/>
    <w:rsid w:val="004D2B36"/>
    <w:rsid w:val="004D3D59"/>
    <w:rsid w:val="004D54CD"/>
    <w:rsid w:val="004D613C"/>
    <w:rsid w:val="004D69DA"/>
    <w:rsid w:val="004D6C0B"/>
    <w:rsid w:val="004D748D"/>
    <w:rsid w:val="004E14BA"/>
    <w:rsid w:val="004E1681"/>
    <w:rsid w:val="004E2B7B"/>
    <w:rsid w:val="004E2C1E"/>
    <w:rsid w:val="004E318C"/>
    <w:rsid w:val="004E320A"/>
    <w:rsid w:val="004E4131"/>
    <w:rsid w:val="004E46EF"/>
    <w:rsid w:val="004E4895"/>
    <w:rsid w:val="004E5D33"/>
    <w:rsid w:val="004E5FF1"/>
    <w:rsid w:val="004E672B"/>
    <w:rsid w:val="004E677D"/>
    <w:rsid w:val="004E6A18"/>
    <w:rsid w:val="004E6B18"/>
    <w:rsid w:val="004E6EE0"/>
    <w:rsid w:val="004F01ED"/>
    <w:rsid w:val="004F1094"/>
    <w:rsid w:val="004F1BFB"/>
    <w:rsid w:val="004F204B"/>
    <w:rsid w:val="004F2B4C"/>
    <w:rsid w:val="004F5FFD"/>
    <w:rsid w:val="004F7365"/>
    <w:rsid w:val="00500C71"/>
    <w:rsid w:val="00501053"/>
    <w:rsid w:val="005012F9"/>
    <w:rsid w:val="005014D6"/>
    <w:rsid w:val="00502633"/>
    <w:rsid w:val="00503E92"/>
    <w:rsid w:val="00504734"/>
    <w:rsid w:val="00505B07"/>
    <w:rsid w:val="0050715D"/>
    <w:rsid w:val="005072B9"/>
    <w:rsid w:val="0050747B"/>
    <w:rsid w:val="00510A5D"/>
    <w:rsid w:val="00510B83"/>
    <w:rsid w:val="00514EAB"/>
    <w:rsid w:val="00514F66"/>
    <w:rsid w:val="00515DD4"/>
    <w:rsid w:val="005162B6"/>
    <w:rsid w:val="0051774D"/>
    <w:rsid w:val="005213D0"/>
    <w:rsid w:val="00521A2A"/>
    <w:rsid w:val="00521A61"/>
    <w:rsid w:val="005220D0"/>
    <w:rsid w:val="005225B9"/>
    <w:rsid w:val="00523893"/>
    <w:rsid w:val="00523EE0"/>
    <w:rsid w:val="005247F0"/>
    <w:rsid w:val="00525CEB"/>
    <w:rsid w:val="00527FB7"/>
    <w:rsid w:val="005320EA"/>
    <w:rsid w:val="0053260E"/>
    <w:rsid w:val="005331A0"/>
    <w:rsid w:val="005340D3"/>
    <w:rsid w:val="005347B6"/>
    <w:rsid w:val="00535570"/>
    <w:rsid w:val="005365CA"/>
    <w:rsid w:val="00537C75"/>
    <w:rsid w:val="00540559"/>
    <w:rsid w:val="00541C85"/>
    <w:rsid w:val="00543E76"/>
    <w:rsid w:val="0054490A"/>
    <w:rsid w:val="00544989"/>
    <w:rsid w:val="0054500B"/>
    <w:rsid w:val="0054527B"/>
    <w:rsid w:val="00545A88"/>
    <w:rsid w:val="0055140E"/>
    <w:rsid w:val="00551505"/>
    <w:rsid w:val="00553600"/>
    <w:rsid w:val="0055610E"/>
    <w:rsid w:val="0055630D"/>
    <w:rsid w:val="00556F1B"/>
    <w:rsid w:val="005574D5"/>
    <w:rsid w:val="00557EA1"/>
    <w:rsid w:val="00562233"/>
    <w:rsid w:val="00562C97"/>
    <w:rsid w:val="0056391C"/>
    <w:rsid w:val="00564745"/>
    <w:rsid w:val="0056489C"/>
    <w:rsid w:val="005655C9"/>
    <w:rsid w:val="0056586D"/>
    <w:rsid w:val="00567014"/>
    <w:rsid w:val="0056748C"/>
    <w:rsid w:val="00567FFE"/>
    <w:rsid w:val="00570442"/>
    <w:rsid w:val="00570F58"/>
    <w:rsid w:val="00572DAF"/>
    <w:rsid w:val="0057412A"/>
    <w:rsid w:val="0057644B"/>
    <w:rsid w:val="005777D9"/>
    <w:rsid w:val="00577F85"/>
    <w:rsid w:val="00580106"/>
    <w:rsid w:val="00580367"/>
    <w:rsid w:val="00582030"/>
    <w:rsid w:val="0058216F"/>
    <w:rsid w:val="005829E3"/>
    <w:rsid w:val="005832CA"/>
    <w:rsid w:val="00584E98"/>
    <w:rsid w:val="00586CC4"/>
    <w:rsid w:val="00587AB1"/>
    <w:rsid w:val="00587D5B"/>
    <w:rsid w:val="00590EBB"/>
    <w:rsid w:val="00591564"/>
    <w:rsid w:val="00591917"/>
    <w:rsid w:val="00591BA5"/>
    <w:rsid w:val="00591CB8"/>
    <w:rsid w:val="0059410A"/>
    <w:rsid w:val="00597CB2"/>
    <w:rsid w:val="00597F05"/>
    <w:rsid w:val="00597FE7"/>
    <w:rsid w:val="005A02F1"/>
    <w:rsid w:val="005A13B3"/>
    <w:rsid w:val="005A322D"/>
    <w:rsid w:val="005A648B"/>
    <w:rsid w:val="005A6A33"/>
    <w:rsid w:val="005A776F"/>
    <w:rsid w:val="005B017C"/>
    <w:rsid w:val="005B09AC"/>
    <w:rsid w:val="005B1287"/>
    <w:rsid w:val="005B1333"/>
    <w:rsid w:val="005B1A33"/>
    <w:rsid w:val="005B1E3B"/>
    <w:rsid w:val="005B2216"/>
    <w:rsid w:val="005B2805"/>
    <w:rsid w:val="005B2D4F"/>
    <w:rsid w:val="005B3277"/>
    <w:rsid w:val="005B351A"/>
    <w:rsid w:val="005B3657"/>
    <w:rsid w:val="005B3FCF"/>
    <w:rsid w:val="005B4AC4"/>
    <w:rsid w:val="005B5233"/>
    <w:rsid w:val="005B5287"/>
    <w:rsid w:val="005B52A3"/>
    <w:rsid w:val="005B53BB"/>
    <w:rsid w:val="005B5664"/>
    <w:rsid w:val="005B67CF"/>
    <w:rsid w:val="005B741D"/>
    <w:rsid w:val="005B74EC"/>
    <w:rsid w:val="005C0705"/>
    <w:rsid w:val="005C0D32"/>
    <w:rsid w:val="005C14C0"/>
    <w:rsid w:val="005C1A90"/>
    <w:rsid w:val="005C2C3F"/>
    <w:rsid w:val="005C2C7C"/>
    <w:rsid w:val="005C451C"/>
    <w:rsid w:val="005C5EA5"/>
    <w:rsid w:val="005C6290"/>
    <w:rsid w:val="005C6B20"/>
    <w:rsid w:val="005D0DD3"/>
    <w:rsid w:val="005D1832"/>
    <w:rsid w:val="005D1960"/>
    <w:rsid w:val="005D1E69"/>
    <w:rsid w:val="005D2476"/>
    <w:rsid w:val="005D35CE"/>
    <w:rsid w:val="005D3C3C"/>
    <w:rsid w:val="005D4275"/>
    <w:rsid w:val="005D6275"/>
    <w:rsid w:val="005D749F"/>
    <w:rsid w:val="005D78B8"/>
    <w:rsid w:val="005E0853"/>
    <w:rsid w:val="005E0946"/>
    <w:rsid w:val="005E3326"/>
    <w:rsid w:val="005E354D"/>
    <w:rsid w:val="005E3748"/>
    <w:rsid w:val="005E5301"/>
    <w:rsid w:val="005E6E0F"/>
    <w:rsid w:val="005F045B"/>
    <w:rsid w:val="005F2935"/>
    <w:rsid w:val="005F39C2"/>
    <w:rsid w:val="005F3D38"/>
    <w:rsid w:val="005F4EC7"/>
    <w:rsid w:val="005F6E4E"/>
    <w:rsid w:val="005F74F4"/>
    <w:rsid w:val="005F7B1C"/>
    <w:rsid w:val="0060003A"/>
    <w:rsid w:val="00600B72"/>
    <w:rsid w:val="006018D8"/>
    <w:rsid w:val="00601D84"/>
    <w:rsid w:val="00603A71"/>
    <w:rsid w:val="00603EDF"/>
    <w:rsid w:val="0060499A"/>
    <w:rsid w:val="00604D00"/>
    <w:rsid w:val="00605C9D"/>
    <w:rsid w:val="00606C6B"/>
    <w:rsid w:val="0060721A"/>
    <w:rsid w:val="00607293"/>
    <w:rsid w:val="00607CBA"/>
    <w:rsid w:val="00610BFA"/>
    <w:rsid w:val="00610E2B"/>
    <w:rsid w:val="006110AB"/>
    <w:rsid w:val="0061123D"/>
    <w:rsid w:val="00613561"/>
    <w:rsid w:val="006142C7"/>
    <w:rsid w:val="00617297"/>
    <w:rsid w:val="0062080D"/>
    <w:rsid w:val="0062092A"/>
    <w:rsid w:val="006213D0"/>
    <w:rsid w:val="00624527"/>
    <w:rsid w:val="00624BDE"/>
    <w:rsid w:val="00625491"/>
    <w:rsid w:val="00626C91"/>
    <w:rsid w:val="00627FB9"/>
    <w:rsid w:val="00630936"/>
    <w:rsid w:val="00630950"/>
    <w:rsid w:val="00631844"/>
    <w:rsid w:val="00635501"/>
    <w:rsid w:val="00635B82"/>
    <w:rsid w:val="00635C55"/>
    <w:rsid w:val="006362F2"/>
    <w:rsid w:val="006374CE"/>
    <w:rsid w:val="0063771C"/>
    <w:rsid w:val="00637E0B"/>
    <w:rsid w:val="00640035"/>
    <w:rsid w:val="0064078D"/>
    <w:rsid w:val="0064084F"/>
    <w:rsid w:val="00640F2F"/>
    <w:rsid w:val="00641DB0"/>
    <w:rsid w:val="00645198"/>
    <w:rsid w:val="00646BC2"/>
    <w:rsid w:val="006503E1"/>
    <w:rsid w:val="00650C0D"/>
    <w:rsid w:val="0065132C"/>
    <w:rsid w:val="006520CF"/>
    <w:rsid w:val="0065611A"/>
    <w:rsid w:val="00656ABB"/>
    <w:rsid w:val="0065739F"/>
    <w:rsid w:val="00657ADF"/>
    <w:rsid w:val="00660067"/>
    <w:rsid w:val="00660862"/>
    <w:rsid w:val="00661DCC"/>
    <w:rsid w:val="0066320D"/>
    <w:rsid w:val="00664E3B"/>
    <w:rsid w:val="00666352"/>
    <w:rsid w:val="00666BE2"/>
    <w:rsid w:val="00667179"/>
    <w:rsid w:val="00667301"/>
    <w:rsid w:val="00667CA0"/>
    <w:rsid w:val="006724E9"/>
    <w:rsid w:val="00672636"/>
    <w:rsid w:val="00672811"/>
    <w:rsid w:val="00673447"/>
    <w:rsid w:val="00673C68"/>
    <w:rsid w:val="00673E92"/>
    <w:rsid w:val="0067412A"/>
    <w:rsid w:val="0067436B"/>
    <w:rsid w:val="0067483E"/>
    <w:rsid w:val="00675846"/>
    <w:rsid w:val="00676053"/>
    <w:rsid w:val="00676517"/>
    <w:rsid w:val="0068056D"/>
    <w:rsid w:val="00680C21"/>
    <w:rsid w:val="006813FB"/>
    <w:rsid w:val="00681BE2"/>
    <w:rsid w:val="00682062"/>
    <w:rsid w:val="0068255C"/>
    <w:rsid w:val="00682C13"/>
    <w:rsid w:val="00683461"/>
    <w:rsid w:val="00684A94"/>
    <w:rsid w:val="00686F47"/>
    <w:rsid w:val="00687D70"/>
    <w:rsid w:val="006900DF"/>
    <w:rsid w:val="006907C7"/>
    <w:rsid w:val="00690FF6"/>
    <w:rsid w:val="00691D22"/>
    <w:rsid w:val="00691E11"/>
    <w:rsid w:val="0069656F"/>
    <w:rsid w:val="006969D1"/>
    <w:rsid w:val="00697198"/>
    <w:rsid w:val="006A15FA"/>
    <w:rsid w:val="006A2067"/>
    <w:rsid w:val="006A280E"/>
    <w:rsid w:val="006A44CC"/>
    <w:rsid w:val="006A6AE2"/>
    <w:rsid w:val="006A6FB1"/>
    <w:rsid w:val="006B34C5"/>
    <w:rsid w:val="006B5724"/>
    <w:rsid w:val="006B79E1"/>
    <w:rsid w:val="006C0E2E"/>
    <w:rsid w:val="006C1CE5"/>
    <w:rsid w:val="006C1CFB"/>
    <w:rsid w:val="006C3C77"/>
    <w:rsid w:val="006C3ED4"/>
    <w:rsid w:val="006C478A"/>
    <w:rsid w:val="006C54F6"/>
    <w:rsid w:val="006C5A1F"/>
    <w:rsid w:val="006C5EC3"/>
    <w:rsid w:val="006C7BDB"/>
    <w:rsid w:val="006C7CBC"/>
    <w:rsid w:val="006C7DDA"/>
    <w:rsid w:val="006D16C3"/>
    <w:rsid w:val="006D1A95"/>
    <w:rsid w:val="006D27F8"/>
    <w:rsid w:val="006D3CD7"/>
    <w:rsid w:val="006D5EF1"/>
    <w:rsid w:val="006E05A3"/>
    <w:rsid w:val="006E234B"/>
    <w:rsid w:val="006E3882"/>
    <w:rsid w:val="006E39CF"/>
    <w:rsid w:val="006E4535"/>
    <w:rsid w:val="006E6935"/>
    <w:rsid w:val="006E6DDF"/>
    <w:rsid w:val="006E7278"/>
    <w:rsid w:val="006E7601"/>
    <w:rsid w:val="006F08D1"/>
    <w:rsid w:val="006F0A69"/>
    <w:rsid w:val="006F272F"/>
    <w:rsid w:val="006F2AAE"/>
    <w:rsid w:val="006F2BB9"/>
    <w:rsid w:val="006F2F90"/>
    <w:rsid w:val="006F521A"/>
    <w:rsid w:val="006F5277"/>
    <w:rsid w:val="006F5290"/>
    <w:rsid w:val="006F68D4"/>
    <w:rsid w:val="006F6E95"/>
    <w:rsid w:val="0070054B"/>
    <w:rsid w:val="007013BA"/>
    <w:rsid w:val="0070208A"/>
    <w:rsid w:val="00702CD8"/>
    <w:rsid w:val="00706AC1"/>
    <w:rsid w:val="007072FA"/>
    <w:rsid w:val="00707B73"/>
    <w:rsid w:val="00710E16"/>
    <w:rsid w:val="007111E3"/>
    <w:rsid w:val="00713BB0"/>
    <w:rsid w:val="007152F5"/>
    <w:rsid w:val="007175D2"/>
    <w:rsid w:val="00721CA7"/>
    <w:rsid w:val="00721E0D"/>
    <w:rsid w:val="00722897"/>
    <w:rsid w:val="00723219"/>
    <w:rsid w:val="00723493"/>
    <w:rsid w:val="00725C22"/>
    <w:rsid w:val="00727015"/>
    <w:rsid w:val="007275CF"/>
    <w:rsid w:val="007305E9"/>
    <w:rsid w:val="00731589"/>
    <w:rsid w:val="00731DF1"/>
    <w:rsid w:val="00731E30"/>
    <w:rsid w:val="00733F55"/>
    <w:rsid w:val="00735223"/>
    <w:rsid w:val="0073545A"/>
    <w:rsid w:val="0073624B"/>
    <w:rsid w:val="00736568"/>
    <w:rsid w:val="00740850"/>
    <w:rsid w:val="00740865"/>
    <w:rsid w:val="007414BF"/>
    <w:rsid w:val="007420C1"/>
    <w:rsid w:val="00745337"/>
    <w:rsid w:val="00746079"/>
    <w:rsid w:val="0074658E"/>
    <w:rsid w:val="007468FF"/>
    <w:rsid w:val="00751190"/>
    <w:rsid w:val="007524FA"/>
    <w:rsid w:val="00752BC9"/>
    <w:rsid w:val="00753A3A"/>
    <w:rsid w:val="00754BB0"/>
    <w:rsid w:val="00756194"/>
    <w:rsid w:val="00757D9D"/>
    <w:rsid w:val="0076131A"/>
    <w:rsid w:val="00761C6B"/>
    <w:rsid w:val="00761D80"/>
    <w:rsid w:val="00763C90"/>
    <w:rsid w:val="00763FA6"/>
    <w:rsid w:val="00764B28"/>
    <w:rsid w:val="00764E25"/>
    <w:rsid w:val="00765BBC"/>
    <w:rsid w:val="00766159"/>
    <w:rsid w:val="00766E55"/>
    <w:rsid w:val="00766EFA"/>
    <w:rsid w:val="00767493"/>
    <w:rsid w:val="0076793C"/>
    <w:rsid w:val="00767D22"/>
    <w:rsid w:val="00771598"/>
    <w:rsid w:val="007726BF"/>
    <w:rsid w:val="0077376D"/>
    <w:rsid w:val="007739DC"/>
    <w:rsid w:val="007776B5"/>
    <w:rsid w:val="00777B15"/>
    <w:rsid w:val="00781EE4"/>
    <w:rsid w:val="00782051"/>
    <w:rsid w:val="00782694"/>
    <w:rsid w:val="00784C63"/>
    <w:rsid w:val="00784EC8"/>
    <w:rsid w:val="00785906"/>
    <w:rsid w:val="007859F6"/>
    <w:rsid w:val="00787769"/>
    <w:rsid w:val="00787D1C"/>
    <w:rsid w:val="0079029F"/>
    <w:rsid w:val="00790C3E"/>
    <w:rsid w:val="0079168E"/>
    <w:rsid w:val="00791E6A"/>
    <w:rsid w:val="00794007"/>
    <w:rsid w:val="0079568E"/>
    <w:rsid w:val="00795CB4"/>
    <w:rsid w:val="00796087"/>
    <w:rsid w:val="007A0C4F"/>
    <w:rsid w:val="007A2989"/>
    <w:rsid w:val="007A42FE"/>
    <w:rsid w:val="007A44C7"/>
    <w:rsid w:val="007A49A8"/>
    <w:rsid w:val="007A59F4"/>
    <w:rsid w:val="007A6435"/>
    <w:rsid w:val="007A68FA"/>
    <w:rsid w:val="007A72A5"/>
    <w:rsid w:val="007A7B99"/>
    <w:rsid w:val="007B030D"/>
    <w:rsid w:val="007B139F"/>
    <w:rsid w:val="007B2A8C"/>
    <w:rsid w:val="007B2A98"/>
    <w:rsid w:val="007B5475"/>
    <w:rsid w:val="007B5BEE"/>
    <w:rsid w:val="007B644E"/>
    <w:rsid w:val="007B6DA5"/>
    <w:rsid w:val="007B7A68"/>
    <w:rsid w:val="007C063F"/>
    <w:rsid w:val="007C1D20"/>
    <w:rsid w:val="007C3C18"/>
    <w:rsid w:val="007C3FBE"/>
    <w:rsid w:val="007C4386"/>
    <w:rsid w:val="007C4DB2"/>
    <w:rsid w:val="007C514A"/>
    <w:rsid w:val="007C65E7"/>
    <w:rsid w:val="007D2CBE"/>
    <w:rsid w:val="007D65FE"/>
    <w:rsid w:val="007D6AF9"/>
    <w:rsid w:val="007E0513"/>
    <w:rsid w:val="007E1C9D"/>
    <w:rsid w:val="007E296D"/>
    <w:rsid w:val="007E2B15"/>
    <w:rsid w:val="007E37D1"/>
    <w:rsid w:val="007E3A87"/>
    <w:rsid w:val="007E4332"/>
    <w:rsid w:val="007E464C"/>
    <w:rsid w:val="007E5065"/>
    <w:rsid w:val="007E5204"/>
    <w:rsid w:val="007E5B3C"/>
    <w:rsid w:val="007E6440"/>
    <w:rsid w:val="007E6DDF"/>
    <w:rsid w:val="007E72F2"/>
    <w:rsid w:val="007F0DB7"/>
    <w:rsid w:val="007F311D"/>
    <w:rsid w:val="007F4503"/>
    <w:rsid w:val="007F4705"/>
    <w:rsid w:val="007F48FA"/>
    <w:rsid w:val="007F6CC2"/>
    <w:rsid w:val="007F7298"/>
    <w:rsid w:val="007F7867"/>
    <w:rsid w:val="008004CD"/>
    <w:rsid w:val="00800D02"/>
    <w:rsid w:val="0080154C"/>
    <w:rsid w:val="008016B8"/>
    <w:rsid w:val="0080351C"/>
    <w:rsid w:val="00805312"/>
    <w:rsid w:val="00806CCF"/>
    <w:rsid w:val="00807336"/>
    <w:rsid w:val="008073B5"/>
    <w:rsid w:val="00810309"/>
    <w:rsid w:val="00810EE8"/>
    <w:rsid w:val="0081292B"/>
    <w:rsid w:val="0081349E"/>
    <w:rsid w:val="00813734"/>
    <w:rsid w:val="00813E16"/>
    <w:rsid w:val="008159C7"/>
    <w:rsid w:val="00815FBC"/>
    <w:rsid w:val="00817805"/>
    <w:rsid w:val="00821460"/>
    <w:rsid w:val="008228B2"/>
    <w:rsid w:val="00823357"/>
    <w:rsid w:val="00825C28"/>
    <w:rsid w:val="00826273"/>
    <w:rsid w:val="00827BD7"/>
    <w:rsid w:val="00830508"/>
    <w:rsid w:val="00832257"/>
    <w:rsid w:val="008328EF"/>
    <w:rsid w:val="00833267"/>
    <w:rsid w:val="00833CB8"/>
    <w:rsid w:val="00835DAF"/>
    <w:rsid w:val="008360AF"/>
    <w:rsid w:val="00836ED8"/>
    <w:rsid w:val="00837EC0"/>
    <w:rsid w:val="00837FA1"/>
    <w:rsid w:val="00840FF5"/>
    <w:rsid w:val="00841758"/>
    <w:rsid w:val="00841AAA"/>
    <w:rsid w:val="00842576"/>
    <w:rsid w:val="00844725"/>
    <w:rsid w:val="00844A8C"/>
    <w:rsid w:val="00845318"/>
    <w:rsid w:val="0084624A"/>
    <w:rsid w:val="008464A5"/>
    <w:rsid w:val="0084758F"/>
    <w:rsid w:val="00850B5B"/>
    <w:rsid w:val="00850D3F"/>
    <w:rsid w:val="00851ACB"/>
    <w:rsid w:val="00853314"/>
    <w:rsid w:val="0085746B"/>
    <w:rsid w:val="00857D12"/>
    <w:rsid w:val="00860674"/>
    <w:rsid w:val="00861965"/>
    <w:rsid w:val="0086312B"/>
    <w:rsid w:val="00863B91"/>
    <w:rsid w:val="00864D25"/>
    <w:rsid w:val="00867720"/>
    <w:rsid w:val="00867F19"/>
    <w:rsid w:val="008706BD"/>
    <w:rsid w:val="00871A69"/>
    <w:rsid w:val="00871FF9"/>
    <w:rsid w:val="00872547"/>
    <w:rsid w:val="008727F7"/>
    <w:rsid w:val="00872E51"/>
    <w:rsid w:val="0087394C"/>
    <w:rsid w:val="00873A33"/>
    <w:rsid w:val="008741D9"/>
    <w:rsid w:val="0087446B"/>
    <w:rsid w:val="00874F86"/>
    <w:rsid w:val="00876083"/>
    <w:rsid w:val="00877006"/>
    <w:rsid w:val="00880781"/>
    <w:rsid w:val="00880A03"/>
    <w:rsid w:val="00881C6A"/>
    <w:rsid w:val="00883338"/>
    <w:rsid w:val="00884C45"/>
    <w:rsid w:val="008864E6"/>
    <w:rsid w:val="00886FDD"/>
    <w:rsid w:val="00890131"/>
    <w:rsid w:val="008902A1"/>
    <w:rsid w:val="00891189"/>
    <w:rsid w:val="0089183A"/>
    <w:rsid w:val="0089217E"/>
    <w:rsid w:val="00892250"/>
    <w:rsid w:val="00892664"/>
    <w:rsid w:val="00894540"/>
    <w:rsid w:val="00895B54"/>
    <w:rsid w:val="00895BB3"/>
    <w:rsid w:val="00895DC3"/>
    <w:rsid w:val="00896C75"/>
    <w:rsid w:val="008A0497"/>
    <w:rsid w:val="008A0E03"/>
    <w:rsid w:val="008A11D8"/>
    <w:rsid w:val="008A15C9"/>
    <w:rsid w:val="008A1778"/>
    <w:rsid w:val="008A26F2"/>
    <w:rsid w:val="008A3275"/>
    <w:rsid w:val="008A4A71"/>
    <w:rsid w:val="008A56EB"/>
    <w:rsid w:val="008A66A6"/>
    <w:rsid w:val="008A7349"/>
    <w:rsid w:val="008A7667"/>
    <w:rsid w:val="008A7B04"/>
    <w:rsid w:val="008B197F"/>
    <w:rsid w:val="008B4030"/>
    <w:rsid w:val="008B423D"/>
    <w:rsid w:val="008B58E5"/>
    <w:rsid w:val="008B61E4"/>
    <w:rsid w:val="008B6D1C"/>
    <w:rsid w:val="008B6F2D"/>
    <w:rsid w:val="008B722A"/>
    <w:rsid w:val="008B790C"/>
    <w:rsid w:val="008B7B07"/>
    <w:rsid w:val="008C02D5"/>
    <w:rsid w:val="008C0B85"/>
    <w:rsid w:val="008C1650"/>
    <w:rsid w:val="008C1FB2"/>
    <w:rsid w:val="008C2D1E"/>
    <w:rsid w:val="008C2DDE"/>
    <w:rsid w:val="008C2F70"/>
    <w:rsid w:val="008C35D3"/>
    <w:rsid w:val="008C3A7B"/>
    <w:rsid w:val="008C5233"/>
    <w:rsid w:val="008C54FA"/>
    <w:rsid w:val="008C6A20"/>
    <w:rsid w:val="008C78B6"/>
    <w:rsid w:val="008C78F3"/>
    <w:rsid w:val="008D0193"/>
    <w:rsid w:val="008D20F4"/>
    <w:rsid w:val="008D2EE6"/>
    <w:rsid w:val="008D31F1"/>
    <w:rsid w:val="008D3335"/>
    <w:rsid w:val="008D3F3B"/>
    <w:rsid w:val="008D6081"/>
    <w:rsid w:val="008D70D0"/>
    <w:rsid w:val="008D73A6"/>
    <w:rsid w:val="008D7974"/>
    <w:rsid w:val="008E0469"/>
    <w:rsid w:val="008E1E28"/>
    <w:rsid w:val="008E2B78"/>
    <w:rsid w:val="008E2C7A"/>
    <w:rsid w:val="008E41C4"/>
    <w:rsid w:val="008E5495"/>
    <w:rsid w:val="008E5800"/>
    <w:rsid w:val="008E6457"/>
    <w:rsid w:val="008F0A15"/>
    <w:rsid w:val="008F144A"/>
    <w:rsid w:val="008F15A9"/>
    <w:rsid w:val="008F18AE"/>
    <w:rsid w:val="008F1F4B"/>
    <w:rsid w:val="008F2088"/>
    <w:rsid w:val="008F2D2D"/>
    <w:rsid w:val="008F42FA"/>
    <w:rsid w:val="008F4331"/>
    <w:rsid w:val="008F4CF9"/>
    <w:rsid w:val="0090275B"/>
    <w:rsid w:val="0090285C"/>
    <w:rsid w:val="00903B56"/>
    <w:rsid w:val="0090444F"/>
    <w:rsid w:val="009044B7"/>
    <w:rsid w:val="00905F7F"/>
    <w:rsid w:val="00905FA2"/>
    <w:rsid w:val="00906001"/>
    <w:rsid w:val="00907653"/>
    <w:rsid w:val="0091032F"/>
    <w:rsid w:val="00911749"/>
    <w:rsid w:val="00911FB9"/>
    <w:rsid w:val="00912C91"/>
    <w:rsid w:val="009134FC"/>
    <w:rsid w:val="00913A93"/>
    <w:rsid w:val="0091402B"/>
    <w:rsid w:val="00915168"/>
    <w:rsid w:val="00915CF4"/>
    <w:rsid w:val="00917BC7"/>
    <w:rsid w:val="00920316"/>
    <w:rsid w:val="009217AF"/>
    <w:rsid w:val="00923651"/>
    <w:rsid w:val="00923FBB"/>
    <w:rsid w:val="0092484F"/>
    <w:rsid w:val="00926FA9"/>
    <w:rsid w:val="00927329"/>
    <w:rsid w:val="0092746C"/>
    <w:rsid w:val="00927EB0"/>
    <w:rsid w:val="00930575"/>
    <w:rsid w:val="009308AE"/>
    <w:rsid w:val="009313CF"/>
    <w:rsid w:val="009313FC"/>
    <w:rsid w:val="0093238E"/>
    <w:rsid w:val="00932ADB"/>
    <w:rsid w:val="00933073"/>
    <w:rsid w:val="00933671"/>
    <w:rsid w:val="00936046"/>
    <w:rsid w:val="00936475"/>
    <w:rsid w:val="009367D7"/>
    <w:rsid w:val="00937489"/>
    <w:rsid w:val="009407B8"/>
    <w:rsid w:val="0094087F"/>
    <w:rsid w:val="00942650"/>
    <w:rsid w:val="00942B5E"/>
    <w:rsid w:val="0094383B"/>
    <w:rsid w:val="009440DF"/>
    <w:rsid w:val="00945207"/>
    <w:rsid w:val="0094689A"/>
    <w:rsid w:val="00947DA2"/>
    <w:rsid w:val="00950893"/>
    <w:rsid w:val="00950F46"/>
    <w:rsid w:val="00951220"/>
    <w:rsid w:val="009521AC"/>
    <w:rsid w:val="009524ED"/>
    <w:rsid w:val="009540A7"/>
    <w:rsid w:val="009548BC"/>
    <w:rsid w:val="0095515C"/>
    <w:rsid w:val="00955811"/>
    <w:rsid w:val="009561CB"/>
    <w:rsid w:val="009562C0"/>
    <w:rsid w:val="009567BF"/>
    <w:rsid w:val="00956DD6"/>
    <w:rsid w:val="00956E4E"/>
    <w:rsid w:val="009609C1"/>
    <w:rsid w:val="00962184"/>
    <w:rsid w:val="00962819"/>
    <w:rsid w:val="00962E1E"/>
    <w:rsid w:val="00963032"/>
    <w:rsid w:val="00963EB7"/>
    <w:rsid w:val="00965CC0"/>
    <w:rsid w:val="009663EF"/>
    <w:rsid w:val="00966AFF"/>
    <w:rsid w:val="00967B74"/>
    <w:rsid w:val="0097097C"/>
    <w:rsid w:val="009709CD"/>
    <w:rsid w:val="009712C5"/>
    <w:rsid w:val="00973517"/>
    <w:rsid w:val="00973DDD"/>
    <w:rsid w:val="00974C63"/>
    <w:rsid w:val="00975622"/>
    <w:rsid w:val="00975B0C"/>
    <w:rsid w:val="00976FE7"/>
    <w:rsid w:val="009774F8"/>
    <w:rsid w:val="00980257"/>
    <w:rsid w:val="009803A8"/>
    <w:rsid w:val="00981335"/>
    <w:rsid w:val="00981481"/>
    <w:rsid w:val="00981780"/>
    <w:rsid w:val="009824E7"/>
    <w:rsid w:val="00983382"/>
    <w:rsid w:val="00983BE0"/>
    <w:rsid w:val="00984579"/>
    <w:rsid w:val="00984AD6"/>
    <w:rsid w:val="00986734"/>
    <w:rsid w:val="00986C71"/>
    <w:rsid w:val="009871C3"/>
    <w:rsid w:val="00987B0C"/>
    <w:rsid w:val="00987E15"/>
    <w:rsid w:val="009906BB"/>
    <w:rsid w:val="00991003"/>
    <w:rsid w:val="00992AB7"/>
    <w:rsid w:val="00993D92"/>
    <w:rsid w:val="0099630D"/>
    <w:rsid w:val="00996830"/>
    <w:rsid w:val="00997117"/>
    <w:rsid w:val="00997C5A"/>
    <w:rsid w:val="009A22AA"/>
    <w:rsid w:val="009A28C3"/>
    <w:rsid w:val="009A30E4"/>
    <w:rsid w:val="009A3CB1"/>
    <w:rsid w:val="009A6E71"/>
    <w:rsid w:val="009A7974"/>
    <w:rsid w:val="009B14CD"/>
    <w:rsid w:val="009B2018"/>
    <w:rsid w:val="009B3604"/>
    <w:rsid w:val="009B3EE8"/>
    <w:rsid w:val="009B4519"/>
    <w:rsid w:val="009B4716"/>
    <w:rsid w:val="009B4AD5"/>
    <w:rsid w:val="009B52CD"/>
    <w:rsid w:val="009B5E18"/>
    <w:rsid w:val="009B6852"/>
    <w:rsid w:val="009B6CB0"/>
    <w:rsid w:val="009C0B71"/>
    <w:rsid w:val="009C1F0D"/>
    <w:rsid w:val="009C2E15"/>
    <w:rsid w:val="009C4C85"/>
    <w:rsid w:val="009C686B"/>
    <w:rsid w:val="009C70E6"/>
    <w:rsid w:val="009C712B"/>
    <w:rsid w:val="009C71B1"/>
    <w:rsid w:val="009C7D57"/>
    <w:rsid w:val="009D00C4"/>
    <w:rsid w:val="009D1C20"/>
    <w:rsid w:val="009D27E0"/>
    <w:rsid w:val="009D4118"/>
    <w:rsid w:val="009D4145"/>
    <w:rsid w:val="009D49B2"/>
    <w:rsid w:val="009D60FF"/>
    <w:rsid w:val="009D6793"/>
    <w:rsid w:val="009D6AEE"/>
    <w:rsid w:val="009D7244"/>
    <w:rsid w:val="009E0516"/>
    <w:rsid w:val="009E0CDE"/>
    <w:rsid w:val="009E1029"/>
    <w:rsid w:val="009E1364"/>
    <w:rsid w:val="009E2794"/>
    <w:rsid w:val="009E2799"/>
    <w:rsid w:val="009E2FA4"/>
    <w:rsid w:val="009E3481"/>
    <w:rsid w:val="009E75BA"/>
    <w:rsid w:val="009F0536"/>
    <w:rsid w:val="009F0635"/>
    <w:rsid w:val="009F0AFE"/>
    <w:rsid w:val="009F19ED"/>
    <w:rsid w:val="009F3E11"/>
    <w:rsid w:val="009F4461"/>
    <w:rsid w:val="009F45ED"/>
    <w:rsid w:val="009F4BC3"/>
    <w:rsid w:val="009F4F6C"/>
    <w:rsid w:val="00A0041C"/>
    <w:rsid w:val="00A02DB7"/>
    <w:rsid w:val="00A033BA"/>
    <w:rsid w:val="00A03523"/>
    <w:rsid w:val="00A04D3B"/>
    <w:rsid w:val="00A04D75"/>
    <w:rsid w:val="00A06F96"/>
    <w:rsid w:val="00A07283"/>
    <w:rsid w:val="00A07CDA"/>
    <w:rsid w:val="00A10687"/>
    <w:rsid w:val="00A11C0D"/>
    <w:rsid w:val="00A1231F"/>
    <w:rsid w:val="00A12E25"/>
    <w:rsid w:val="00A1368B"/>
    <w:rsid w:val="00A15703"/>
    <w:rsid w:val="00A166C3"/>
    <w:rsid w:val="00A170D2"/>
    <w:rsid w:val="00A207E2"/>
    <w:rsid w:val="00A215D4"/>
    <w:rsid w:val="00A21FC7"/>
    <w:rsid w:val="00A2314D"/>
    <w:rsid w:val="00A23256"/>
    <w:rsid w:val="00A236F2"/>
    <w:rsid w:val="00A23C00"/>
    <w:rsid w:val="00A2423C"/>
    <w:rsid w:val="00A26A2B"/>
    <w:rsid w:val="00A26D53"/>
    <w:rsid w:val="00A32610"/>
    <w:rsid w:val="00A357F3"/>
    <w:rsid w:val="00A3588D"/>
    <w:rsid w:val="00A37435"/>
    <w:rsid w:val="00A37A02"/>
    <w:rsid w:val="00A406A3"/>
    <w:rsid w:val="00A406E0"/>
    <w:rsid w:val="00A40C34"/>
    <w:rsid w:val="00A4100B"/>
    <w:rsid w:val="00A41518"/>
    <w:rsid w:val="00A41997"/>
    <w:rsid w:val="00A42097"/>
    <w:rsid w:val="00A43E35"/>
    <w:rsid w:val="00A45FD9"/>
    <w:rsid w:val="00A47420"/>
    <w:rsid w:val="00A50F4E"/>
    <w:rsid w:val="00A51142"/>
    <w:rsid w:val="00A55C51"/>
    <w:rsid w:val="00A57AD6"/>
    <w:rsid w:val="00A57F28"/>
    <w:rsid w:val="00A610FE"/>
    <w:rsid w:val="00A612A3"/>
    <w:rsid w:val="00A6280A"/>
    <w:rsid w:val="00A6284A"/>
    <w:rsid w:val="00A62904"/>
    <w:rsid w:val="00A63F6C"/>
    <w:rsid w:val="00A65578"/>
    <w:rsid w:val="00A66C98"/>
    <w:rsid w:val="00A672F7"/>
    <w:rsid w:val="00A67DF6"/>
    <w:rsid w:val="00A706D1"/>
    <w:rsid w:val="00A7225F"/>
    <w:rsid w:val="00A72D67"/>
    <w:rsid w:val="00A73514"/>
    <w:rsid w:val="00A7596D"/>
    <w:rsid w:val="00A75A89"/>
    <w:rsid w:val="00A77276"/>
    <w:rsid w:val="00A77BA0"/>
    <w:rsid w:val="00A82E25"/>
    <w:rsid w:val="00A83123"/>
    <w:rsid w:val="00A83429"/>
    <w:rsid w:val="00A8435E"/>
    <w:rsid w:val="00A850B0"/>
    <w:rsid w:val="00A86E75"/>
    <w:rsid w:val="00A87082"/>
    <w:rsid w:val="00A902B8"/>
    <w:rsid w:val="00A90981"/>
    <w:rsid w:val="00A90AF8"/>
    <w:rsid w:val="00A90E2F"/>
    <w:rsid w:val="00A90F92"/>
    <w:rsid w:val="00A92098"/>
    <w:rsid w:val="00A92645"/>
    <w:rsid w:val="00A9381F"/>
    <w:rsid w:val="00A94105"/>
    <w:rsid w:val="00A9451F"/>
    <w:rsid w:val="00A94C02"/>
    <w:rsid w:val="00A94CEC"/>
    <w:rsid w:val="00A959B7"/>
    <w:rsid w:val="00A96884"/>
    <w:rsid w:val="00A9743F"/>
    <w:rsid w:val="00AA0FE4"/>
    <w:rsid w:val="00AA1335"/>
    <w:rsid w:val="00AA189A"/>
    <w:rsid w:val="00AA2822"/>
    <w:rsid w:val="00AA31D9"/>
    <w:rsid w:val="00AA46B0"/>
    <w:rsid w:val="00AA53E8"/>
    <w:rsid w:val="00AA7964"/>
    <w:rsid w:val="00AB2032"/>
    <w:rsid w:val="00AB2F41"/>
    <w:rsid w:val="00AB35D0"/>
    <w:rsid w:val="00AB3703"/>
    <w:rsid w:val="00AB3FAC"/>
    <w:rsid w:val="00AB444A"/>
    <w:rsid w:val="00AB45F1"/>
    <w:rsid w:val="00AB461F"/>
    <w:rsid w:val="00AB46C8"/>
    <w:rsid w:val="00AB4CD4"/>
    <w:rsid w:val="00AB6B31"/>
    <w:rsid w:val="00AB72CB"/>
    <w:rsid w:val="00AB7470"/>
    <w:rsid w:val="00AC0B7C"/>
    <w:rsid w:val="00AC4402"/>
    <w:rsid w:val="00AC4835"/>
    <w:rsid w:val="00AD015E"/>
    <w:rsid w:val="00AD1550"/>
    <w:rsid w:val="00AD26DA"/>
    <w:rsid w:val="00AD2C6E"/>
    <w:rsid w:val="00AD30E9"/>
    <w:rsid w:val="00AD387F"/>
    <w:rsid w:val="00AD3CD0"/>
    <w:rsid w:val="00AD3F18"/>
    <w:rsid w:val="00AD7141"/>
    <w:rsid w:val="00AD736E"/>
    <w:rsid w:val="00AE02F2"/>
    <w:rsid w:val="00AE1D6D"/>
    <w:rsid w:val="00AE1E09"/>
    <w:rsid w:val="00AE1E64"/>
    <w:rsid w:val="00AE2CEE"/>
    <w:rsid w:val="00AE3399"/>
    <w:rsid w:val="00AE45E6"/>
    <w:rsid w:val="00AE51C7"/>
    <w:rsid w:val="00AE5A90"/>
    <w:rsid w:val="00AE64C2"/>
    <w:rsid w:val="00AF1290"/>
    <w:rsid w:val="00AF185B"/>
    <w:rsid w:val="00AF1EAD"/>
    <w:rsid w:val="00AF250A"/>
    <w:rsid w:val="00AF33EE"/>
    <w:rsid w:val="00AF3F48"/>
    <w:rsid w:val="00AF5716"/>
    <w:rsid w:val="00AF73B3"/>
    <w:rsid w:val="00AF7963"/>
    <w:rsid w:val="00B026F6"/>
    <w:rsid w:val="00B03A52"/>
    <w:rsid w:val="00B0591F"/>
    <w:rsid w:val="00B0634C"/>
    <w:rsid w:val="00B063F5"/>
    <w:rsid w:val="00B07F6E"/>
    <w:rsid w:val="00B1087D"/>
    <w:rsid w:val="00B15ACB"/>
    <w:rsid w:val="00B1654B"/>
    <w:rsid w:val="00B17066"/>
    <w:rsid w:val="00B1718C"/>
    <w:rsid w:val="00B17200"/>
    <w:rsid w:val="00B176C4"/>
    <w:rsid w:val="00B17BC2"/>
    <w:rsid w:val="00B21A7A"/>
    <w:rsid w:val="00B21E7C"/>
    <w:rsid w:val="00B22736"/>
    <w:rsid w:val="00B233B7"/>
    <w:rsid w:val="00B24C28"/>
    <w:rsid w:val="00B255F3"/>
    <w:rsid w:val="00B25B9B"/>
    <w:rsid w:val="00B25DD1"/>
    <w:rsid w:val="00B25F29"/>
    <w:rsid w:val="00B27491"/>
    <w:rsid w:val="00B31043"/>
    <w:rsid w:val="00B31108"/>
    <w:rsid w:val="00B312EB"/>
    <w:rsid w:val="00B330B2"/>
    <w:rsid w:val="00B3520B"/>
    <w:rsid w:val="00B35D82"/>
    <w:rsid w:val="00B40601"/>
    <w:rsid w:val="00B423B9"/>
    <w:rsid w:val="00B42C33"/>
    <w:rsid w:val="00B44D00"/>
    <w:rsid w:val="00B4531B"/>
    <w:rsid w:val="00B4569A"/>
    <w:rsid w:val="00B46303"/>
    <w:rsid w:val="00B47190"/>
    <w:rsid w:val="00B47D09"/>
    <w:rsid w:val="00B50383"/>
    <w:rsid w:val="00B50EF1"/>
    <w:rsid w:val="00B53D8B"/>
    <w:rsid w:val="00B53DB6"/>
    <w:rsid w:val="00B55405"/>
    <w:rsid w:val="00B56D25"/>
    <w:rsid w:val="00B57109"/>
    <w:rsid w:val="00B57714"/>
    <w:rsid w:val="00B6075A"/>
    <w:rsid w:val="00B612EB"/>
    <w:rsid w:val="00B620D0"/>
    <w:rsid w:val="00B629BC"/>
    <w:rsid w:val="00B6401F"/>
    <w:rsid w:val="00B65904"/>
    <w:rsid w:val="00B6656C"/>
    <w:rsid w:val="00B66636"/>
    <w:rsid w:val="00B66A81"/>
    <w:rsid w:val="00B67244"/>
    <w:rsid w:val="00B679D7"/>
    <w:rsid w:val="00B70000"/>
    <w:rsid w:val="00B7141F"/>
    <w:rsid w:val="00B74452"/>
    <w:rsid w:val="00B75B54"/>
    <w:rsid w:val="00B77798"/>
    <w:rsid w:val="00B80184"/>
    <w:rsid w:val="00B82E54"/>
    <w:rsid w:val="00B83DB9"/>
    <w:rsid w:val="00B845BE"/>
    <w:rsid w:val="00B84AD3"/>
    <w:rsid w:val="00B84F6D"/>
    <w:rsid w:val="00B87207"/>
    <w:rsid w:val="00B87DCE"/>
    <w:rsid w:val="00B90036"/>
    <w:rsid w:val="00B90D87"/>
    <w:rsid w:val="00B910C1"/>
    <w:rsid w:val="00B91890"/>
    <w:rsid w:val="00B92F52"/>
    <w:rsid w:val="00B94483"/>
    <w:rsid w:val="00B96144"/>
    <w:rsid w:val="00B977CD"/>
    <w:rsid w:val="00B97856"/>
    <w:rsid w:val="00BA00A5"/>
    <w:rsid w:val="00BA1A38"/>
    <w:rsid w:val="00BA349A"/>
    <w:rsid w:val="00BA4588"/>
    <w:rsid w:val="00BA4E36"/>
    <w:rsid w:val="00BA51C5"/>
    <w:rsid w:val="00BA6589"/>
    <w:rsid w:val="00BA6FEC"/>
    <w:rsid w:val="00BB08B1"/>
    <w:rsid w:val="00BB2833"/>
    <w:rsid w:val="00BB2BEB"/>
    <w:rsid w:val="00BB5069"/>
    <w:rsid w:val="00BB6224"/>
    <w:rsid w:val="00BB67B6"/>
    <w:rsid w:val="00BB6A6C"/>
    <w:rsid w:val="00BB7B94"/>
    <w:rsid w:val="00BC0702"/>
    <w:rsid w:val="00BC25B9"/>
    <w:rsid w:val="00BC3492"/>
    <w:rsid w:val="00BC399B"/>
    <w:rsid w:val="00BC55D4"/>
    <w:rsid w:val="00BC5AD2"/>
    <w:rsid w:val="00BC5BF0"/>
    <w:rsid w:val="00BC69AC"/>
    <w:rsid w:val="00BC6D93"/>
    <w:rsid w:val="00BC77C6"/>
    <w:rsid w:val="00BD0247"/>
    <w:rsid w:val="00BD0463"/>
    <w:rsid w:val="00BD1B5F"/>
    <w:rsid w:val="00BD1F6A"/>
    <w:rsid w:val="00BD3705"/>
    <w:rsid w:val="00BD3ADB"/>
    <w:rsid w:val="00BD4FBE"/>
    <w:rsid w:val="00BD57A4"/>
    <w:rsid w:val="00BD5E24"/>
    <w:rsid w:val="00BD70C3"/>
    <w:rsid w:val="00BD723C"/>
    <w:rsid w:val="00BD731D"/>
    <w:rsid w:val="00BD7ADA"/>
    <w:rsid w:val="00BD7FDC"/>
    <w:rsid w:val="00BE0251"/>
    <w:rsid w:val="00BE07C0"/>
    <w:rsid w:val="00BE08B9"/>
    <w:rsid w:val="00BE0AB4"/>
    <w:rsid w:val="00BE0BA2"/>
    <w:rsid w:val="00BE2A5A"/>
    <w:rsid w:val="00BE2B95"/>
    <w:rsid w:val="00BE46E6"/>
    <w:rsid w:val="00BE7B47"/>
    <w:rsid w:val="00BF044A"/>
    <w:rsid w:val="00BF09AC"/>
    <w:rsid w:val="00BF0FDB"/>
    <w:rsid w:val="00BF2329"/>
    <w:rsid w:val="00BF3708"/>
    <w:rsid w:val="00BF50FC"/>
    <w:rsid w:val="00BF6DAF"/>
    <w:rsid w:val="00C00E16"/>
    <w:rsid w:val="00C01852"/>
    <w:rsid w:val="00C0264F"/>
    <w:rsid w:val="00C032F5"/>
    <w:rsid w:val="00C03B5E"/>
    <w:rsid w:val="00C053BC"/>
    <w:rsid w:val="00C0590E"/>
    <w:rsid w:val="00C05F95"/>
    <w:rsid w:val="00C10EA4"/>
    <w:rsid w:val="00C10FC2"/>
    <w:rsid w:val="00C112D4"/>
    <w:rsid w:val="00C12839"/>
    <w:rsid w:val="00C1286F"/>
    <w:rsid w:val="00C14C1E"/>
    <w:rsid w:val="00C1661D"/>
    <w:rsid w:val="00C16694"/>
    <w:rsid w:val="00C16CC0"/>
    <w:rsid w:val="00C17208"/>
    <w:rsid w:val="00C209D3"/>
    <w:rsid w:val="00C21A0E"/>
    <w:rsid w:val="00C21E4C"/>
    <w:rsid w:val="00C22F4B"/>
    <w:rsid w:val="00C2598D"/>
    <w:rsid w:val="00C25ECD"/>
    <w:rsid w:val="00C27672"/>
    <w:rsid w:val="00C27956"/>
    <w:rsid w:val="00C30827"/>
    <w:rsid w:val="00C30F50"/>
    <w:rsid w:val="00C31F25"/>
    <w:rsid w:val="00C324B1"/>
    <w:rsid w:val="00C3290E"/>
    <w:rsid w:val="00C338D3"/>
    <w:rsid w:val="00C34269"/>
    <w:rsid w:val="00C343AD"/>
    <w:rsid w:val="00C349F0"/>
    <w:rsid w:val="00C35193"/>
    <w:rsid w:val="00C37C76"/>
    <w:rsid w:val="00C40FCF"/>
    <w:rsid w:val="00C41C02"/>
    <w:rsid w:val="00C4244D"/>
    <w:rsid w:val="00C477B4"/>
    <w:rsid w:val="00C47E57"/>
    <w:rsid w:val="00C50896"/>
    <w:rsid w:val="00C50B8F"/>
    <w:rsid w:val="00C518AF"/>
    <w:rsid w:val="00C51A3E"/>
    <w:rsid w:val="00C51C98"/>
    <w:rsid w:val="00C52002"/>
    <w:rsid w:val="00C529D2"/>
    <w:rsid w:val="00C52E02"/>
    <w:rsid w:val="00C54863"/>
    <w:rsid w:val="00C54938"/>
    <w:rsid w:val="00C5536B"/>
    <w:rsid w:val="00C60A33"/>
    <w:rsid w:val="00C61106"/>
    <w:rsid w:val="00C621EE"/>
    <w:rsid w:val="00C642FD"/>
    <w:rsid w:val="00C65437"/>
    <w:rsid w:val="00C6556B"/>
    <w:rsid w:val="00C66940"/>
    <w:rsid w:val="00C67C3B"/>
    <w:rsid w:val="00C70057"/>
    <w:rsid w:val="00C70098"/>
    <w:rsid w:val="00C708E1"/>
    <w:rsid w:val="00C72C5E"/>
    <w:rsid w:val="00C72DBD"/>
    <w:rsid w:val="00C7344A"/>
    <w:rsid w:val="00C75BC7"/>
    <w:rsid w:val="00C7625C"/>
    <w:rsid w:val="00C766F8"/>
    <w:rsid w:val="00C77660"/>
    <w:rsid w:val="00C77BEB"/>
    <w:rsid w:val="00C801C8"/>
    <w:rsid w:val="00C8262D"/>
    <w:rsid w:val="00C82994"/>
    <w:rsid w:val="00C84959"/>
    <w:rsid w:val="00C84DEC"/>
    <w:rsid w:val="00C851D1"/>
    <w:rsid w:val="00C85AA0"/>
    <w:rsid w:val="00C87120"/>
    <w:rsid w:val="00C872F7"/>
    <w:rsid w:val="00C87379"/>
    <w:rsid w:val="00C90191"/>
    <w:rsid w:val="00C902A6"/>
    <w:rsid w:val="00C90ED8"/>
    <w:rsid w:val="00C9220A"/>
    <w:rsid w:val="00C92AA2"/>
    <w:rsid w:val="00C935A2"/>
    <w:rsid w:val="00C93B98"/>
    <w:rsid w:val="00C93D07"/>
    <w:rsid w:val="00C94568"/>
    <w:rsid w:val="00C946EB"/>
    <w:rsid w:val="00C94707"/>
    <w:rsid w:val="00C9483C"/>
    <w:rsid w:val="00C96F30"/>
    <w:rsid w:val="00CA04AE"/>
    <w:rsid w:val="00CA058E"/>
    <w:rsid w:val="00CA05C2"/>
    <w:rsid w:val="00CA11A7"/>
    <w:rsid w:val="00CA2787"/>
    <w:rsid w:val="00CA2969"/>
    <w:rsid w:val="00CA2DEB"/>
    <w:rsid w:val="00CA33E6"/>
    <w:rsid w:val="00CA3885"/>
    <w:rsid w:val="00CA6B06"/>
    <w:rsid w:val="00CA71AA"/>
    <w:rsid w:val="00CA7AF5"/>
    <w:rsid w:val="00CB0692"/>
    <w:rsid w:val="00CB0703"/>
    <w:rsid w:val="00CB10F0"/>
    <w:rsid w:val="00CB10FF"/>
    <w:rsid w:val="00CB21B1"/>
    <w:rsid w:val="00CB22CE"/>
    <w:rsid w:val="00CB3201"/>
    <w:rsid w:val="00CB36B3"/>
    <w:rsid w:val="00CB399F"/>
    <w:rsid w:val="00CB58E2"/>
    <w:rsid w:val="00CC0549"/>
    <w:rsid w:val="00CC1F2E"/>
    <w:rsid w:val="00CC2084"/>
    <w:rsid w:val="00CC24FB"/>
    <w:rsid w:val="00CC5899"/>
    <w:rsid w:val="00CC6665"/>
    <w:rsid w:val="00CD0EC9"/>
    <w:rsid w:val="00CD0ED4"/>
    <w:rsid w:val="00CD1424"/>
    <w:rsid w:val="00CD2766"/>
    <w:rsid w:val="00CD4F2C"/>
    <w:rsid w:val="00CD5870"/>
    <w:rsid w:val="00CD5A5F"/>
    <w:rsid w:val="00CD7D7B"/>
    <w:rsid w:val="00CE0115"/>
    <w:rsid w:val="00CE14CC"/>
    <w:rsid w:val="00CE2525"/>
    <w:rsid w:val="00CE297C"/>
    <w:rsid w:val="00CE2B10"/>
    <w:rsid w:val="00CE32C1"/>
    <w:rsid w:val="00CE4AB6"/>
    <w:rsid w:val="00CE66E6"/>
    <w:rsid w:val="00CE7728"/>
    <w:rsid w:val="00CF049D"/>
    <w:rsid w:val="00CF0BDB"/>
    <w:rsid w:val="00CF1711"/>
    <w:rsid w:val="00CF260B"/>
    <w:rsid w:val="00CF623B"/>
    <w:rsid w:val="00CF62F7"/>
    <w:rsid w:val="00D00EC5"/>
    <w:rsid w:val="00D0313B"/>
    <w:rsid w:val="00D036D7"/>
    <w:rsid w:val="00D0377C"/>
    <w:rsid w:val="00D04E49"/>
    <w:rsid w:val="00D04F34"/>
    <w:rsid w:val="00D10396"/>
    <w:rsid w:val="00D10803"/>
    <w:rsid w:val="00D10CFF"/>
    <w:rsid w:val="00D11140"/>
    <w:rsid w:val="00D12008"/>
    <w:rsid w:val="00D12798"/>
    <w:rsid w:val="00D131C7"/>
    <w:rsid w:val="00D137F9"/>
    <w:rsid w:val="00D14D39"/>
    <w:rsid w:val="00D15DB4"/>
    <w:rsid w:val="00D21CC7"/>
    <w:rsid w:val="00D21D1A"/>
    <w:rsid w:val="00D228D1"/>
    <w:rsid w:val="00D22F52"/>
    <w:rsid w:val="00D23AF5"/>
    <w:rsid w:val="00D25157"/>
    <w:rsid w:val="00D2551C"/>
    <w:rsid w:val="00D26036"/>
    <w:rsid w:val="00D26275"/>
    <w:rsid w:val="00D26E90"/>
    <w:rsid w:val="00D27458"/>
    <w:rsid w:val="00D30A6C"/>
    <w:rsid w:val="00D31459"/>
    <w:rsid w:val="00D321CE"/>
    <w:rsid w:val="00D3364F"/>
    <w:rsid w:val="00D34B36"/>
    <w:rsid w:val="00D358C4"/>
    <w:rsid w:val="00D36BD9"/>
    <w:rsid w:val="00D36CEE"/>
    <w:rsid w:val="00D4174B"/>
    <w:rsid w:val="00D419B4"/>
    <w:rsid w:val="00D427AB"/>
    <w:rsid w:val="00D42F39"/>
    <w:rsid w:val="00D43533"/>
    <w:rsid w:val="00D436F5"/>
    <w:rsid w:val="00D4450A"/>
    <w:rsid w:val="00D44746"/>
    <w:rsid w:val="00D44A57"/>
    <w:rsid w:val="00D44F4A"/>
    <w:rsid w:val="00D44F9F"/>
    <w:rsid w:val="00D454C7"/>
    <w:rsid w:val="00D4796C"/>
    <w:rsid w:val="00D47E3C"/>
    <w:rsid w:val="00D5112C"/>
    <w:rsid w:val="00D51402"/>
    <w:rsid w:val="00D51A17"/>
    <w:rsid w:val="00D5240C"/>
    <w:rsid w:val="00D52980"/>
    <w:rsid w:val="00D531DC"/>
    <w:rsid w:val="00D5341B"/>
    <w:rsid w:val="00D5415E"/>
    <w:rsid w:val="00D551A2"/>
    <w:rsid w:val="00D555AF"/>
    <w:rsid w:val="00D560B5"/>
    <w:rsid w:val="00D5646A"/>
    <w:rsid w:val="00D56502"/>
    <w:rsid w:val="00D56691"/>
    <w:rsid w:val="00D57A7C"/>
    <w:rsid w:val="00D60C50"/>
    <w:rsid w:val="00D6175D"/>
    <w:rsid w:val="00D64391"/>
    <w:rsid w:val="00D64B3E"/>
    <w:rsid w:val="00D65D6A"/>
    <w:rsid w:val="00D66990"/>
    <w:rsid w:val="00D66DD3"/>
    <w:rsid w:val="00D67AA7"/>
    <w:rsid w:val="00D711CC"/>
    <w:rsid w:val="00D72D1D"/>
    <w:rsid w:val="00D739C3"/>
    <w:rsid w:val="00D74004"/>
    <w:rsid w:val="00D743FD"/>
    <w:rsid w:val="00D757F1"/>
    <w:rsid w:val="00D75885"/>
    <w:rsid w:val="00D7720E"/>
    <w:rsid w:val="00D802FA"/>
    <w:rsid w:val="00D81609"/>
    <w:rsid w:val="00D847D8"/>
    <w:rsid w:val="00D8531C"/>
    <w:rsid w:val="00D86056"/>
    <w:rsid w:val="00D90FDF"/>
    <w:rsid w:val="00D91642"/>
    <w:rsid w:val="00D92306"/>
    <w:rsid w:val="00D9230B"/>
    <w:rsid w:val="00D925D3"/>
    <w:rsid w:val="00D92D63"/>
    <w:rsid w:val="00D93430"/>
    <w:rsid w:val="00D9654F"/>
    <w:rsid w:val="00D96672"/>
    <w:rsid w:val="00D9676C"/>
    <w:rsid w:val="00D97547"/>
    <w:rsid w:val="00DA0E34"/>
    <w:rsid w:val="00DA1689"/>
    <w:rsid w:val="00DA2B4C"/>
    <w:rsid w:val="00DA2BBC"/>
    <w:rsid w:val="00DA4604"/>
    <w:rsid w:val="00DA5FCC"/>
    <w:rsid w:val="00DB2F54"/>
    <w:rsid w:val="00DB34F5"/>
    <w:rsid w:val="00DB3565"/>
    <w:rsid w:val="00DB3C55"/>
    <w:rsid w:val="00DB3E70"/>
    <w:rsid w:val="00DB449D"/>
    <w:rsid w:val="00DB4BED"/>
    <w:rsid w:val="00DB4FD3"/>
    <w:rsid w:val="00DB66D3"/>
    <w:rsid w:val="00DB6AF5"/>
    <w:rsid w:val="00DB72D5"/>
    <w:rsid w:val="00DB78D6"/>
    <w:rsid w:val="00DC00CB"/>
    <w:rsid w:val="00DC0D7E"/>
    <w:rsid w:val="00DC312E"/>
    <w:rsid w:val="00DC40A0"/>
    <w:rsid w:val="00DC4A40"/>
    <w:rsid w:val="00DC5617"/>
    <w:rsid w:val="00DC573D"/>
    <w:rsid w:val="00DC5F20"/>
    <w:rsid w:val="00DC6A3C"/>
    <w:rsid w:val="00DC76D2"/>
    <w:rsid w:val="00DD0977"/>
    <w:rsid w:val="00DD1045"/>
    <w:rsid w:val="00DD1140"/>
    <w:rsid w:val="00DD4416"/>
    <w:rsid w:val="00DD45B3"/>
    <w:rsid w:val="00DD5AF2"/>
    <w:rsid w:val="00DD5CED"/>
    <w:rsid w:val="00DD6295"/>
    <w:rsid w:val="00DE0175"/>
    <w:rsid w:val="00DE1D1B"/>
    <w:rsid w:val="00DE20A8"/>
    <w:rsid w:val="00DE3F7A"/>
    <w:rsid w:val="00DE4F98"/>
    <w:rsid w:val="00DE62AC"/>
    <w:rsid w:val="00DE6C40"/>
    <w:rsid w:val="00DE75C8"/>
    <w:rsid w:val="00DF0162"/>
    <w:rsid w:val="00DF0709"/>
    <w:rsid w:val="00DF0756"/>
    <w:rsid w:val="00DF1B7E"/>
    <w:rsid w:val="00DF1F17"/>
    <w:rsid w:val="00DF3F77"/>
    <w:rsid w:val="00DF5833"/>
    <w:rsid w:val="00DF606E"/>
    <w:rsid w:val="00DF6725"/>
    <w:rsid w:val="00E006BC"/>
    <w:rsid w:val="00E01557"/>
    <w:rsid w:val="00E036AD"/>
    <w:rsid w:val="00E03921"/>
    <w:rsid w:val="00E03D8F"/>
    <w:rsid w:val="00E04687"/>
    <w:rsid w:val="00E04B6E"/>
    <w:rsid w:val="00E051FF"/>
    <w:rsid w:val="00E05224"/>
    <w:rsid w:val="00E05821"/>
    <w:rsid w:val="00E05847"/>
    <w:rsid w:val="00E0612E"/>
    <w:rsid w:val="00E06B4D"/>
    <w:rsid w:val="00E10B21"/>
    <w:rsid w:val="00E11AD5"/>
    <w:rsid w:val="00E1433C"/>
    <w:rsid w:val="00E14909"/>
    <w:rsid w:val="00E14CB3"/>
    <w:rsid w:val="00E16B7E"/>
    <w:rsid w:val="00E16C4F"/>
    <w:rsid w:val="00E16F02"/>
    <w:rsid w:val="00E170F6"/>
    <w:rsid w:val="00E17447"/>
    <w:rsid w:val="00E17AB4"/>
    <w:rsid w:val="00E17CBE"/>
    <w:rsid w:val="00E2179F"/>
    <w:rsid w:val="00E23703"/>
    <w:rsid w:val="00E240D1"/>
    <w:rsid w:val="00E2410F"/>
    <w:rsid w:val="00E24D07"/>
    <w:rsid w:val="00E269A0"/>
    <w:rsid w:val="00E26FC9"/>
    <w:rsid w:val="00E27A43"/>
    <w:rsid w:val="00E3011E"/>
    <w:rsid w:val="00E302F1"/>
    <w:rsid w:val="00E311B7"/>
    <w:rsid w:val="00E32966"/>
    <w:rsid w:val="00E32A97"/>
    <w:rsid w:val="00E34466"/>
    <w:rsid w:val="00E374B4"/>
    <w:rsid w:val="00E37F26"/>
    <w:rsid w:val="00E42280"/>
    <w:rsid w:val="00E4464E"/>
    <w:rsid w:val="00E448E5"/>
    <w:rsid w:val="00E44C85"/>
    <w:rsid w:val="00E47F23"/>
    <w:rsid w:val="00E503C5"/>
    <w:rsid w:val="00E505C8"/>
    <w:rsid w:val="00E520C6"/>
    <w:rsid w:val="00E52271"/>
    <w:rsid w:val="00E527A6"/>
    <w:rsid w:val="00E54596"/>
    <w:rsid w:val="00E54836"/>
    <w:rsid w:val="00E550A1"/>
    <w:rsid w:val="00E5562B"/>
    <w:rsid w:val="00E55AD8"/>
    <w:rsid w:val="00E561C7"/>
    <w:rsid w:val="00E570ED"/>
    <w:rsid w:val="00E601AB"/>
    <w:rsid w:val="00E618F2"/>
    <w:rsid w:val="00E61BFF"/>
    <w:rsid w:val="00E61DD3"/>
    <w:rsid w:val="00E62ABD"/>
    <w:rsid w:val="00E6356F"/>
    <w:rsid w:val="00E63DE9"/>
    <w:rsid w:val="00E65284"/>
    <w:rsid w:val="00E65E2E"/>
    <w:rsid w:val="00E666CA"/>
    <w:rsid w:val="00E6684B"/>
    <w:rsid w:val="00E702A7"/>
    <w:rsid w:val="00E70506"/>
    <w:rsid w:val="00E7275E"/>
    <w:rsid w:val="00E72E45"/>
    <w:rsid w:val="00E72ECE"/>
    <w:rsid w:val="00E7311C"/>
    <w:rsid w:val="00E73CEA"/>
    <w:rsid w:val="00E74664"/>
    <w:rsid w:val="00E7466C"/>
    <w:rsid w:val="00E7593E"/>
    <w:rsid w:val="00E75AD3"/>
    <w:rsid w:val="00E76219"/>
    <w:rsid w:val="00E77BBA"/>
    <w:rsid w:val="00E800C3"/>
    <w:rsid w:val="00E8127E"/>
    <w:rsid w:val="00E81555"/>
    <w:rsid w:val="00E81F76"/>
    <w:rsid w:val="00E82BDC"/>
    <w:rsid w:val="00E83182"/>
    <w:rsid w:val="00E83300"/>
    <w:rsid w:val="00E83536"/>
    <w:rsid w:val="00E838DE"/>
    <w:rsid w:val="00E86082"/>
    <w:rsid w:val="00E866ED"/>
    <w:rsid w:val="00E87E14"/>
    <w:rsid w:val="00E92CCA"/>
    <w:rsid w:val="00E93A59"/>
    <w:rsid w:val="00E950F9"/>
    <w:rsid w:val="00E950FD"/>
    <w:rsid w:val="00E95199"/>
    <w:rsid w:val="00E9566D"/>
    <w:rsid w:val="00E97844"/>
    <w:rsid w:val="00E97CA7"/>
    <w:rsid w:val="00EA0C87"/>
    <w:rsid w:val="00EA181A"/>
    <w:rsid w:val="00EA1FF1"/>
    <w:rsid w:val="00EA4D7D"/>
    <w:rsid w:val="00EA7178"/>
    <w:rsid w:val="00EB1CD5"/>
    <w:rsid w:val="00EB2490"/>
    <w:rsid w:val="00EB2858"/>
    <w:rsid w:val="00EB2E6A"/>
    <w:rsid w:val="00EB32C0"/>
    <w:rsid w:val="00EB4606"/>
    <w:rsid w:val="00EB4B12"/>
    <w:rsid w:val="00EB516D"/>
    <w:rsid w:val="00EB5708"/>
    <w:rsid w:val="00EB5FDA"/>
    <w:rsid w:val="00EB71D9"/>
    <w:rsid w:val="00EC02DA"/>
    <w:rsid w:val="00EC1176"/>
    <w:rsid w:val="00EC2180"/>
    <w:rsid w:val="00EC3183"/>
    <w:rsid w:val="00EC4EE2"/>
    <w:rsid w:val="00EC58F2"/>
    <w:rsid w:val="00EC7789"/>
    <w:rsid w:val="00EC7A57"/>
    <w:rsid w:val="00ED0415"/>
    <w:rsid w:val="00ED19B6"/>
    <w:rsid w:val="00ED24EE"/>
    <w:rsid w:val="00ED25B3"/>
    <w:rsid w:val="00ED333D"/>
    <w:rsid w:val="00ED33C9"/>
    <w:rsid w:val="00ED50B6"/>
    <w:rsid w:val="00ED5613"/>
    <w:rsid w:val="00ED58A3"/>
    <w:rsid w:val="00ED688E"/>
    <w:rsid w:val="00ED7B98"/>
    <w:rsid w:val="00ED7E50"/>
    <w:rsid w:val="00EE0C90"/>
    <w:rsid w:val="00EE1400"/>
    <w:rsid w:val="00EE165A"/>
    <w:rsid w:val="00EE1F7D"/>
    <w:rsid w:val="00EE3119"/>
    <w:rsid w:val="00EE3924"/>
    <w:rsid w:val="00EE4DE8"/>
    <w:rsid w:val="00EE6A26"/>
    <w:rsid w:val="00EE7AE2"/>
    <w:rsid w:val="00EE7DBD"/>
    <w:rsid w:val="00EF2A5D"/>
    <w:rsid w:val="00EF3747"/>
    <w:rsid w:val="00EF52FE"/>
    <w:rsid w:val="00EF7ACC"/>
    <w:rsid w:val="00EF7BD0"/>
    <w:rsid w:val="00EF7E27"/>
    <w:rsid w:val="00F02043"/>
    <w:rsid w:val="00F02D4E"/>
    <w:rsid w:val="00F035D2"/>
    <w:rsid w:val="00F03649"/>
    <w:rsid w:val="00F038FC"/>
    <w:rsid w:val="00F0433F"/>
    <w:rsid w:val="00F07300"/>
    <w:rsid w:val="00F07D91"/>
    <w:rsid w:val="00F10485"/>
    <w:rsid w:val="00F106C6"/>
    <w:rsid w:val="00F11B2C"/>
    <w:rsid w:val="00F11CBC"/>
    <w:rsid w:val="00F12031"/>
    <w:rsid w:val="00F12CAB"/>
    <w:rsid w:val="00F14320"/>
    <w:rsid w:val="00F1585E"/>
    <w:rsid w:val="00F176B7"/>
    <w:rsid w:val="00F17CEE"/>
    <w:rsid w:val="00F17E84"/>
    <w:rsid w:val="00F20111"/>
    <w:rsid w:val="00F20542"/>
    <w:rsid w:val="00F21BB8"/>
    <w:rsid w:val="00F23283"/>
    <w:rsid w:val="00F2366D"/>
    <w:rsid w:val="00F239D8"/>
    <w:rsid w:val="00F2578F"/>
    <w:rsid w:val="00F26676"/>
    <w:rsid w:val="00F27FBD"/>
    <w:rsid w:val="00F30D8D"/>
    <w:rsid w:val="00F31DC3"/>
    <w:rsid w:val="00F3258F"/>
    <w:rsid w:val="00F32798"/>
    <w:rsid w:val="00F32C96"/>
    <w:rsid w:val="00F32FD5"/>
    <w:rsid w:val="00F33FF0"/>
    <w:rsid w:val="00F34AAE"/>
    <w:rsid w:val="00F362A4"/>
    <w:rsid w:val="00F36E9B"/>
    <w:rsid w:val="00F370C2"/>
    <w:rsid w:val="00F37598"/>
    <w:rsid w:val="00F40EF1"/>
    <w:rsid w:val="00F42643"/>
    <w:rsid w:val="00F42800"/>
    <w:rsid w:val="00F4397F"/>
    <w:rsid w:val="00F439D6"/>
    <w:rsid w:val="00F45E4C"/>
    <w:rsid w:val="00F46534"/>
    <w:rsid w:val="00F5093C"/>
    <w:rsid w:val="00F51DDB"/>
    <w:rsid w:val="00F521E4"/>
    <w:rsid w:val="00F538A5"/>
    <w:rsid w:val="00F54DDB"/>
    <w:rsid w:val="00F54E8E"/>
    <w:rsid w:val="00F5514C"/>
    <w:rsid w:val="00F5593D"/>
    <w:rsid w:val="00F56812"/>
    <w:rsid w:val="00F611ED"/>
    <w:rsid w:val="00F6279D"/>
    <w:rsid w:val="00F62966"/>
    <w:rsid w:val="00F62C60"/>
    <w:rsid w:val="00F642C9"/>
    <w:rsid w:val="00F64303"/>
    <w:rsid w:val="00F66EE2"/>
    <w:rsid w:val="00F70D5B"/>
    <w:rsid w:val="00F7102D"/>
    <w:rsid w:val="00F711DE"/>
    <w:rsid w:val="00F711E2"/>
    <w:rsid w:val="00F7186C"/>
    <w:rsid w:val="00F72356"/>
    <w:rsid w:val="00F7263B"/>
    <w:rsid w:val="00F73E3A"/>
    <w:rsid w:val="00F74A52"/>
    <w:rsid w:val="00F768FC"/>
    <w:rsid w:val="00F76DBB"/>
    <w:rsid w:val="00F77227"/>
    <w:rsid w:val="00F81E66"/>
    <w:rsid w:val="00F820B7"/>
    <w:rsid w:val="00F825A6"/>
    <w:rsid w:val="00F83607"/>
    <w:rsid w:val="00F83B39"/>
    <w:rsid w:val="00F83B4A"/>
    <w:rsid w:val="00F8404F"/>
    <w:rsid w:val="00F84279"/>
    <w:rsid w:val="00F84358"/>
    <w:rsid w:val="00F84532"/>
    <w:rsid w:val="00F84B46"/>
    <w:rsid w:val="00F86EDF"/>
    <w:rsid w:val="00F8799C"/>
    <w:rsid w:val="00F87BB8"/>
    <w:rsid w:val="00F901B9"/>
    <w:rsid w:val="00F9039F"/>
    <w:rsid w:val="00F90812"/>
    <w:rsid w:val="00F90A63"/>
    <w:rsid w:val="00F913D5"/>
    <w:rsid w:val="00F93DF4"/>
    <w:rsid w:val="00F94E02"/>
    <w:rsid w:val="00F95365"/>
    <w:rsid w:val="00F96346"/>
    <w:rsid w:val="00F9756B"/>
    <w:rsid w:val="00F97882"/>
    <w:rsid w:val="00FA168C"/>
    <w:rsid w:val="00FA29FC"/>
    <w:rsid w:val="00FA3443"/>
    <w:rsid w:val="00FA585F"/>
    <w:rsid w:val="00FA63D3"/>
    <w:rsid w:val="00FA71C6"/>
    <w:rsid w:val="00FA7839"/>
    <w:rsid w:val="00FA784A"/>
    <w:rsid w:val="00FB1282"/>
    <w:rsid w:val="00FB183E"/>
    <w:rsid w:val="00FB1F6A"/>
    <w:rsid w:val="00FB2948"/>
    <w:rsid w:val="00FB315D"/>
    <w:rsid w:val="00FB5EA9"/>
    <w:rsid w:val="00FB62A6"/>
    <w:rsid w:val="00FB6F45"/>
    <w:rsid w:val="00FB718A"/>
    <w:rsid w:val="00FC0B0B"/>
    <w:rsid w:val="00FC1BCE"/>
    <w:rsid w:val="00FC1C47"/>
    <w:rsid w:val="00FC2043"/>
    <w:rsid w:val="00FC2905"/>
    <w:rsid w:val="00FC3897"/>
    <w:rsid w:val="00FC408C"/>
    <w:rsid w:val="00FC5536"/>
    <w:rsid w:val="00FC591C"/>
    <w:rsid w:val="00FC7667"/>
    <w:rsid w:val="00FD0558"/>
    <w:rsid w:val="00FD1227"/>
    <w:rsid w:val="00FD16BA"/>
    <w:rsid w:val="00FD49E3"/>
    <w:rsid w:val="00FD5DE4"/>
    <w:rsid w:val="00FD6952"/>
    <w:rsid w:val="00FD7FC5"/>
    <w:rsid w:val="00FE1137"/>
    <w:rsid w:val="00FE129E"/>
    <w:rsid w:val="00FE149F"/>
    <w:rsid w:val="00FE2738"/>
    <w:rsid w:val="00FE2FC2"/>
    <w:rsid w:val="00FE3684"/>
    <w:rsid w:val="00FE54E0"/>
    <w:rsid w:val="00FE612F"/>
    <w:rsid w:val="00FE7169"/>
    <w:rsid w:val="00FE7CB2"/>
    <w:rsid w:val="00FF04BA"/>
    <w:rsid w:val="00FF2455"/>
    <w:rsid w:val="00FF259D"/>
    <w:rsid w:val="00FF337C"/>
    <w:rsid w:val="00FF36D5"/>
    <w:rsid w:val="00FF3E9C"/>
    <w:rsid w:val="00FF5F8C"/>
    <w:rsid w:val="00FF77ED"/>
    <w:rsid w:val="00FF7824"/>
    <w:rsid w:val="00FF7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44"/>
    <w:pPr>
      <w:spacing w:after="0" w:line="240" w:lineRule="auto"/>
    </w:pPr>
    <w:rPr>
      <w:rFonts w:ascii="Times New Roman" w:hAnsi="Times New Roman"/>
      <w:sz w:val="24"/>
    </w:rPr>
  </w:style>
  <w:style w:type="paragraph" w:styleId="Heading1">
    <w:name w:val="heading 1"/>
    <w:basedOn w:val="Normal"/>
    <w:next w:val="Normal"/>
    <w:link w:val="Heading1Char"/>
    <w:qFormat/>
    <w:rsid w:val="00CB10F0"/>
    <w:pPr>
      <w:keepNext/>
      <w:numPr>
        <w:numId w:val="1"/>
      </w:numPr>
      <w:outlineLvl w:val="0"/>
    </w:pPr>
    <w:rPr>
      <w:rFonts w:ascii="Times New Roman Bold" w:eastAsia="Times New Roman" w:hAnsi="Times New Roman Bold" w:cs="Arial"/>
      <w:b/>
      <w:bCs/>
      <w:caps/>
      <w:kern w:val="32"/>
      <w:szCs w:val="32"/>
    </w:rPr>
  </w:style>
  <w:style w:type="paragraph" w:styleId="Heading2">
    <w:name w:val="heading 2"/>
    <w:basedOn w:val="Heading1"/>
    <w:next w:val="Normal"/>
    <w:link w:val="Heading2Char"/>
    <w:qFormat/>
    <w:rsid w:val="00A207E2"/>
    <w:pPr>
      <w:keepLines/>
      <w:numPr>
        <w:ilvl w:val="1"/>
      </w:numPr>
      <w:outlineLvl w:val="1"/>
    </w:pPr>
    <w:rPr>
      <w:b w:val="0"/>
      <w:bCs w:val="0"/>
      <w:iCs/>
      <w:caps w:val="0"/>
      <w:szCs w:val="28"/>
    </w:rPr>
  </w:style>
  <w:style w:type="paragraph" w:styleId="Heading3">
    <w:name w:val="heading 3"/>
    <w:basedOn w:val="Normal"/>
    <w:next w:val="Normal"/>
    <w:link w:val="Heading3Char"/>
    <w:qFormat/>
    <w:rsid w:val="00FF7EE4"/>
    <w:pPr>
      <w:keepNext/>
      <w:keepLines/>
      <w:numPr>
        <w:ilvl w:val="2"/>
        <w:numId w:val="1"/>
      </w:numPr>
      <w:spacing w:before="120" w:after="240"/>
      <w:outlineLvl w:val="2"/>
    </w:pPr>
    <w:rPr>
      <w:rFonts w:eastAsia="Times New Roman" w:cs="Arial"/>
      <w:b/>
      <w:bCs/>
      <w:szCs w:val="26"/>
    </w:rPr>
  </w:style>
  <w:style w:type="paragraph" w:styleId="Heading4">
    <w:name w:val="heading 4"/>
    <w:basedOn w:val="Normal"/>
    <w:next w:val="Normal"/>
    <w:link w:val="Heading4Char"/>
    <w:qFormat/>
    <w:rsid w:val="00FF7EE4"/>
    <w:pPr>
      <w:keepNext/>
      <w:keepLines/>
      <w:numPr>
        <w:ilvl w:val="3"/>
        <w:numId w:val="1"/>
      </w:numPr>
      <w:spacing w:before="120" w:after="240"/>
      <w:outlineLvl w:val="3"/>
    </w:pPr>
    <w:rPr>
      <w:rFonts w:eastAsia="Times New Roman" w:cs="Times New Roman"/>
      <w:b/>
      <w:bCs/>
      <w:i/>
      <w:szCs w:val="28"/>
    </w:rPr>
  </w:style>
  <w:style w:type="paragraph" w:styleId="Heading5">
    <w:name w:val="heading 5"/>
    <w:basedOn w:val="Normal"/>
    <w:next w:val="Normal"/>
    <w:link w:val="Heading5Char"/>
    <w:unhideWhenUsed/>
    <w:qFormat/>
    <w:rsid w:val="00FF7EE4"/>
    <w:pPr>
      <w:keepNext/>
      <w:keepLines/>
      <w:numPr>
        <w:ilvl w:val="4"/>
        <w:numId w:val="1"/>
      </w:numPr>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nhideWhenUsed/>
    <w:qFormat/>
    <w:rsid w:val="00FF7EE4"/>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nhideWhenUsed/>
    <w:qFormat/>
    <w:rsid w:val="00FF7EE4"/>
    <w:pPr>
      <w:keepNext/>
      <w:keepLines/>
      <w:numPr>
        <w:ilvl w:val="6"/>
        <w:numId w:val="1"/>
      </w:numPr>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nhideWhenUsed/>
    <w:qFormat/>
    <w:rsid w:val="00FF7EE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F7EE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6D"/>
    <w:rPr>
      <w:rFonts w:ascii="Tahoma" w:hAnsi="Tahoma" w:cs="Tahoma"/>
      <w:sz w:val="16"/>
      <w:szCs w:val="16"/>
    </w:rPr>
  </w:style>
  <w:style w:type="character" w:customStyle="1" w:styleId="MarkeringsbobletekstTegn">
    <w:name w:val="Markeringsbobletekst Tegn"/>
    <w:basedOn w:val="DefaultParagraphFont"/>
    <w:uiPriority w:val="99"/>
    <w:semiHidden/>
    <w:rsid w:val="007B071F"/>
    <w:rPr>
      <w:rFonts w:ascii="Lucida Grande" w:hAnsi="Lucida Grande"/>
      <w:sz w:val="18"/>
      <w:szCs w:val="18"/>
    </w:rPr>
  </w:style>
  <w:style w:type="character" w:customStyle="1" w:styleId="MarkeringsbobletekstTegn0">
    <w:name w:val="Markeringsbobletekst Tegn"/>
    <w:basedOn w:val="DefaultParagraphFont"/>
    <w:uiPriority w:val="99"/>
    <w:semiHidden/>
    <w:rsid w:val="00F72EBE"/>
    <w:rPr>
      <w:rFonts w:ascii="Lucida Grande" w:hAnsi="Lucida Grande"/>
      <w:sz w:val="18"/>
      <w:szCs w:val="18"/>
    </w:rPr>
  </w:style>
  <w:style w:type="paragraph" w:styleId="NoSpacing">
    <w:name w:val="No Spacing"/>
    <w:link w:val="NoSpacingChar"/>
    <w:qFormat/>
    <w:rsid w:val="000F4826"/>
    <w:pPr>
      <w:spacing w:after="0" w:line="240" w:lineRule="auto"/>
    </w:pPr>
  </w:style>
  <w:style w:type="paragraph" w:styleId="ListParagraph">
    <w:name w:val="List Paragraph"/>
    <w:aliases w:val="Numbered List Paragraph,Main numbered paragraph"/>
    <w:basedOn w:val="Normal"/>
    <w:link w:val="ListParagraphChar"/>
    <w:uiPriority w:val="34"/>
    <w:qFormat/>
    <w:rsid w:val="003D39E3"/>
    <w:pPr>
      <w:ind w:left="720"/>
      <w:contextualSpacing/>
    </w:pPr>
  </w:style>
  <w:style w:type="character" w:customStyle="1" w:styleId="Heading1Char">
    <w:name w:val="Heading 1 Char"/>
    <w:basedOn w:val="DefaultParagraphFont"/>
    <w:link w:val="Heading1"/>
    <w:rsid w:val="00CB10F0"/>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A207E2"/>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FF7EE4"/>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FF7EE4"/>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FF7E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FF7EE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F7EE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FF7E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F7EE4"/>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basedOn w:val="DefaultParagraphFont"/>
    <w:link w:val="NoSpacing"/>
    <w:rsid w:val="00FF7EE4"/>
  </w:style>
  <w:style w:type="paragraph" w:styleId="FootnoteText">
    <w:name w:val="footnote text"/>
    <w:aliases w:val="single space,footnote text,fn,FOOTNOTES,ALTS FOOTNOTE,Footnote Text Char2 Char,Footnote Text Char1 Char Char,Footnote Text Char2 Char Char Char,Footnote Text Char1 Char Char Char Char,Footnote Text Char2 Char Char Char Char Char,ft,ADB,f,F"/>
    <w:basedOn w:val="Normal"/>
    <w:link w:val="FootnoteTextChar"/>
    <w:uiPriority w:val="99"/>
    <w:unhideWhenUsed/>
    <w:qFormat/>
    <w:rsid w:val="008741D9"/>
    <w:rPr>
      <w:sz w:val="20"/>
      <w:szCs w:val="20"/>
    </w:rPr>
  </w:style>
  <w:style w:type="character" w:customStyle="1" w:styleId="FootnoteTextChar">
    <w:name w:val="Footnote Text Char"/>
    <w:aliases w:val="single space Char,footnote text Char,fn Char,FOOTNOTES Char,ALTS FOOTNOTE Char,Footnote Text Char2 Char Char,Footnote Text Char1 Char Char Char,Footnote Text Char2 Char Char Char Char,Footnote Text Char1 Char Char Char Char Char"/>
    <w:basedOn w:val="DefaultParagraphFont"/>
    <w:link w:val="FootnoteText"/>
    <w:uiPriority w:val="99"/>
    <w:rsid w:val="008741D9"/>
    <w:rPr>
      <w:rFonts w:ascii="Times New Roman" w:hAnsi="Times New Roman"/>
      <w:sz w:val="20"/>
      <w:szCs w:val="20"/>
    </w:rPr>
  </w:style>
  <w:style w:type="character" w:styleId="Hyperlink">
    <w:name w:val="Hyperlink"/>
    <w:basedOn w:val="DefaultParagraphFont"/>
    <w:uiPriority w:val="99"/>
    <w:unhideWhenUsed/>
    <w:rsid w:val="008741D9"/>
    <w:rPr>
      <w:color w:val="0000FF" w:themeColor="hyperlink"/>
      <w:u w:val="single"/>
    </w:rPr>
  </w:style>
  <w:style w:type="paragraph" w:styleId="Header">
    <w:name w:val="header"/>
    <w:basedOn w:val="Normal"/>
    <w:link w:val="HeaderChar"/>
    <w:uiPriority w:val="99"/>
    <w:unhideWhenUsed/>
    <w:rsid w:val="00A7596D"/>
    <w:pPr>
      <w:tabs>
        <w:tab w:val="center" w:pos="4680"/>
        <w:tab w:val="right" w:pos="9360"/>
      </w:tabs>
    </w:pPr>
  </w:style>
  <w:style w:type="character" w:customStyle="1" w:styleId="HeaderChar">
    <w:name w:val="Header Char"/>
    <w:basedOn w:val="DefaultParagraphFont"/>
    <w:link w:val="Header"/>
    <w:uiPriority w:val="99"/>
    <w:rsid w:val="00A7596D"/>
  </w:style>
  <w:style w:type="paragraph" w:styleId="Footer">
    <w:name w:val="footer"/>
    <w:basedOn w:val="Normal"/>
    <w:link w:val="FooterChar"/>
    <w:uiPriority w:val="99"/>
    <w:unhideWhenUsed/>
    <w:rsid w:val="00A7596D"/>
    <w:pPr>
      <w:tabs>
        <w:tab w:val="center" w:pos="4680"/>
        <w:tab w:val="right" w:pos="9360"/>
      </w:tabs>
    </w:pPr>
  </w:style>
  <w:style w:type="character" w:customStyle="1" w:styleId="FooterChar">
    <w:name w:val="Footer Char"/>
    <w:basedOn w:val="DefaultParagraphFont"/>
    <w:link w:val="Footer"/>
    <w:uiPriority w:val="99"/>
    <w:rsid w:val="00A7596D"/>
  </w:style>
  <w:style w:type="paragraph" w:styleId="TOCHeading">
    <w:name w:val="TOC Heading"/>
    <w:basedOn w:val="Heading1"/>
    <w:next w:val="Normal"/>
    <w:uiPriority w:val="39"/>
    <w:unhideWhenUsed/>
    <w:qFormat/>
    <w:rsid w:val="00A7596D"/>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F0FDB"/>
    <w:pPr>
      <w:tabs>
        <w:tab w:val="left" w:pos="1170"/>
        <w:tab w:val="right" w:leader="dot" w:pos="9350"/>
      </w:tabs>
      <w:ind w:left="1170" w:hanging="450"/>
    </w:pPr>
    <w:rPr>
      <w:iCs/>
      <w:noProof/>
      <w:szCs w:val="24"/>
    </w:rPr>
  </w:style>
  <w:style w:type="paragraph" w:styleId="TOC1">
    <w:name w:val="toc 1"/>
    <w:basedOn w:val="Normal"/>
    <w:next w:val="Normal"/>
    <w:autoRedefine/>
    <w:uiPriority w:val="39"/>
    <w:unhideWhenUsed/>
    <w:qFormat/>
    <w:rsid w:val="00BF0FDB"/>
    <w:pPr>
      <w:tabs>
        <w:tab w:val="right" w:leader="dot" w:pos="9350"/>
      </w:tabs>
      <w:spacing w:before="240"/>
      <w:ind w:left="720" w:hanging="720"/>
      <w:jc w:val="both"/>
    </w:pPr>
    <w:rPr>
      <w:b/>
      <w:bCs/>
      <w:noProof/>
      <w:szCs w:val="24"/>
    </w:rPr>
  </w:style>
  <w:style w:type="paragraph" w:styleId="TOC3">
    <w:name w:val="toc 3"/>
    <w:basedOn w:val="Normal"/>
    <w:next w:val="Normal"/>
    <w:autoRedefine/>
    <w:uiPriority w:val="39"/>
    <w:unhideWhenUsed/>
    <w:qFormat/>
    <w:rsid w:val="00A7596D"/>
    <w:pPr>
      <w:ind w:left="440"/>
    </w:pPr>
    <w:rPr>
      <w:sz w:val="20"/>
      <w:szCs w:val="20"/>
    </w:rPr>
  </w:style>
  <w:style w:type="character" w:customStyle="1" w:styleId="BalloonTextChar">
    <w:name w:val="Balloon Text Char"/>
    <w:basedOn w:val="DefaultParagraphFont"/>
    <w:link w:val="BalloonText"/>
    <w:uiPriority w:val="99"/>
    <w:semiHidden/>
    <w:rsid w:val="00A7596D"/>
    <w:rPr>
      <w:rFonts w:ascii="Tahoma" w:hAnsi="Tahoma" w:cs="Tahoma"/>
      <w:sz w:val="16"/>
      <w:szCs w:val="16"/>
    </w:rPr>
  </w:style>
  <w:style w:type="character" w:styleId="CommentReference">
    <w:name w:val="annotation reference"/>
    <w:basedOn w:val="DefaultParagraphFont"/>
    <w:unhideWhenUsed/>
    <w:rsid w:val="00FA7839"/>
    <w:rPr>
      <w:sz w:val="16"/>
      <w:szCs w:val="16"/>
    </w:rPr>
  </w:style>
  <w:style w:type="paragraph" w:styleId="CommentText">
    <w:name w:val="annotation text"/>
    <w:basedOn w:val="Normal"/>
    <w:link w:val="CommentTextChar"/>
    <w:unhideWhenUsed/>
    <w:rsid w:val="00FA7839"/>
    <w:rPr>
      <w:sz w:val="20"/>
      <w:szCs w:val="20"/>
    </w:rPr>
  </w:style>
  <w:style w:type="character" w:customStyle="1" w:styleId="CommentTextChar">
    <w:name w:val="Comment Text Char"/>
    <w:basedOn w:val="DefaultParagraphFont"/>
    <w:link w:val="CommentText"/>
    <w:rsid w:val="00FA7839"/>
    <w:rPr>
      <w:sz w:val="20"/>
      <w:szCs w:val="20"/>
    </w:rPr>
  </w:style>
  <w:style w:type="paragraph" w:styleId="CommentSubject">
    <w:name w:val="annotation subject"/>
    <w:basedOn w:val="CommentText"/>
    <w:next w:val="CommentText"/>
    <w:link w:val="CommentSubjectChar"/>
    <w:unhideWhenUsed/>
    <w:rsid w:val="00FA7839"/>
    <w:rPr>
      <w:b/>
      <w:bCs/>
    </w:rPr>
  </w:style>
  <w:style w:type="character" w:customStyle="1" w:styleId="CommentSubjectChar">
    <w:name w:val="Comment Subject Char"/>
    <w:basedOn w:val="CommentTextChar"/>
    <w:link w:val="CommentSubject"/>
    <w:rsid w:val="00FA7839"/>
    <w:rPr>
      <w:b/>
      <w:bCs/>
      <w:sz w:val="20"/>
      <w:szCs w:val="20"/>
    </w:rPr>
  </w:style>
  <w:style w:type="table" w:styleId="TableGrid">
    <w:name w:val="Table Grid"/>
    <w:basedOn w:val="TableNormal"/>
    <w:uiPriority w:val="59"/>
    <w:rsid w:val="0056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Paragraph Char,Main numbered paragraph Char"/>
    <w:basedOn w:val="DefaultParagraphFont"/>
    <w:link w:val="ListParagraph"/>
    <w:uiPriority w:val="34"/>
    <w:rsid w:val="00CB399F"/>
  </w:style>
  <w:style w:type="paragraph" w:customStyle="1" w:styleId="Tableheading">
    <w:name w:val="Table heading"/>
    <w:basedOn w:val="Normal"/>
    <w:qFormat/>
    <w:rsid w:val="00CB399F"/>
    <w:pPr>
      <w:spacing w:before="40" w:after="40"/>
      <w:jc w:val="center"/>
    </w:pPr>
    <w:rPr>
      <w:rFonts w:cs="Times New Roman"/>
      <w:b/>
      <w:i/>
      <w:sz w:val="20"/>
      <w:szCs w:val="20"/>
    </w:rPr>
  </w:style>
  <w:style w:type="paragraph" w:customStyle="1" w:styleId="Attachmenttitle">
    <w:name w:val="Attachment title"/>
    <w:basedOn w:val="Normal"/>
    <w:qFormat/>
    <w:rsid w:val="00CB399F"/>
    <w:pPr>
      <w:spacing w:after="240"/>
    </w:pPr>
    <w:rPr>
      <w:rFonts w:eastAsia="Times New Roman" w:cs="Times New Roman"/>
      <w:b/>
      <w:spacing w:val="4"/>
      <w:szCs w:val="24"/>
    </w:rPr>
  </w:style>
  <w:style w:type="paragraph" w:customStyle="1" w:styleId="MainParanoChapter">
    <w:name w:val="Main Para no Chapter #"/>
    <w:basedOn w:val="Normal"/>
    <w:link w:val="MainParanoChapterChar"/>
    <w:rsid w:val="002F4FFB"/>
    <w:pPr>
      <w:numPr>
        <w:numId w:val="6"/>
      </w:numPr>
      <w:spacing w:after="240"/>
      <w:jc w:val="both"/>
    </w:pPr>
    <w:rPr>
      <w:rFonts w:eastAsia="Times New Roman" w:cs="Times New Roman"/>
      <w:szCs w:val="24"/>
    </w:rPr>
  </w:style>
  <w:style w:type="paragraph" w:customStyle="1" w:styleId="PDSAnnexHeading">
    <w:name w:val="PDS Annex Heading"/>
    <w:next w:val="Normal"/>
    <w:rsid w:val="001A31D9"/>
    <w:pPr>
      <w:keepNext/>
      <w:spacing w:after="120" w:line="240" w:lineRule="auto"/>
      <w:jc w:val="center"/>
    </w:pPr>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DD5AF2"/>
    <w:pPr>
      <w:ind w:left="660"/>
    </w:pPr>
    <w:rPr>
      <w:sz w:val="20"/>
      <w:szCs w:val="20"/>
    </w:rPr>
  </w:style>
  <w:style w:type="paragraph" w:styleId="TOC5">
    <w:name w:val="toc 5"/>
    <w:basedOn w:val="Normal"/>
    <w:next w:val="Normal"/>
    <w:autoRedefine/>
    <w:uiPriority w:val="39"/>
    <w:unhideWhenUsed/>
    <w:rsid w:val="00DD5AF2"/>
    <w:pPr>
      <w:ind w:left="880"/>
    </w:pPr>
    <w:rPr>
      <w:sz w:val="20"/>
      <w:szCs w:val="20"/>
    </w:rPr>
  </w:style>
  <w:style w:type="paragraph" w:styleId="TOC6">
    <w:name w:val="toc 6"/>
    <w:basedOn w:val="Normal"/>
    <w:next w:val="Normal"/>
    <w:autoRedefine/>
    <w:uiPriority w:val="39"/>
    <w:unhideWhenUsed/>
    <w:rsid w:val="00DD5AF2"/>
    <w:pPr>
      <w:ind w:left="1100"/>
    </w:pPr>
    <w:rPr>
      <w:sz w:val="20"/>
      <w:szCs w:val="20"/>
    </w:rPr>
  </w:style>
  <w:style w:type="paragraph" w:styleId="TOC7">
    <w:name w:val="toc 7"/>
    <w:basedOn w:val="Normal"/>
    <w:next w:val="Normal"/>
    <w:autoRedefine/>
    <w:uiPriority w:val="39"/>
    <w:unhideWhenUsed/>
    <w:rsid w:val="00DD5AF2"/>
    <w:pPr>
      <w:ind w:left="1320"/>
    </w:pPr>
    <w:rPr>
      <w:sz w:val="20"/>
      <w:szCs w:val="20"/>
    </w:rPr>
  </w:style>
  <w:style w:type="paragraph" w:styleId="TOC8">
    <w:name w:val="toc 8"/>
    <w:basedOn w:val="Normal"/>
    <w:next w:val="Normal"/>
    <w:autoRedefine/>
    <w:uiPriority w:val="39"/>
    <w:unhideWhenUsed/>
    <w:rsid w:val="00DD5AF2"/>
    <w:pPr>
      <w:ind w:left="1540"/>
    </w:pPr>
    <w:rPr>
      <w:sz w:val="20"/>
      <w:szCs w:val="20"/>
    </w:rPr>
  </w:style>
  <w:style w:type="paragraph" w:styleId="TOC9">
    <w:name w:val="toc 9"/>
    <w:basedOn w:val="Normal"/>
    <w:next w:val="Normal"/>
    <w:autoRedefine/>
    <w:uiPriority w:val="39"/>
    <w:unhideWhenUsed/>
    <w:rsid w:val="00DD5AF2"/>
    <w:pPr>
      <w:ind w:left="1760"/>
    </w:pPr>
    <w:rPr>
      <w:sz w:val="20"/>
      <w:szCs w:val="20"/>
    </w:rPr>
  </w:style>
  <w:style w:type="character" w:styleId="FootnoteReference">
    <w:name w:val="footnote reference"/>
    <w:aliases w:val="ftref,16 Point,Superscript 6 Point, BVI fnr, Car1,BVI fnr,Car1,Footnote Reference Number,Footnote Reference1,heading1,Ref,de nota al pie,Char Char Char Char Car Char,Footnote,FNRefe Char Char Char,BVI fnr Char Char Char,Ref Char,fr"/>
    <w:basedOn w:val="DefaultParagraphFont"/>
    <w:link w:val="FNRefeCharChar"/>
    <w:uiPriority w:val="99"/>
    <w:unhideWhenUsed/>
    <w:rsid w:val="00047E9D"/>
    <w:rPr>
      <w:vertAlign w:val="superscript"/>
    </w:rPr>
  </w:style>
  <w:style w:type="paragraph" w:customStyle="1" w:styleId="HEADINGP4RCHAPTER">
    <w:name w:val="HEADING P4R CHAPTER"/>
    <w:basedOn w:val="Normal"/>
    <w:qFormat/>
    <w:rsid w:val="004A08DC"/>
    <w:pPr>
      <w:spacing w:before="240" w:after="240"/>
      <w:jc w:val="center"/>
      <w:outlineLvl w:val="0"/>
    </w:pPr>
    <w:rPr>
      <w:rFonts w:cs="Times New Roman"/>
      <w:b/>
      <w:smallCaps/>
      <w:sz w:val="28"/>
      <w:szCs w:val="24"/>
    </w:rPr>
  </w:style>
  <w:style w:type="paragraph" w:customStyle="1" w:styleId="MainParanoChapter-Ch3">
    <w:name w:val="Main Para no Chapter #-Ch 3"/>
    <w:basedOn w:val="Normal"/>
    <w:qFormat/>
    <w:rsid w:val="004A08DC"/>
    <w:pPr>
      <w:numPr>
        <w:numId w:val="8"/>
      </w:numPr>
      <w:spacing w:before="240"/>
      <w:jc w:val="both"/>
    </w:pPr>
    <w:rPr>
      <w:rFonts w:eastAsia="Times New Roman" w:cs="Times New Roman"/>
      <w:szCs w:val="24"/>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E269A0"/>
    <w:pPr>
      <w:spacing w:after="160" w:line="240" w:lineRule="exact"/>
    </w:pPr>
    <w:rPr>
      <w:vertAlign w:val="superscript"/>
    </w:rPr>
  </w:style>
  <w:style w:type="paragraph" w:styleId="Caption">
    <w:name w:val="caption"/>
    <w:aliases w:val="Table/Figure Heading,Caption- Figure,Caption- Figure1,Caption- Figure2,AGT ESIA"/>
    <w:basedOn w:val="Normal"/>
    <w:next w:val="Normal"/>
    <w:link w:val="CaptionChar"/>
    <w:qFormat/>
    <w:rsid w:val="00E269A0"/>
    <w:rPr>
      <w:rFonts w:eastAsia="Times New Roman" w:cs="Times New Roman"/>
      <w:b/>
      <w:bCs/>
      <w:sz w:val="20"/>
      <w:szCs w:val="20"/>
    </w:rPr>
  </w:style>
  <w:style w:type="character" w:customStyle="1" w:styleId="CaptionChar">
    <w:name w:val="Caption Char"/>
    <w:aliases w:val="Table/Figure Heading Char,Caption- Figure Char,Caption- Figure1 Char,Caption- Figure2 Char,AGT ESIA Char"/>
    <w:basedOn w:val="DefaultParagraphFont"/>
    <w:link w:val="Caption"/>
    <w:rsid w:val="00E269A0"/>
    <w:rPr>
      <w:rFonts w:ascii="Times New Roman" w:eastAsia="Times New Roman" w:hAnsi="Times New Roman" w:cs="Times New Roman"/>
      <w:b/>
      <w:bCs/>
      <w:sz w:val="20"/>
      <w:szCs w:val="20"/>
    </w:rPr>
  </w:style>
  <w:style w:type="table" w:styleId="LightShading-Accent2">
    <w:name w:val="Light Shading Accent 2"/>
    <w:basedOn w:val="TableNormal"/>
    <w:rsid w:val="001715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TMLPreformatted">
    <w:name w:val="HTML Preformatted"/>
    <w:basedOn w:val="Normal"/>
    <w:link w:val="HTMLPreformattedChar"/>
    <w:uiPriority w:val="99"/>
    <w:unhideWhenUsed/>
    <w:rsid w:val="00E3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7F26"/>
    <w:rPr>
      <w:rFonts w:ascii="Courier New" w:eastAsia="Times New Roman" w:hAnsi="Courier New" w:cs="Courier New"/>
      <w:sz w:val="20"/>
      <w:szCs w:val="20"/>
    </w:rPr>
  </w:style>
  <w:style w:type="paragraph" w:customStyle="1" w:styleId="MainParawithChapter">
    <w:name w:val="Main Para with Chapter#"/>
    <w:basedOn w:val="Normal"/>
    <w:link w:val="MainParawithChapterChar"/>
    <w:rsid w:val="000F60EB"/>
    <w:pPr>
      <w:numPr>
        <w:ilvl w:val="2"/>
        <w:numId w:val="11"/>
      </w:numPr>
      <w:tabs>
        <w:tab w:val="clear" w:pos="1440"/>
      </w:tabs>
      <w:spacing w:after="240"/>
      <w:ind w:left="0" w:firstLine="0"/>
      <w:outlineLvl w:val="1"/>
    </w:pPr>
    <w:rPr>
      <w:rFonts w:eastAsia="Times New Roman" w:cs="Times New Roman"/>
      <w:szCs w:val="24"/>
    </w:rPr>
  </w:style>
  <w:style w:type="paragraph" w:customStyle="1" w:styleId="PDSHeading1">
    <w:name w:val="PDSHeading1"/>
    <w:next w:val="Normal"/>
    <w:rsid w:val="00A51142"/>
    <w:pPr>
      <w:spacing w:after="0" w:line="240" w:lineRule="auto"/>
    </w:pPr>
    <w:rPr>
      <w:rFonts w:ascii="Times New Roman" w:eastAsia="Times New Roman" w:hAnsi="Times New Roman" w:cs="Times New Roman"/>
      <w:b/>
      <w:sz w:val="24"/>
      <w:szCs w:val="20"/>
    </w:rPr>
  </w:style>
  <w:style w:type="table" w:customStyle="1" w:styleId="LightShading1">
    <w:name w:val="Light Shading1"/>
    <w:basedOn w:val="TableNormal"/>
    <w:uiPriority w:val="60"/>
    <w:rsid w:val="008C6A20"/>
    <w:pPr>
      <w:spacing w:beforeAutospacing="1"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AB3703"/>
  </w:style>
  <w:style w:type="table" w:styleId="LightShading">
    <w:name w:val="Light Shading"/>
    <w:basedOn w:val="TableNormal"/>
    <w:uiPriority w:val="60"/>
    <w:rsid w:val="00291BC2"/>
    <w:pPr>
      <w:spacing w:beforeAutospacing="1"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95515C"/>
    <w:pPr>
      <w:spacing w:beforeLines="1" w:afterLines="1"/>
    </w:pPr>
    <w:rPr>
      <w:rFonts w:ascii="Times" w:eastAsiaTheme="minorHAnsi" w:hAnsi="Times" w:cs="Times New Roman"/>
      <w:sz w:val="20"/>
      <w:szCs w:val="20"/>
      <w:lang w:val="da-DK" w:eastAsia="da-DK"/>
    </w:rPr>
  </w:style>
  <w:style w:type="character" w:customStyle="1" w:styleId="MarkeringsbobletekstTegn1">
    <w:name w:val="Markeringsbobletekst Tegn"/>
    <w:basedOn w:val="DefaultParagraphFont"/>
    <w:uiPriority w:val="99"/>
    <w:semiHidden/>
    <w:rsid w:val="001B4D5A"/>
    <w:rPr>
      <w:rFonts w:ascii="Lucida Grande" w:hAnsi="Lucida Grande"/>
      <w:sz w:val="18"/>
      <w:szCs w:val="18"/>
    </w:rPr>
  </w:style>
  <w:style w:type="paragraph" w:styleId="Revision">
    <w:name w:val="Revision"/>
    <w:hidden/>
    <w:rsid w:val="001B4D5A"/>
    <w:pPr>
      <w:spacing w:after="0" w:line="240" w:lineRule="auto"/>
    </w:pPr>
    <w:rPr>
      <w:rFonts w:ascii="Times New Roman" w:eastAsia="Calibri" w:hAnsi="Times New Roman" w:cs="Times New Roman"/>
      <w:sz w:val="24"/>
    </w:rPr>
  </w:style>
  <w:style w:type="character" w:styleId="Emphasis">
    <w:name w:val="Emphasis"/>
    <w:basedOn w:val="DefaultParagraphFont"/>
    <w:uiPriority w:val="20"/>
    <w:qFormat/>
    <w:rsid w:val="001B4D5A"/>
    <w:rPr>
      <w:i/>
      <w:iCs/>
    </w:rPr>
  </w:style>
  <w:style w:type="paragraph" w:customStyle="1" w:styleId="Ingenafstand1">
    <w:name w:val="Ingen afstand1"/>
    <w:basedOn w:val="Normal"/>
    <w:link w:val="IngenafstandTegn"/>
    <w:uiPriority w:val="1"/>
    <w:qFormat/>
    <w:rsid w:val="001B4D5A"/>
    <w:rPr>
      <w:rFonts w:ascii="Cambria" w:eastAsia="Times New Roman" w:hAnsi="Cambria" w:cs="Times New Roman"/>
      <w:sz w:val="22"/>
    </w:rPr>
  </w:style>
  <w:style w:type="character" w:customStyle="1" w:styleId="IngenafstandTegn">
    <w:name w:val="Ingen afstand Tegn"/>
    <w:basedOn w:val="DefaultParagraphFont"/>
    <w:link w:val="Ingenafstand1"/>
    <w:uiPriority w:val="1"/>
    <w:locked/>
    <w:rsid w:val="001B4D5A"/>
    <w:rPr>
      <w:rFonts w:ascii="Cambria" w:eastAsia="Times New Roman" w:hAnsi="Cambria" w:cs="Times New Roman"/>
    </w:rPr>
  </w:style>
  <w:style w:type="paragraph" w:customStyle="1" w:styleId="MainParanoChapter-Ch1">
    <w:name w:val="Main Para no Chapter #-Ch 1"/>
    <w:basedOn w:val="Normal"/>
    <w:qFormat/>
    <w:rsid w:val="001B4D5A"/>
    <w:pPr>
      <w:numPr>
        <w:numId w:val="36"/>
      </w:numPr>
      <w:spacing w:before="240"/>
      <w:jc w:val="both"/>
    </w:pPr>
    <w:rPr>
      <w:rFonts w:eastAsia="Times New Roman" w:cs="Times New Roman"/>
      <w:szCs w:val="24"/>
    </w:rPr>
  </w:style>
  <w:style w:type="paragraph" w:customStyle="1" w:styleId="Heading1a">
    <w:name w:val="Heading 1a"/>
    <w:basedOn w:val="Normal"/>
    <w:next w:val="Normal"/>
    <w:rsid w:val="001B4D5A"/>
    <w:pPr>
      <w:keepNext/>
      <w:keepLines/>
      <w:spacing w:before="1440" w:after="240"/>
      <w:jc w:val="center"/>
      <w:outlineLvl w:val="0"/>
    </w:pPr>
    <w:rPr>
      <w:rFonts w:eastAsia="Times New Roman" w:cs="Times New Roman"/>
      <w:b/>
      <w:caps/>
      <w:sz w:val="32"/>
      <w:szCs w:val="24"/>
    </w:rPr>
  </w:style>
  <w:style w:type="paragraph" w:customStyle="1" w:styleId="Sub-Para1underX">
    <w:name w:val="Sub-Para 1 under X."/>
    <w:basedOn w:val="Normal"/>
    <w:rsid w:val="001B4D5A"/>
    <w:pPr>
      <w:spacing w:after="240"/>
      <w:ind w:left="1440" w:hanging="720"/>
      <w:outlineLvl w:val="2"/>
    </w:pPr>
    <w:rPr>
      <w:rFonts w:eastAsia="Times New Roman" w:cs="Times New Roman"/>
      <w:szCs w:val="24"/>
    </w:rPr>
  </w:style>
  <w:style w:type="paragraph" w:customStyle="1" w:styleId="Sub-Para2underX">
    <w:name w:val="Sub-Para 2 under X."/>
    <w:basedOn w:val="Normal"/>
    <w:rsid w:val="001B4D5A"/>
    <w:pPr>
      <w:spacing w:after="240"/>
      <w:ind w:left="2160" w:hanging="720"/>
      <w:outlineLvl w:val="3"/>
    </w:pPr>
    <w:rPr>
      <w:rFonts w:eastAsia="Times New Roman" w:cs="Times New Roman"/>
      <w:szCs w:val="24"/>
    </w:rPr>
  </w:style>
  <w:style w:type="paragraph" w:customStyle="1" w:styleId="Sub-Para3underX">
    <w:name w:val="Sub-Para 3 under X."/>
    <w:basedOn w:val="Normal"/>
    <w:rsid w:val="001B4D5A"/>
    <w:pPr>
      <w:spacing w:after="240"/>
      <w:ind w:left="2880" w:hanging="720"/>
      <w:outlineLvl w:val="4"/>
    </w:pPr>
    <w:rPr>
      <w:rFonts w:eastAsia="Times New Roman" w:cs="Times New Roman"/>
      <w:szCs w:val="24"/>
    </w:rPr>
  </w:style>
  <w:style w:type="paragraph" w:customStyle="1" w:styleId="Sub-Para4underX">
    <w:name w:val="Sub-Para 4 under X."/>
    <w:basedOn w:val="Normal"/>
    <w:rsid w:val="001B4D5A"/>
    <w:pPr>
      <w:spacing w:after="240"/>
      <w:ind w:left="3600" w:hanging="720"/>
      <w:outlineLvl w:val="5"/>
    </w:pPr>
    <w:rPr>
      <w:rFonts w:eastAsia="Times New Roman" w:cs="Times New Roman"/>
      <w:szCs w:val="24"/>
    </w:rPr>
  </w:style>
  <w:style w:type="character" w:customStyle="1" w:styleId="MainParanoChapterChar">
    <w:name w:val="Main Para no Chapter # Char"/>
    <w:basedOn w:val="DefaultParagraphFont"/>
    <w:link w:val="MainParanoChapter"/>
    <w:rsid w:val="001B4D5A"/>
    <w:rPr>
      <w:rFonts w:ascii="Times New Roman" w:eastAsia="Times New Roman" w:hAnsi="Times New Roman" w:cs="Times New Roman"/>
      <w:sz w:val="24"/>
      <w:szCs w:val="24"/>
    </w:rPr>
  </w:style>
  <w:style w:type="paragraph" w:styleId="BodyText">
    <w:name w:val="Body Text"/>
    <w:basedOn w:val="Normal"/>
    <w:link w:val="BodyTextChar"/>
    <w:uiPriority w:val="99"/>
    <w:rsid w:val="001B4D5A"/>
    <w:pPr>
      <w:keepNext/>
      <w:tabs>
        <w:tab w:val="left" w:pos="2070"/>
      </w:tabs>
    </w:pPr>
    <w:rPr>
      <w:rFonts w:ascii="Arial" w:eastAsia="Times New Roman" w:hAnsi="Arial" w:cs="Arial"/>
      <w:sz w:val="22"/>
    </w:rPr>
  </w:style>
  <w:style w:type="character" w:customStyle="1" w:styleId="BodyTextChar">
    <w:name w:val="Body Text Char"/>
    <w:basedOn w:val="DefaultParagraphFont"/>
    <w:link w:val="BodyText"/>
    <w:uiPriority w:val="99"/>
    <w:rsid w:val="001B4D5A"/>
    <w:rPr>
      <w:rFonts w:ascii="Arial" w:eastAsia="Times New Roman" w:hAnsi="Arial" w:cs="Arial"/>
    </w:rPr>
  </w:style>
  <w:style w:type="paragraph" w:styleId="BodyTextIndent3">
    <w:name w:val="Body Text Indent 3"/>
    <w:basedOn w:val="Normal"/>
    <w:link w:val="BodyTextIndent3Char"/>
    <w:uiPriority w:val="99"/>
    <w:unhideWhenUsed/>
    <w:rsid w:val="001B4D5A"/>
    <w:pPr>
      <w:spacing w:after="120" w:line="276" w:lineRule="auto"/>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1B4D5A"/>
    <w:rPr>
      <w:rFonts w:eastAsiaTheme="minorHAnsi"/>
      <w:sz w:val="16"/>
      <w:szCs w:val="16"/>
    </w:rPr>
  </w:style>
  <w:style w:type="paragraph" w:styleId="BodyText3">
    <w:name w:val="Body Text 3"/>
    <w:basedOn w:val="Normal"/>
    <w:link w:val="BodyText3Char"/>
    <w:rsid w:val="001B4D5A"/>
    <w:pPr>
      <w:widowControl w:val="0"/>
      <w:spacing w:after="120"/>
    </w:pPr>
    <w:rPr>
      <w:rFonts w:ascii="Courier" w:eastAsia="Times New Roman" w:hAnsi="Courier" w:cs="Times New Roman"/>
      <w:snapToGrid w:val="0"/>
      <w:sz w:val="16"/>
      <w:szCs w:val="16"/>
      <w:lang w:val="en-GB"/>
    </w:rPr>
  </w:style>
  <w:style w:type="character" w:customStyle="1" w:styleId="BodyText3Char">
    <w:name w:val="Body Text 3 Char"/>
    <w:basedOn w:val="DefaultParagraphFont"/>
    <w:link w:val="BodyText3"/>
    <w:rsid w:val="001B4D5A"/>
    <w:rPr>
      <w:rFonts w:ascii="Courier" w:eastAsia="Times New Roman" w:hAnsi="Courier" w:cs="Times New Roman"/>
      <w:snapToGrid w:val="0"/>
      <w:sz w:val="16"/>
      <w:szCs w:val="16"/>
      <w:lang w:val="en-GB"/>
    </w:rPr>
  </w:style>
  <w:style w:type="paragraph" w:customStyle="1" w:styleId="StyleListBullet3After6ptLinespacingsingle">
    <w:name w:val="Style List Bullet 3 + After:  6 pt Line spacing:  single"/>
    <w:basedOn w:val="Normal"/>
    <w:rsid w:val="001B4D5A"/>
    <w:pPr>
      <w:widowControl w:val="0"/>
      <w:numPr>
        <w:numId w:val="37"/>
      </w:numPr>
      <w:adjustRightInd w:val="0"/>
      <w:spacing w:line="360" w:lineRule="atLeast"/>
      <w:jc w:val="both"/>
      <w:textAlignment w:val="baseline"/>
    </w:pPr>
    <w:rPr>
      <w:rFonts w:eastAsia="Times New Roman" w:cs="Times New Roman"/>
      <w:sz w:val="20"/>
      <w:szCs w:val="20"/>
      <w:lang w:val="en-GB" w:eastAsia="ko-KR"/>
    </w:rPr>
  </w:style>
  <w:style w:type="paragraph" w:customStyle="1" w:styleId="xl24">
    <w:name w:val="xl24"/>
    <w:basedOn w:val="Normal"/>
    <w:rsid w:val="001B4D5A"/>
    <w:pPr>
      <w:spacing w:before="100" w:after="100"/>
    </w:pPr>
    <w:rPr>
      <w:rFonts w:ascii="Arial" w:eastAsia="Arial Unicode MS" w:hAnsi="Arial" w:cs="Times New Roman"/>
      <w:sz w:val="18"/>
      <w:szCs w:val="20"/>
      <w:lang w:val="en-GB"/>
    </w:rPr>
  </w:style>
  <w:style w:type="paragraph" w:customStyle="1" w:styleId="Default">
    <w:name w:val="Default"/>
    <w:rsid w:val="001B4D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Index1">
    <w:name w:val="index 1"/>
    <w:basedOn w:val="Normal"/>
    <w:next w:val="Normal"/>
    <w:autoRedefine/>
    <w:uiPriority w:val="99"/>
    <w:unhideWhenUsed/>
    <w:rsid w:val="001B4D5A"/>
    <w:pPr>
      <w:ind w:left="220" w:hanging="220"/>
    </w:pPr>
    <w:rPr>
      <w:rFonts w:asciiTheme="minorHAnsi" w:eastAsiaTheme="minorHAnsi" w:hAnsiTheme="minorHAnsi"/>
      <w:sz w:val="22"/>
    </w:rPr>
  </w:style>
  <w:style w:type="paragraph" w:styleId="IndexHeading">
    <w:name w:val="index heading"/>
    <w:basedOn w:val="Normal"/>
    <w:next w:val="Index1"/>
    <w:rsid w:val="001B4D5A"/>
    <w:rPr>
      <w:rFonts w:eastAsia="Times New Roman" w:cs="Times New Roman"/>
      <w:szCs w:val="24"/>
      <w:lang w:val="en-GB"/>
    </w:rPr>
  </w:style>
  <w:style w:type="table" w:customStyle="1" w:styleId="TableGrid1">
    <w:name w:val="Table Grid1"/>
    <w:basedOn w:val="TableNormal"/>
    <w:next w:val="TableGrid"/>
    <w:uiPriority w:val="59"/>
    <w:rsid w:val="001B4D5A"/>
    <w:pPr>
      <w:spacing w:beforeAutospacing="1"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B4D5A"/>
    <w:pPr>
      <w:numPr>
        <w:numId w:val="38"/>
      </w:numPr>
      <w:spacing w:after="200" w:line="276" w:lineRule="auto"/>
      <w:contextualSpacing/>
    </w:pPr>
    <w:rPr>
      <w:rFonts w:asciiTheme="minorHAnsi" w:hAnsiTheme="minorHAnsi"/>
      <w:sz w:val="22"/>
    </w:rPr>
  </w:style>
  <w:style w:type="paragraph" w:styleId="EndnoteText">
    <w:name w:val="endnote text"/>
    <w:basedOn w:val="Normal"/>
    <w:link w:val="EndnoteTextChar"/>
    <w:unhideWhenUsed/>
    <w:rsid w:val="001B4D5A"/>
    <w:rPr>
      <w:rFonts w:asciiTheme="minorHAnsi" w:hAnsiTheme="minorHAnsi"/>
      <w:sz w:val="20"/>
      <w:szCs w:val="20"/>
    </w:rPr>
  </w:style>
  <w:style w:type="character" w:customStyle="1" w:styleId="EndnoteTextChar">
    <w:name w:val="Endnote Text Char"/>
    <w:basedOn w:val="DefaultParagraphFont"/>
    <w:link w:val="EndnoteText"/>
    <w:rsid w:val="001B4D5A"/>
    <w:rPr>
      <w:sz w:val="20"/>
      <w:szCs w:val="20"/>
    </w:rPr>
  </w:style>
  <w:style w:type="character" w:styleId="EndnoteReference">
    <w:name w:val="endnote reference"/>
    <w:basedOn w:val="DefaultParagraphFont"/>
    <w:unhideWhenUsed/>
    <w:rsid w:val="001B4D5A"/>
    <w:rPr>
      <w:vertAlign w:val="superscript"/>
    </w:rPr>
  </w:style>
  <w:style w:type="paragraph" w:styleId="BodyText2">
    <w:name w:val="Body Text 2"/>
    <w:basedOn w:val="Normal"/>
    <w:link w:val="BodyText2Char"/>
    <w:unhideWhenUsed/>
    <w:rsid w:val="001B4D5A"/>
    <w:pPr>
      <w:spacing w:after="120" w:line="480" w:lineRule="auto"/>
    </w:pPr>
    <w:rPr>
      <w:rFonts w:asciiTheme="minorHAnsi" w:hAnsiTheme="minorHAnsi"/>
      <w:sz w:val="22"/>
    </w:rPr>
  </w:style>
  <w:style w:type="character" w:customStyle="1" w:styleId="BodyText2Char">
    <w:name w:val="Body Text 2 Char"/>
    <w:basedOn w:val="DefaultParagraphFont"/>
    <w:link w:val="BodyText2"/>
    <w:rsid w:val="001B4D5A"/>
  </w:style>
  <w:style w:type="paragraph" w:styleId="ListBullet2">
    <w:name w:val="List Bullet 2"/>
    <w:basedOn w:val="Normal"/>
    <w:rsid w:val="001B4D5A"/>
    <w:pPr>
      <w:numPr>
        <w:numId w:val="39"/>
      </w:numPr>
      <w:contextualSpacing/>
    </w:pPr>
    <w:rPr>
      <w:rFonts w:eastAsia="MS Mincho" w:cs="Times New Roman"/>
      <w:szCs w:val="24"/>
      <w:lang w:eastAsia="ja-JP"/>
    </w:rPr>
  </w:style>
  <w:style w:type="paragraph" w:styleId="BodyTextIndent">
    <w:name w:val="Body Text Indent"/>
    <w:basedOn w:val="Normal"/>
    <w:link w:val="BodyTextIndentChar"/>
    <w:uiPriority w:val="99"/>
    <w:unhideWhenUsed/>
    <w:rsid w:val="001B4D5A"/>
    <w:pPr>
      <w:spacing w:after="120" w:line="276" w:lineRule="auto"/>
      <w:ind w:left="360"/>
    </w:pPr>
    <w:rPr>
      <w:rFonts w:asciiTheme="minorHAnsi" w:hAnsiTheme="minorHAnsi"/>
      <w:sz w:val="22"/>
    </w:rPr>
  </w:style>
  <w:style w:type="character" w:customStyle="1" w:styleId="BodyTextIndentChar">
    <w:name w:val="Body Text Indent Char"/>
    <w:basedOn w:val="DefaultParagraphFont"/>
    <w:link w:val="BodyTextIndent"/>
    <w:uiPriority w:val="99"/>
    <w:rsid w:val="001B4D5A"/>
  </w:style>
  <w:style w:type="table" w:customStyle="1" w:styleId="TableGrid11">
    <w:name w:val="Table Grid11"/>
    <w:basedOn w:val="TableNormal"/>
    <w:next w:val="TableGrid"/>
    <w:uiPriority w:val="59"/>
    <w:rsid w:val="001B4D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4D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1">
    <w:name w:val="Typografi1"/>
    <w:basedOn w:val="FootnoteText"/>
    <w:autoRedefine/>
    <w:qFormat/>
    <w:rsid w:val="001B4D5A"/>
    <w:rPr>
      <w:rFonts w:eastAsiaTheme="minorHAnsi"/>
      <w:sz w:val="18"/>
    </w:rPr>
  </w:style>
  <w:style w:type="paragraph" w:customStyle="1" w:styleId="Sub-Para1underXY">
    <w:name w:val="Sub-Para 1 under X.Y"/>
    <w:basedOn w:val="Normal"/>
    <w:rsid w:val="001B4D5A"/>
    <w:pPr>
      <w:spacing w:after="240"/>
      <w:ind w:left="1440" w:hanging="720"/>
      <w:outlineLvl w:val="2"/>
    </w:pPr>
    <w:rPr>
      <w:rFonts w:eastAsia="Times New Roman" w:cs="Times New Roman"/>
      <w:szCs w:val="24"/>
    </w:rPr>
  </w:style>
  <w:style w:type="paragraph" w:customStyle="1" w:styleId="Sub-Para2underXY">
    <w:name w:val="Sub-Para 2 under X.Y"/>
    <w:basedOn w:val="Normal"/>
    <w:rsid w:val="001B4D5A"/>
    <w:pPr>
      <w:spacing w:after="240"/>
      <w:ind w:left="2160" w:hanging="720"/>
      <w:outlineLvl w:val="3"/>
    </w:pPr>
    <w:rPr>
      <w:rFonts w:eastAsia="Times New Roman" w:cs="Times New Roman"/>
      <w:szCs w:val="24"/>
    </w:rPr>
  </w:style>
  <w:style w:type="paragraph" w:customStyle="1" w:styleId="Sub-Para3underXY">
    <w:name w:val="Sub-Para 3 under X.Y"/>
    <w:basedOn w:val="Normal"/>
    <w:rsid w:val="001B4D5A"/>
    <w:pPr>
      <w:spacing w:after="240"/>
      <w:ind w:left="2880" w:hanging="720"/>
      <w:outlineLvl w:val="4"/>
    </w:pPr>
    <w:rPr>
      <w:rFonts w:eastAsia="Times New Roman" w:cs="Times New Roman"/>
      <w:szCs w:val="24"/>
    </w:rPr>
  </w:style>
  <w:style w:type="paragraph" w:customStyle="1" w:styleId="Sub-Para4underXY">
    <w:name w:val="Sub-Para 4 under X.Y"/>
    <w:basedOn w:val="Normal"/>
    <w:rsid w:val="001B4D5A"/>
    <w:pPr>
      <w:spacing w:after="240"/>
      <w:ind w:left="3600" w:hanging="720"/>
      <w:outlineLvl w:val="5"/>
    </w:pPr>
    <w:rPr>
      <w:rFonts w:eastAsia="Times New Roman" w:cs="Times New Roman"/>
      <w:szCs w:val="24"/>
    </w:rPr>
  </w:style>
  <w:style w:type="paragraph" w:customStyle="1" w:styleId="Bullet">
    <w:name w:val="Bullet"/>
    <w:basedOn w:val="Normal"/>
    <w:rsid w:val="001B4D5A"/>
    <w:pPr>
      <w:numPr>
        <w:numId w:val="40"/>
      </w:numPr>
      <w:tabs>
        <w:tab w:val="clear" w:pos="1440"/>
      </w:tabs>
    </w:pPr>
    <w:rPr>
      <w:rFonts w:eastAsia="Times New Roman" w:cs="Times New Roman"/>
      <w:szCs w:val="24"/>
    </w:rPr>
  </w:style>
  <w:style w:type="character" w:styleId="FollowedHyperlink">
    <w:name w:val="FollowedHyperlink"/>
    <w:basedOn w:val="DefaultParagraphFont"/>
    <w:uiPriority w:val="99"/>
    <w:rsid w:val="001B4D5A"/>
    <w:rPr>
      <w:color w:val="800080"/>
      <w:u w:val="single"/>
    </w:rPr>
  </w:style>
  <w:style w:type="paragraph" w:customStyle="1" w:styleId="BankNormal">
    <w:name w:val="BankNormal"/>
    <w:basedOn w:val="Normal"/>
    <w:link w:val="BankNormalChar"/>
    <w:rsid w:val="001B4D5A"/>
    <w:pPr>
      <w:spacing w:after="240"/>
    </w:pPr>
    <w:rPr>
      <w:rFonts w:eastAsia="Times New Roman" w:cs="Times New Roman"/>
      <w:szCs w:val="20"/>
    </w:rPr>
  </w:style>
  <w:style w:type="character" w:customStyle="1" w:styleId="BankNormalChar">
    <w:name w:val="BankNormal Char"/>
    <w:basedOn w:val="DefaultParagraphFont"/>
    <w:link w:val="BankNormal"/>
    <w:rsid w:val="001B4D5A"/>
    <w:rPr>
      <w:rFonts w:ascii="Times New Roman" w:eastAsia="Times New Roman" w:hAnsi="Times New Roman" w:cs="Times New Roman"/>
      <w:sz w:val="24"/>
      <w:szCs w:val="20"/>
    </w:rPr>
  </w:style>
  <w:style w:type="character" w:styleId="HTMLCite">
    <w:name w:val="HTML Cite"/>
    <w:basedOn w:val="DefaultParagraphFont"/>
    <w:uiPriority w:val="99"/>
    <w:unhideWhenUsed/>
    <w:rsid w:val="001B4D5A"/>
    <w:rPr>
      <w:i/>
      <w:iCs/>
    </w:rPr>
  </w:style>
  <w:style w:type="character" w:customStyle="1" w:styleId="apple-style-span">
    <w:name w:val="apple-style-span"/>
    <w:basedOn w:val="DefaultParagraphFont"/>
    <w:rsid w:val="001B4D5A"/>
  </w:style>
  <w:style w:type="character" w:customStyle="1" w:styleId="apple-converted-space">
    <w:name w:val="apple-converted-space"/>
    <w:basedOn w:val="DefaultParagraphFont"/>
    <w:rsid w:val="001B4D5A"/>
  </w:style>
  <w:style w:type="character" w:styleId="PageNumber">
    <w:name w:val="page number"/>
    <w:basedOn w:val="DefaultParagraphFont"/>
    <w:rsid w:val="001B4D5A"/>
  </w:style>
  <w:style w:type="table" w:styleId="MediumGrid1-Accent4">
    <w:name w:val="Medium Grid 1 Accent 4"/>
    <w:basedOn w:val="TableNormal"/>
    <w:uiPriority w:val="67"/>
    <w:rsid w:val="001B4D5A"/>
    <w:pPr>
      <w:spacing w:after="0" w:line="240" w:lineRule="auto"/>
    </w:pPr>
    <w:rPr>
      <w:rFonts w:eastAsiaTheme="minorHAns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Text1">
    <w:name w:val="Body Text1"/>
    <w:basedOn w:val="Normal"/>
    <w:qFormat/>
    <w:rsid w:val="001B4D5A"/>
    <w:pPr>
      <w:numPr>
        <w:numId w:val="41"/>
      </w:numPr>
      <w:tabs>
        <w:tab w:val="left" w:pos="432"/>
      </w:tabs>
      <w:autoSpaceDE w:val="0"/>
      <w:autoSpaceDN w:val="0"/>
      <w:adjustRightInd w:val="0"/>
      <w:spacing w:after="120"/>
      <w:ind w:left="0" w:firstLine="0"/>
      <w:jc w:val="both"/>
    </w:pPr>
    <w:rPr>
      <w:rFonts w:cs="Times New Roman"/>
      <w:szCs w:val="24"/>
    </w:rPr>
  </w:style>
  <w:style w:type="paragraph" w:customStyle="1" w:styleId="Table">
    <w:name w:val="Table"/>
    <w:basedOn w:val="Normal"/>
    <w:uiPriority w:val="99"/>
    <w:rsid w:val="001B4D5A"/>
    <w:pPr>
      <w:keepNext/>
      <w:keepLines/>
      <w:tabs>
        <w:tab w:val="num" w:pos="1134"/>
        <w:tab w:val="right" w:pos="9072"/>
      </w:tabs>
      <w:spacing w:before="240" w:after="120"/>
      <w:ind w:left="1134" w:hanging="1134"/>
      <w:jc w:val="center"/>
    </w:pPr>
    <w:rPr>
      <w:rFonts w:ascii="Times New Roman Bold" w:eastAsia="Times New Roman" w:hAnsi="Times New Roman Bold" w:cs="Times New Roman"/>
      <w:b/>
      <w:smallCaps/>
      <w:noProof/>
      <w:color w:val="000000"/>
      <w:szCs w:val="24"/>
      <w:lang w:val="en-GB"/>
    </w:rPr>
  </w:style>
  <w:style w:type="character" w:styleId="Strong">
    <w:name w:val="Strong"/>
    <w:basedOn w:val="DefaultParagraphFont"/>
    <w:rsid w:val="001B4D5A"/>
    <w:rPr>
      <w:b/>
      <w:bCs/>
    </w:rPr>
  </w:style>
  <w:style w:type="table" w:customStyle="1" w:styleId="TableGrid3">
    <w:name w:val="Table Grid3"/>
    <w:basedOn w:val="TableNormal"/>
    <w:next w:val="TableGrid"/>
    <w:uiPriority w:val="59"/>
    <w:rsid w:val="00DE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68D4"/>
    <w:pPr>
      <w:spacing w:after="200" w:line="276" w:lineRule="auto"/>
    </w:pPr>
    <w:rPr>
      <w:rFonts w:asciiTheme="minorHAnsi" w:hAnsiTheme="minorHAnsi"/>
      <w:i/>
      <w:iCs/>
      <w:color w:val="000000" w:themeColor="text1"/>
      <w:sz w:val="22"/>
      <w:lang w:eastAsia="ja-JP"/>
    </w:rPr>
  </w:style>
  <w:style w:type="character" w:customStyle="1" w:styleId="QuoteChar">
    <w:name w:val="Quote Char"/>
    <w:basedOn w:val="DefaultParagraphFont"/>
    <w:link w:val="Quote"/>
    <w:uiPriority w:val="29"/>
    <w:rsid w:val="006F68D4"/>
    <w:rPr>
      <w:i/>
      <w:iCs/>
      <w:color w:val="000000" w:themeColor="text1"/>
      <w:lang w:eastAsia="ja-JP"/>
    </w:rPr>
  </w:style>
  <w:style w:type="paragraph" w:customStyle="1" w:styleId="font0">
    <w:name w:val="font0"/>
    <w:basedOn w:val="Normal"/>
    <w:rsid w:val="00B063F5"/>
    <w:pPr>
      <w:spacing w:beforeLines="1" w:afterLines="1"/>
    </w:pPr>
    <w:rPr>
      <w:rFonts w:ascii="Verdana" w:hAnsi="Verdana"/>
      <w:sz w:val="20"/>
      <w:szCs w:val="20"/>
      <w:lang w:val="da-DK" w:eastAsia="da-DK"/>
    </w:rPr>
  </w:style>
  <w:style w:type="paragraph" w:customStyle="1" w:styleId="font5">
    <w:name w:val="font5"/>
    <w:basedOn w:val="Normal"/>
    <w:rsid w:val="00B063F5"/>
    <w:pPr>
      <w:spacing w:beforeLines="1" w:afterLines="1"/>
    </w:pPr>
    <w:rPr>
      <w:rFonts w:ascii="Verdana" w:hAnsi="Verdana"/>
      <w:sz w:val="16"/>
      <w:szCs w:val="16"/>
      <w:lang w:val="da-DK" w:eastAsia="da-DK"/>
    </w:rPr>
  </w:style>
  <w:style w:type="paragraph" w:customStyle="1" w:styleId="xl25">
    <w:name w:val="xl25"/>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color w:val="000000"/>
      <w:sz w:val="22"/>
      <w:lang w:val="da-DK" w:eastAsia="da-DK"/>
    </w:rPr>
  </w:style>
  <w:style w:type="paragraph" w:customStyle="1" w:styleId="xl26">
    <w:name w:val="xl26"/>
    <w:basedOn w:val="Normal"/>
    <w:rsid w:val="00B063F5"/>
    <w:pPr>
      <w:pBdr>
        <w:top w:val="single" w:sz="4" w:space="0" w:color="auto"/>
        <w:left w:val="single" w:sz="4" w:space="0" w:color="auto"/>
        <w:bottom w:val="single" w:sz="4" w:space="0" w:color="auto"/>
        <w:right w:val="single" w:sz="4" w:space="0" w:color="auto"/>
      </w:pBdr>
      <w:spacing w:beforeLines="1" w:afterLines="1"/>
    </w:pPr>
    <w:rPr>
      <w:sz w:val="20"/>
      <w:szCs w:val="20"/>
      <w:lang w:val="da-DK" w:eastAsia="da-DK"/>
    </w:rPr>
  </w:style>
  <w:style w:type="paragraph" w:customStyle="1" w:styleId="xl27">
    <w:name w:val="xl27"/>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sz w:val="20"/>
      <w:szCs w:val="20"/>
      <w:lang w:val="da-DK" w:eastAsia="da-DK"/>
    </w:rPr>
  </w:style>
  <w:style w:type="paragraph" w:customStyle="1" w:styleId="xl28">
    <w:name w:val="xl28"/>
    <w:basedOn w:val="Normal"/>
    <w:rsid w:val="00B063F5"/>
    <w:pPr>
      <w:pBdr>
        <w:top w:val="single" w:sz="4" w:space="0" w:color="auto"/>
        <w:left w:val="single" w:sz="4" w:space="0" w:color="auto"/>
        <w:bottom w:val="single" w:sz="4" w:space="0" w:color="auto"/>
        <w:right w:val="single" w:sz="4" w:space="0" w:color="auto"/>
      </w:pBdr>
      <w:spacing w:beforeLines="1" w:afterLines="1"/>
    </w:pPr>
    <w:rPr>
      <w:sz w:val="20"/>
      <w:szCs w:val="20"/>
      <w:lang w:val="da-DK" w:eastAsia="da-DK"/>
    </w:rPr>
  </w:style>
  <w:style w:type="paragraph" w:customStyle="1" w:styleId="xl29">
    <w:name w:val="xl29"/>
    <w:basedOn w:val="Normal"/>
    <w:rsid w:val="00B063F5"/>
    <w:pPr>
      <w:pBdr>
        <w:top w:val="single" w:sz="4" w:space="0" w:color="auto"/>
        <w:left w:val="single" w:sz="4" w:space="0" w:color="auto"/>
        <w:bottom w:val="single" w:sz="4" w:space="0" w:color="auto"/>
        <w:right w:val="single" w:sz="4" w:space="0" w:color="auto"/>
      </w:pBdr>
      <w:spacing w:beforeLines="1" w:afterLines="1"/>
    </w:pPr>
    <w:rPr>
      <w:sz w:val="20"/>
      <w:szCs w:val="20"/>
      <w:lang w:val="da-DK" w:eastAsia="da-DK"/>
    </w:rPr>
  </w:style>
  <w:style w:type="paragraph" w:customStyle="1" w:styleId="xl30">
    <w:name w:val="xl30"/>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color w:val="000000"/>
      <w:szCs w:val="24"/>
      <w:lang w:val="da-DK" w:eastAsia="da-DK"/>
    </w:rPr>
  </w:style>
  <w:style w:type="paragraph" w:customStyle="1" w:styleId="xl31">
    <w:name w:val="xl31"/>
    <w:basedOn w:val="Normal"/>
    <w:rsid w:val="00B063F5"/>
    <w:pPr>
      <w:pBdr>
        <w:top w:val="single" w:sz="4" w:space="0" w:color="auto"/>
        <w:left w:val="single" w:sz="4" w:space="0" w:color="auto"/>
        <w:bottom w:val="single" w:sz="4" w:space="0" w:color="auto"/>
        <w:right w:val="single" w:sz="4" w:space="0" w:color="auto"/>
      </w:pBdr>
      <w:spacing w:beforeLines="1" w:afterLines="1"/>
    </w:pPr>
    <w:rPr>
      <w:i/>
      <w:iCs/>
      <w:color w:val="000000"/>
      <w:sz w:val="22"/>
      <w:lang w:val="da-DK" w:eastAsia="da-DK"/>
    </w:rPr>
  </w:style>
  <w:style w:type="paragraph" w:customStyle="1" w:styleId="xl32">
    <w:name w:val="xl32"/>
    <w:basedOn w:val="Normal"/>
    <w:rsid w:val="00B063F5"/>
    <w:pPr>
      <w:pBdr>
        <w:top w:val="single" w:sz="4" w:space="0" w:color="auto"/>
        <w:left w:val="single" w:sz="4" w:space="0" w:color="auto"/>
        <w:bottom w:val="single" w:sz="4" w:space="0" w:color="auto"/>
        <w:right w:val="single" w:sz="4" w:space="0" w:color="auto"/>
      </w:pBdr>
      <w:spacing w:beforeLines="1" w:afterLines="1"/>
    </w:pPr>
    <w:rPr>
      <w:b/>
      <w:bCs/>
      <w:color w:val="000000"/>
      <w:sz w:val="22"/>
      <w:lang w:val="da-DK" w:eastAsia="da-DK"/>
    </w:rPr>
  </w:style>
  <w:style w:type="paragraph" w:customStyle="1" w:styleId="xl33">
    <w:name w:val="xl33"/>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color w:val="000000"/>
      <w:sz w:val="22"/>
      <w:lang w:val="da-DK" w:eastAsia="da-DK"/>
    </w:rPr>
  </w:style>
  <w:style w:type="paragraph" w:customStyle="1" w:styleId="xl34">
    <w:name w:val="xl34"/>
    <w:basedOn w:val="Normal"/>
    <w:rsid w:val="00B063F5"/>
    <w:pPr>
      <w:pBdr>
        <w:top w:val="single" w:sz="4" w:space="0" w:color="auto"/>
        <w:left w:val="single" w:sz="4" w:space="0" w:color="auto"/>
        <w:bottom w:val="single" w:sz="4" w:space="0" w:color="auto"/>
        <w:right w:val="single" w:sz="4" w:space="0" w:color="auto"/>
      </w:pBdr>
      <w:shd w:val="clear" w:color="auto" w:fill="99CCFF"/>
      <w:spacing w:beforeLines="1" w:afterLines="1"/>
    </w:pPr>
    <w:rPr>
      <w:b/>
      <w:bCs/>
      <w:color w:val="000000"/>
      <w:sz w:val="22"/>
      <w:lang w:val="da-DK" w:eastAsia="da-DK"/>
    </w:rPr>
  </w:style>
  <w:style w:type="paragraph" w:customStyle="1" w:styleId="xl35">
    <w:name w:val="xl35"/>
    <w:basedOn w:val="Normal"/>
    <w:rsid w:val="00B063F5"/>
    <w:pPr>
      <w:pBdr>
        <w:top w:val="single" w:sz="4" w:space="0" w:color="auto"/>
        <w:left w:val="single" w:sz="4" w:space="0" w:color="auto"/>
        <w:bottom w:val="single" w:sz="4" w:space="0" w:color="auto"/>
        <w:right w:val="single" w:sz="4" w:space="0" w:color="auto"/>
      </w:pBdr>
      <w:spacing w:beforeLines="1" w:afterLines="1"/>
    </w:pPr>
    <w:rPr>
      <w:b/>
      <w:bCs/>
      <w:color w:val="000000"/>
      <w:sz w:val="22"/>
      <w:lang w:val="da-DK" w:eastAsia="da-DK"/>
    </w:rPr>
  </w:style>
  <w:style w:type="paragraph" w:customStyle="1" w:styleId="xl36">
    <w:name w:val="xl36"/>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sz w:val="20"/>
      <w:szCs w:val="20"/>
      <w:lang w:val="da-DK" w:eastAsia="da-DK"/>
    </w:rPr>
  </w:style>
  <w:style w:type="paragraph" w:customStyle="1" w:styleId="xl37">
    <w:name w:val="xl37"/>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sz w:val="20"/>
      <w:szCs w:val="20"/>
      <w:lang w:val="da-DK" w:eastAsia="da-DK"/>
    </w:rPr>
  </w:style>
  <w:style w:type="paragraph" w:customStyle="1" w:styleId="xl38">
    <w:name w:val="xl38"/>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sz w:val="20"/>
      <w:szCs w:val="20"/>
      <w:lang w:val="da-DK" w:eastAsia="da-DK"/>
    </w:rPr>
  </w:style>
  <w:style w:type="paragraph" w:customStyle="1" w:styleId="xl39">
    <w:name w:val="xl39"/>
    <w:basedOn w:val="Normal"/>
    <w:rsid w:val="00B063F5"/>
    <w:pPr>
      <w:pBdr>
        <w:top w:val="single" w:sz="4" w:space="0" w:color="auto"/>
        <w:left w:val="single" w:sz="4" w:space="0" w:color="auto"/>
        <w:bottom w:val="single" w:sz="4" w:space="0" w:color="auto"/>
        <w:right w:val="single" w:sz="4" w:space="0" w:color="auto"/>
      </w:pBdr>
      <w:spacing w:beforeLines="1" w:afterLines="1"/>
    </w:pPr>
    <w:rPr>
      <w:color w:val="000000"/>
      <w:sz w:val="22"/>
      <w:lang w:val="da-DK" w:eastAsia="da-DK"/>
    </w:rPr>
  </w:style>
  <w:style w:type="paragraph" w:customStyle="1" w:styleId="xl40">
    <w:name w:val="xl40"/>
    <w:basedOn w:val="Normal"/>
    <w:rsid w:val="00B063F5"/>
    <w:pPr>
      <w:pBdr>
        <w:top w:val="single" w:sz="4" w:space="0" w:color="auto"/>
        <w:left w:val="single" w:sz="4" w:space="0" w:color="auto"/>
        <w:bottom w:val="single" w:sz="4" w:space="0" w:color="auto"/>
        <w:right w:val="single" w:sz="4" w:space="0" w:color="auto"/>
      </w:pBdr>
      <w:spacing w:beforeLines="1" w:afterLines="1"/>
    </w:pPr>
    <w:rPr>
      <w:b/>
      <w:bCs/>
      <w:sz w:val="20"/>
      <w:szCs w:val="20"/>
      <w:lang w:val="da-DK" w:eastAsia="da-DK"/>
    </w:rPr>
  </w:style>
  <w:style w:type="character" w:customStyle="1" w:styleId="MainParawithChapterChar">
    <w:name w:val="Main Para with Chapter# Char"/>
    <w:link w:val="MainParawithChapter"/>
    <w:rsid w:val="001772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44"/>
    <w:pPr>
      <w:spacing w:after="0" w:line="240" w:lineRule="auto"/>
    </w:pPr>
    <w:rPr>
      <w:rFonts w:ascii="Times New Roman" w:hAnsi="Times New Roman"/>
      <w:sz w:val="24"/>
    </w:rPr>
  </w:style>
  <w:style w:type="paragraph" w:styleId="Heading1">
    <w:name w:val="heading 1"/>
    <w:basedOn w:val="Normal"/>
    <w:next w:val="Normal"/>
    <w:link w:val="Heading1Char"/>
    <w:qFormat/>
    <w:rsid w:val="00CB10F0"/>
    <w:pPr>
      <w:keepNext/>
      <w:numPr>
        <w:numId w:val="1"/>
      </w:numPr>
      <w:outlineLvl w:val="0"/>
    </w:pPr>
    <w:rPr>
      <w:rFonts w:ascii="Times New Roman Bold" w:eastAsia="Times New Roman" w:hAnsi="Times New Roman Bold" w:cs="Arial"/>
      <w:b/>
      <w:bCs/>
      <w:caps/>
      <w:kern w:val="32"/>
      <w:szCs w:val="32"/>
    </w:rPr>
  </w:style>
  <w:style w:type="paragraph" w:styleId="Heading2">
    <w:name w:val="heading 2"/>
    <w:basedOn w:val="Heading1"/>
    <w:next w:val="Normal"/>
    <w:link w:val="Heading2Char"/>
    <w:qFormat/>
    <w:rsid w:val="00A207E2"/>
    <w:pPr>
      <w:keepLines/>
      <w:numPr>
        <w:ilvl w:val="1"/>
      </w:numPr>
      <w:outlineLvl w:val="1"/>
    </w:pPr>
    <w:rPr>
      <w:b w:val="0"/>
      <w:bCs w:val="0"/>
      <w:iCs/>
      <w:caps w:val="0"/>
      <w:szCs w:val="28"/>
    </w:rPr>
  </w:style>
  <w:style w:type="paragraph" w:styleId="Heading3">
    <w:name w:val="heading 3"/>
    <w:basedOn w:val="Normal"/>
    <w:next w:val="Normal"/>
    <w:link w:val="Heading3Char"/>
    <w:qFormat/>
    <w:rsid w:val="00FF7EE4"/>
    <w:pPr>
      <w:keepNext/>
      <w:keepLines/>
      <w:numPr>
        <w:ilvl w:val="2"/>
        <w:numId w:val="1"/>
      </w:numPr>
      <w:spacing w:before="120" w:after="240"/>
      <w:outlineLvl w:val="2"/>
    </w:pPr>
    <w:rPr>
      <w:rFonts w:eastAsia="Times New Roman" w:cs="Arial"/>
      <w:b/>
      <w:bCs/>
      <w:szCs w:val="26"/>
    </w:rPr>
  </w:style>
  <w:style w:type="paragraph" w:styleId="Heading4">
    <w:name w:val="heading 4"/>
    <w:basedOn w:val="Normal"/>
    <w:next w:val="Normal"/>
    <w:link w:val="Heading4Char"/>
    <w:qFormat/>
    <w:rsid w:val="00FF7EE4"/>
    <w:pPr>
      <w:keepNext/>
      <w:keepLines/>
      <w:numPr>
        <w:ilvl w:val="3"/>
        <w:numId w:val="1"/>
      </w:numPr>
      <w:spacing w:before="120" w:after="240"/>
      <w:outlineLvl w:val="3"/>
    </w:pPr>
    <w:rPr>
      <w:rFonts w:eastAsia="Times New Roman" w:cs="Times New Roman"/>
      <w:b/>
      <w:bCs/>
      <w:i/>
      <w:szCs w:val="28"/>
    </w:rPr>
  </w:style>
  <w:style w:type="paragraph" w:styleId="Heading5">
    <w:name w:val="heading 5"/>
    <w:basedOn w:val="Normal"/>
    <w:next w:val="Normal"/>
    <w:link w:val="Heading5Char"/>
    <w:unhideWhenUsed/>
    <w:qFormat/>
    <w:rsid w:val="00FF7EE4"/>
    <w:pPr>
      <w:keepNext/>
      <w:keepLines/>
      <w:numPr>
        <w:ilvl w:val="4"/>
        <w:numId w:val="1"/>
      </w:numPr>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nhideWhenUsed/>
    <w:qFormat/>
    <w:rsid w:val="00FF7EE4"/>
    <w:pPr>
      <w:keepNext/>
      <w:keepLines/>
      <w:numPr>
        <w:ilvl w:val="5"/>
        <w:numId w:val="1"/>
      </w:numPr>
      <w:spacing w:before="2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nhideWhenUsed/>
    <w:qFormat/>
    <w:rsid w:val="00FF7EE4"/>
    <w:pPr>
      <w:keepNext/>
      <w:keepLines/>
      <w:numPr>
        <w:ilvl w:val="6"/>
        <w:numId w:val="1"/>
      </w:numPr>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nhideWhenUsed/>
    <w:qFormat/>
    <w:rsid w:val="00FF7EE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F7EE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96D"/>
    <w:rPr>
      <w:rFonts w:ascii="Tahoma" w:hAnsi="Tahoma" w:cs="Tahoma"/>
      <w:sz w:val="16"/>
      <w:szCs w:val="16"/>
    </w:rPr>
  </w:style>
  <w:style w:type="character" w:customStyle="1" w:styleId="MarkeringsbobletekstTegn">
    <w:name w:val="Markeringsbobletekst Tegn"/>
    <w:basedOn w:val="DefaultParagraphFont"/>
    <w:uiPriority w:val="99"/>
    <w:semiHidden/>
    <w:rsid w:val="007B071F"/>
    <w:rPr>
      <w:rFonts w:ascii="Lucida Grande" w:hAnsi="Lucida Grande"/>
      <w:sz w:val="18"/>
      <w:szCs w:val="18"/>
    </w:rPr>
  </w:style>
  <w:style w:type="character" w:customStyle="1" w:styleId="MarkeringsbobletekstTegn0">
    <w:name w:val="Markeringsbobletekst Tegn"/>
    <w:basedOn w:val="DefaultParagraphFont"/>
    <w:uiPriority w:val="99"/>
    <w:semiHidden/>
    <w:rsid w:val="00F72EBE"/>
    <w:rPr>
      <w:rFonts w:ascii="Lucida Grande" w:hAnsi="Lucida Grande"/>
      <w:sz w:val="18"/>
      <w:szCs w:val="18"/>
    </w:rPr>
  </w:style>
  <w:style w:type="paragraph" w:styleId="NoSpacing">
    <w:name w:val="No Spacing"/>
    <w:link w:val="NoSpacingChar"/>
    <w:qFormat/>
    <w:rsid w:val="000F4826"/>
    <w:pPr>
      <w:spacing w:after="0" w:line="240" w:lineRule="auto"/>
    </w:pPr>
  </w:style>
  <w:style w:type="paragraph" w:styleId="ListParagraph">
    <w:name w:val="List Paragraph"/>
    <w:aliases w:val="Numbered List Paragraph,Main numbered paragraph"/>
    <w:basedOn w:val="Normal"/>
    <w:link w:val="ListParagraphChar"/>
    <w:uiPriority w:val="34"/>
    <w:qFormat/>
    <w:rsid w:val="003D39E3"/>
    <w:pPr>
      <w:ind w:left="720"/>
      <w:contextualSpacing/>
    </w:pPr>
  </w:style>
  <w:style w:type="character" w:customStyle="1" w:styleId="Heading1Char">
    <w:name w:val="Heading 1 Char"/>
    <w:basedOn w:val="DefaultParagraphFont"/>
    <w:link w:val="Heading1"/>
    <w:rsid w:val="00CB10F0"/>
    <w:rPr>
      <w:rFonts w:ascii="Times New Roman Bold" w:eastAsia="Times New Roman" w:hAnsi="Times New Roman Bold" w:cs="Arial"/>
      <w:b/>
      <w:bCs/>
      <w:caps/>
      <w:kern w:val="32"/>
      <w:sz w:val="24"/>
      <w:szCs w:val="32"/>
    </w:rPr>
  </w:style>
  <w:style w:type="character" w:customStyle="1" w:styleId="Heading2Char">
    <w:name w:val="Heading 2 Char"/>
    <w:basedOn w:val="DefaultParagraphFont"/>
    <w:link w:val="Heading2"/>
    <w:rsid w:val="00A207E2"/>
    <w:rPr>
      <w:rFonts w:ascii="Times New Roman Bold" w:eastAsia="Times New Roman" w:hAnsi="Times New Roman Bold" w:cs="Arial"/>
      <w:iCs/>
      <w:kern w:val="32"/>
      <w:sz w:val="24"/>
      <w:szCs w:val="28"/>
    </w:rPr>
  </w:style>
  <w:style w:type="character" w:customStyle="1" w:styleId="Heading3Char">
    <w:name w:val="Heading 3 Char"/>
    <w:basedOn w:val="DefaultParagraphFont"/>
    <w:link w:val="Heading3"/>
    <w:rsid w:val="00FF7EE4"/>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FF7EE4"/>
    <w:rPr>
      <w:rFonts w:ascii="Times New Roman" w:eastAsia="Times New Roman" w:hAnsi="Times New Roman" w:cs="Times New Roman"/>
      <w:b/>
      <w:bCs/>
      <w:i/>
      <w:sz w:val="24"/>
      <w:szCs w:val="28"/>
    </w:rPr>
  </w:style>
  <w:style w:type="character" w:customStyle="1" w:styleId="Heading5Char">
    <w:name w:val="Heading 5 Char"/>
    <w:basedOn w:val="DefaultParagraphFont"/>
    <w:link w:val="Heading5"/>
    <w:rsid w:val="00FF7E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FF7EE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FF7EE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FF7E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F7EE4"/>
    <w:rPr>
      <w:rFonts w:asciiTheme="majorHAnsi" w:eastAsiaTheme="majorEastAsia" w:hAnsiTheme="majorHAnsi" w:cstheme="majorBidi"/>
      <w:i/>
      <w:iCs/>
      <w:color w:val="404040" w:themeColor="text1" w:themeTint="BF"/>
      <w:sz w:val="20"/>
      <w:szCs w:val="20"/>
    </w:rPr>
  </w:style>
  <w:style w:type="character" w:customStyle="1" w:styleId="NoSpacingChar">
    <w:name w:val="No Spacing Char"/>
    <w:basedOn w:val="DefaultParagraphFont"/>
    <w:link w:val="NoSpacing"/>
    <w:rsid w:val="00FF7EE4"/>
  </w:style>
  <w:style w:type="paragraph" w:styleId="FootnoteText">
    <w:name w:val="footnote text"/>
    <w:aliases w:val="single space,footnote text,fn,FOOTNOTES,ALTS FOOTNOTE,Footnote Text Char2 Char,Footnote Text Char1 Char Char,Footnote Text Char2 Char Char Char,Footnote Text Char1 Char Char Char Char,Footnote Text Char2 Char Char Char Char Char,ft,ADB,f,F"/>
    <w:basedOn w:val="Normal"/>
    <w:link w:val="FootnoteTextChar"/>
    <w:uiPriority w:val="99"/>
    <w:unhideWhenUsed/>
    <w:qFormat/>
    <w:rsid w:val="008741D9"/>
    <w:rPr>
      <w:sz w:val="20"/>
      <w:szCs w:val="20"/>
    </w:rPr>
  </w:style>
  <w:style w:type="character" w:customStyle="1" w:styleId="FootnoteTextChar">
    <w:name w:val="Footnote Text Char"/>
    <w:aliases w:val="single space Char,footnote text Char,fn Char,FOOTNOTES Char,ALTS FOOTNOTE Char,Footnote Text Char2 Char Char,Footnote Text Char1 Char Char Char,Footnote Text Char2 Char Char Char Char,Footnote Text Char1 Char Char Char Char Char"/>
    <w:basedOn w:val="DefaultParagraphFont"/>
    <w:link w:val="FootnoteText"/>
    <w:uiPriority w:val="99"/>
    <w:rsid w:val="008741D9"/>
    <w:rPr>
      <w:rFonts w:ascii="Times New Roman" w:hAnsi="Times New Roman"/>
      <w:sz w:val="20"/>
      <w:szCs w:val="20"/>
    </w:rPr>
  </w:style>
  <w:style w:type="character" w:styleId="Hyperlink">
    <w:name w:val="Hyperlink"/>
    <w:basedOn w:val="DefaultParagraphFont"/>
    <w:uiPriority w:val="99"/>
    <w:unhideWhenUsed/>
    <w:rsid w:val="008741D9"/>
    <w:rPr>
      <w:color w:val="0000FF" w:themeColor="hyperlink"/>
      <w:u w:val="single"/>
    </w:rPr>
  </w:style>
  <w:style w:type="paragraph" w:styleId="Header">
    <w:name w:val="header"/>
    <w:basedOn w:val="Normal"/>
    <w:link w:val="HeaderChar"/>
    <w:uiPriority w:val="99"/>
    <w:unhideWhenUsed/>
    <w:rsid w:val="00A7596D"/>
    <w:pPr>
      <w:tabs>
        <w:tab w:val="center" w:pos="4680"/>
        <w:tab w:val="right" w:pos="9360"/>
      </w:tabs>
    </w:pPr>
  </w:style>
  <w:style w:type="character" w:customStyle="1" w:styleId="HeaderChar">
    <w:name w:val="Header Char"/>
    <w:basedOn w:val="DefaultParagraphFont"/>
    <w:link w:val="Header"/>
    <w:uiPriority w:val="99"/>
    <w:rsid w:val="00A7596D"/>
  </w:style>
  <w:style w:type="paragraph" w:styleId="Footer">
    <w:name w:val="footer"/>
    <w:basedOn w:val="Normal"/>
    <w:link w:val="FooterChar"/>
    <w:uiPriority w:val="99"/>
    <w:unhideWhenUsed/>
    <w:rsid w:val="00A7596D"/>
    <w:pPr>
      <w:tabs>
        <w:tab w:val="center" w:pos="4680"/>
        <w:tab w:val="right" w:pos="9360"/>
      </w:tabs>
    </w:pPr>
  </w:style>
  <w:style w:type="character" w:customStyle="1" w:styleId="FooterChar">
    <w:name w:val="Footer Char"/>
    <w:basedOn w:val="DefaultParagraphFont"/>
    <w:link w:val="Footer"/>
    <w:uiPriority w:val="99"/>
    <w:rsid w:val="00A7596D"/>
  </w:style>
  <w:style w:type="paragraph" w:styleId="TOCHeading">
    <w:name w:val="TOC Heading"/>
    <w:basedOn w:val="Heading1"/>
    <w:next w:val="Normal"/>
    <w:uiPriority w:val="39"/>
    <w:unhideWhenUsed/>
    <w:qFormat/>
    <w:rsid w:val="00A7596D"/>
    <w:pPr>
      <w:keepLines/>
      <w:numPr>
        <w:numId w:val="0"/>
      </w:numPr>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BF0FDB"/>
    <w:pPr>
      <w:tabs>
        <w:tab w:val="left" w:pos="1170"/>
        <w:tab w:val="right" w:leader="dot" w:pos="9350"/>
      </w:tabs>
      <w:ind w:left="1170" w:hanging="450"/>
    </w:pPr>
    <w:rPr>
      <w:iCs/>
      <w:noProof/>
      <w:szCs w:val="24"/>
    </w:rPr>
  </w:style>
  <w:style w:type="paragraph" w:styleId="TOC1">
    <w:name w:val="toc 1"/>
    <w:basedOn w:val="Normal"/>
    <w:next w:val="Normal"/>
    <w:autoRedefine/>
    <w:uiPriority w:val="39"/>
    <w:unhideWhenUsed/>
    <w:qFormat/>
    <w:rsid w:val="00BF0FDB"/>
    <w:pPr>
      <w:tabs>
        <w:tab w:val="right" w:leader="dot" w:pos="9350"/>
      </w:tabs>
      <w:spacing w:before="240"/>
      <w:ind w:left="720" w:hanging="720"/>
      <w:jc w:val="both"/>
    </w:pPr>
    <w:rPr>
      <w:b/>
      <w:bCs/>
      <w:noProof/>
      <w:szCs w:val="24"/>
    </w:rPr>
  </w:style>
  <w:style w:type="paragraph" w:styleId="TOC3">
    <w:name w:val="toc 3"/>
    <w:basedOn w:val="Normal"/>
    <w:next w:val="Normal"/>
    <w:autoRedefine/>
    <w:uiPriority w:val="39"/>
    <w:unhideWhenUsed/>
    <w:qFormat/>
    <w:rsid w:val="00A7596D"/>
    <w:pPr>
      <w:ind w:left="440"/>
    </w:pPr>
    <w:rPr>
      <w:sz w:val="20"/>
      <w:szCs w:val="20"/>
    </w:rPr>
  </w:style>
  <w:style w:type="character" w:customStyle="1" w:styleId="BalloonTextChar">
    <w:name w:val="Balloon Text Char"/>
    <w:basedOn w:val="DefaultParagraphFont"/>
    <w:link w:val="BalloonText"/>
    <w:uiPriority w:val="99"/>
    <w:semiHidden/>
    <w:rsid w:val="00A7596D"/>
    <w:rPr>
      <w:rFonts w:ascii="Tahoma" w:hAnsi="Tahoma" w:cs="Tahoma"/>
      <w:sz w:val="16"/>
      <w:szCs w:val="16"/>
    </w:rPr>
  </w:style>
  <w:style w:type="character" w:styleId="CommentReference">
    <w:name w:val="annotation reference"/>
    <w:basedOn w:val="DefaultParagraphFont"/>
    <w:unhideWhenUsed/>
    <w:rsid w:val="00FA7839"/>
    <w:rPr>
      <w:sz w:val="16"/>
      <w:szCs w:val="16"/>
    </w:rPr>
  </w:style>
  <w:style w:type="paragraph" w:styleId="CommentText">
    <w:name w:val="annotation text"/>
    <w:basedOn w:val="Normal"/>
    <w:link w:val="CommentTextChar"/>
    <w:unhideWhenUsed/>
    <w:rsid w:val="00FA7839"/>
    <w:rPr>
      <w:sz w:val="20"/>
      <w:szCs w:val="20"/>
    </w:rPr>
  </w:style>
  <w:style w:type="character" w:customStyle="1" w:styleId="CommentTextChar">
    <w:name w:val="Comment Text Char"/>
    <w:basedOn w:val="DefaultParagraphFont"/>
    <w:link w:val="CommentText"/>
    <w:rsid w:val="00FA7839"/>
    <w:rPr>
      <w:sz w:val="20"/>
      <w:szCs w:val="20"/>
    </w:rPr>
  </w:style>
  <w:style w:type="paragraph" w:styleId="CommentSubject">
    <w:name w:val="annotation subject"/>
    <w:basedOn w:val="CommentText"/>
    <w:next w:val="CommentText"/>
    <w:link w:val="CommentSubjectChar"/>
    <w:unhideWhenUsed/>
    <w:rsid w:val="00FA7839"/>
    <w:rPr>
      <w:b/>
      <w:bCs/>
    </w:rPr>
  </w:style>
  <w:style w:type="character" w:customStyle="1" w:styleId="CommentSubjectChar">
    <w:name w:val="Comment Subject Char"/>
    <w:basedOn w:val="CommentTextChar"/>
    <w:link w:val="CommentSubject"/>
    <w:rsid w:val="00FA7839"/>
    <w:rPr>
      <w:b/>
      <w:bCs/>
      <w:sz w:val="20"/>
      <w:szCs w:val="20"/>
    </w:rPr>
  </w:style>
  <w:style w:type="table" w:styleId="TableGrid">
    <w:name w:val="Table Grid"/>
    <w:basedOn w:val="TableNormal"/>
    <w:uiPriority w:val="59"/>
    <w:rsid w:val="0056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Paragraph Char,Main numbered paragraph Char"/>
    <w:basedOn w:val="DefaultParagraphFont"/>
    <w:link w:val="ListParagraph"/>
    <w:uiPriority w:val="34"/>
    <w:rsid w:val="00CB399F"/>
  </w:style>
  <w:style w:type="paragraph" w:customStyle="1" w:styleId="Tableheading">
    <w:name w:val="Table heading"/>
    <w:basedOn w:val="Normal"/>
    <w:qFormat/>
    <w:rsid w:val="00CB399F"/>
    <w:pPr>
      <w:spacing w:before="40" w:after="40"/>
      <w:jc w:val="center"/>
    </w:pPr>
    <w:rPr>
      <w:rFonts w:cs="Times New Roman"/>
      <w:b/>
      <w:i/>
      <w:sz w:val="20"/>
      <w:szCs w:val="20"/>
    </w:rPr>
  </w:style>
  <w:style w:type="paragraph" w:customStyle="1" w:styleId="Attachmenttitle">
    <w:name w:val="Attachment title"/>
    <w:basedOn w:val="Normal"/>
    <w:qFormat/>
    <w:rsid w:val="00CB399F"/>
    <w:pPr>
      <w:spacing w:after="240"/>
    </w:pPr>
    <w:rPr>
      <w:rFonts w:eastAsia="Times New Roman" w:cs="Times New Roman"/>
      <w:b/>
      <w:spacing w:val="4"/>
      <w:szCs w:val="24"/>
    </w:rPr>
  </w:style>
  <w:style w:type="paragraph" w:customStyle="1" w:styleId="MainParanoChapter">
    <w:name w:val="Main Para no Chapter #"/>
    <w:basedOn w:val="Normal"/>
    <w:link w:val="MainParanoChapterChar"/>
    <w:rsid w:val="002F4FFB"/>
    <w:pPr>
      <w:numPr>
        <w:numId w:val="6"/>
      </w:numPr>
      <w:spacing w:after="240"/>
      <w:jc w:val="both"/>
    </w:pPr>
    <w:rPr>
      <w:rFonts w:eastAsia="Times New Roman" w:cs="Times New Roman"/>
      <w:szCs w:val="24"/>
    </w:rPr>
  </w:style>
  <w:style w:type="paragraph" w:customStyle="1" w:styleId="PDSAnnexHeading">
    <w:name w:val="PDS Annex Heading"/>
    <w:next w:val="Normal"/>
    <w:rsid w:val="001A31D9"/>
    <w:pPr>
      <w:keepNext/>
      <w:spacing w:after="120" w:line="240" w:lineRule="auto"/>
      <w:jc w:val="center"/>
    </w:pPr>
    <w:rPr>
      <w:rFonts w:ascii="Times New Roman" w:eastAsia="Times New Roman" w:hAnsi="Times New Roman" w:cs="Times New Roman"/>
      <w:b/>
      <w:sz w:val="24"/>
      <w:szCs w:val="20"/>
    </w:rPr>
  </w:style>
  <w:style w:type="paragraph" w:styleId="TOC4">
    <w:name w:val="toc 4"/>
    <w:basedOn w:val="Normal"/>
    <w:next w:val="Normal"/>
    <w:autoRedefine/>
    <w:uiPriority w:val="39"/>
    <w:unhideWhenUsed/>
    <w:rsid w:val="00DD5AF2"/>
    <w:pPr>
      <w:ind w:left="660"/>
    </w:pPr>
    <w:rPr>
      <w:sz w:val="20"/>
      <w:szCs w:val="20"/>
    </w:rPr>
  </w:style>
  <w:style w:type="paragraph" w:styleId="TOC5">
    <w:name w:val="toc 5"/>
    <w:basedOn w:val="Normal"/>
    <w:next w:val="Normal"/>
    <w:autoRedefine/>
    <w:uiPriority w:val="39"/>
    <w:unhideWhenUsed/>
    <w:rsid w:val="00DD5AF2"/>
    <w:pPr>
      <w:ind w:left="880"/>
    </w:pPr>
    <w:rPr>
      <w:sz w:val="20"/>
      <w:szCs w:val="20"/>
    </w:rPr>
  </w:style>
  <w:style w:type="paragraph" w:styleId="TOC6">
    <w:name w:val="toc 6"/>
    <w:basedOn w:val="Normal"/>
    <w:next w:val="Normal"/>
    <w:autoRedefine/>
    <w:uiPriority w:val="39"/>
    <w:unhideWhenUsed/>
    <w:rsid w:val="00DD5AF2"/>
    <w:pPr>
      <w:ind w:left="1100"/>
    </w:pPr>
    <w:rPr>
      <w:sz w:val="20"/>
      <w:szCs w:val="20"/>
    </w:rPr>
  </w:style>
  <w:style w:type="paragraph" w:styleId="TOC7">
    <w:name w:val="toc 7"/>
    <w:basedOn w:val="Normal"/>
    <w:next w:val="Normal"/>
    <w:autoRedefine/>
    <w:uiPriority w:val="39"/>
    <w:unhideWhenUsed/>
    <w:rsid w:val="00DD5AF2"/>
    <w:pPr>
      <w:ind w:left="1320"/>
    </w:pPr>
    <w:rPr>
      <w:sz w:val="20"/>
      <w:szCs w:val="20"/>
    </w:rPr>
  </w:style>
  <w:style w:type="paragraph" w:styleId="TOC8">
    <w:name w:val="toc 8"/>
    <w:basedOn w:val="Normal"/>
    <w:next w:val="Normal"/>
    <w:autoRedefine/>
    <w:uiPriority w:val="39"/>
    <w:unhideWhenUsed/>
    <w:rsid w:val="00DD5AF2"/>
    <w:pPr>
      <w:ind w:left="1540"/>
    </w:pPr>
    <w:rPr>
      <w:sz w:val="20"/>
      <w:szCs w:val="20"/>
    </w:rPr>
  </w:style>
  <w:style w:type="paragraph" w:styleId="TOC9">
    <w:name w:val="toc 9"/>
    <w:basedOn w:val="Normal"/>
    <w:next w:val="Normal"/>
    <w:autoRedefine/>
    <w:uiPriority w:val="39"/>
    <w:unhideWhenUsed/>
    <w:rsid w:val="00DD5AF2"/>
    <w:pPr>
      <w:ind w:left="1760"/>
    </w:pPr>
    <w:rPr>
      <w:sz w:val="20"/>
      <w:szCs w:val="20"/>
    </w:rPr>
  </w:style>
  <w:style w:type="character" w:styleId="FootnoteReference">
    <w:name w:val="footnote reference"/>
    <w:aliases w:val="ftref,16 Point,Superscript 6 Point, BVI fnr, Car1,BVI fnr,Car1,Footnote Reference Number,Footnote Reference1,heading1,Ref,de nota al pie,Char Char Char Char Car Char,Footnote,FNRefe Char Char Char,BVI fnr Char Char Char,Ref Char,fr"/>
    <w:basedOn w:val="DefaultParagraphFont"/>
    <w:link w:val="FNRefeCharChar"/>
    <w:uiPriority w:val="99"/>
    <w:unhideWhenUsed/>
    <w:rsid w:val="00047E9D"/>
    <w:rPr>
      <w:vertAlign w:val="superscript"/>
    </w:rPr>
  </w:style>
  <w:style w:type="paragraph" w:customStyle="1" w:styleId="HEADINGP4RCHAPTER">
    <w:name w:val="HEADING P4R CHAPTER"/>
    <w:basedOn w:val="Normal"/>
    <w:qFormat/>
    <w:rsid w:val="004A08DC"/>
    <w:pPr>
      <w:spacing w:before="240" w:after="240"/>
      <w:jc w:val="center"/>
      <w:outlineLvl w:val="0"/>
    </w:pPr>
    <w:rPr>
      <w:rFonts w:cs="Times New Roman"/>
      <w:b/>
      <w:smallCaps/>
      <w:sz w:val="28"/>
      <w:szCs w:val="24"/>
    </w:rPr>
  </w:style>
  <w:style w:type="paragraph" w:customStyle="1" w:styleId="MainParanoChapter-Ch3">
    <w:name w:val="Main Para no Chapter #-Ch 3"/>
    <w:basedOn w:val="Normal"/>
    <w:qFormat/>
    <w:rsid w:val="004A08DC"/>
    <w:pPr>
      <w:numPr>
        <w:numId w:val="8"/>
      </w:numPr>
      <w:spacing w:before="240"/>
      <w:jc w:val="both"/>
    </w:pPr>
    <w:rPr>
      <w:rFonts w:eastAsia="Times New Roman" w:cs="Times New Roman"/>
      <w:szCs w:val="24"/>
    </w:rPr>
  </w:style>
  <w:style w:type="paragraph" w:customStyle="1" w:styleId="FNRefeCharChar">
    <w:name w:val="FNRefe Char Char"/>
    <w:aliases w:val="BVI fnr Char Char,BVI fnr Car Car Char Char Char,BVI fnr Car Char Char Char,BVI fnr Car Car Car Car Char Char Char Char Char, BVI fnr Char Char Char, BVI fnr Car Car Char Char Char, BVI fnr Car Car Car Car Char Char Char Char Char"/>
    <w:basedOn w:val="Normal"/>
    <w:link w:val="FootnoteReference"/>
    <w:uiPriority w:val="99"/>
    <w:rsid w:val="00E269A0"/>
    <w:pPr>
      <w:spacing w:after="160" w:line="240" w:lineRule="exact"/>
    </w:pPr>
    <w:rPr>
      <w:vertAlign w:val="superscript"/>
    </w:rPr>
  </w:style>
  <w:style w:type="paragraph" w:styleId="Caption">
    <w:name w:val="caption"/>
    <w:aliases w:val="Table/Figure Heading,Caption- Figure,Caption- Figure1,Caption- Figure2,AGT ESIA"/>
    <w:basedOn w:val="Normal"/>
    <w:next w:val="Normal"/>
    <w:link w:val="CaptionChar"/>
    <w:qFormat/>
    <w:rsid w:val="00E269A0"/>
    <w:rPr>
      <w:rFonts w:eastAsia="Times New Roman" w:cs="Times New Roman"/>
      <w:b/>
      <w:bCs/>
      <w:sz w:val="20"/>
      <w:szCs w:val="20"/>
    </w:rPr>
  </w:style>
  <w:style w:type="character" w:customStyle="1" w:styleId="CaptionChar">
    <w:name w:val="Caption Char"/>
    <w:aliases w:val="Table/Figure Heading Char,Caption- Figure Char,Caption- Figure1 Char,Caption- Figure2 Char,AGT ESIA Char"/>
    <w:basedOn w:val="DefaultParagraphFont"/>
    <w:link w:val="Caption"/>
    <w:rsid w:val="00E269A0"/>
    <w:rPr>
      <w:rFonts w:ascii="Times New Roman" w:eastAsia="Times New Roman" w:hAnsi="Times New Roman" w:cs="Times New Roman"/>
      <w:b/>
      <w:bCs/>
      <w:sz w:val="20"/>
      <w:szCs w:val="20"/>
    </w:rPr>
  </w:style>
  <w:style w:type="table" w:styleId="LightShading-Accent2">
    <w:name w:val="Light Shading Accent 2"/>
    <w:basedOn w:val="TableNormal"/>
    <w:rsid w:val="001715D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HTMLPreformatted">
    <w:name w:val="HTML Preformatted"/>
    <w:basedOn w:val="Normal"/>
    <w:link w:val="HTMLPreformattedChar"/>
    <w:uiPriority w:val="99"/>
    <w:unhideWhenUsed/>
    <w:rsid w:val="00E37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7F26"/>
    <w:rPr>
      <w:rFonts w:ascii="Courier New" w:eastAsia="Times New Roman" w:hAnsi="Courier New" w:cs="Courier New"/>
      <w:sz w:val="20"/>
      <w:szCs w:val="20"/>
    </w:rPr>
  </w:style>
  <w:style w:type="paragraph" w:customStyle="1" w:styleId="MainParawithChapter">
    <w:name w:val="Main Para with Chapter#"/>
    <w:basedOn w:val="Normal"/>
    <w:link w:val="MainParawithChapterChar"/>
    <w:rsid w:val="000F60EB"/>
    <w:pPr>
      <w:numPr>
        <w:ilvl w:val="2"/>
        <w:numId w:val="11"/>
      </w:numPr>
      <w:tabs>
        <w:tab w:val="clear" w:pos="1440"/>
      </w:tabs>
      <w:spacing w:after="240"/>
      <w:ind w:left="0" w:firstLine="0"/>
      <w:outlineLvl w:val="1"/>
    </w:pPr>
    <w:rPr>
      <w:rFonts w:eastAsia="Times New Roman" w:cs="Times New Roman"/>
      <w:szCs w:val="24"/>
    </w:rPr>
  </w:style>
  <w:style w:type="paragraph" w:customStyle="1" w:styleId="PDSHeading1">
    <w:name w:val="PDSHeading1"/>
    <w:next w:val="Normal"/>
    <w:rsid w:val="00A51142"/>
    <w:pPr>
      <w:spacing w:after="0" w:line="240" w:lineRule="auto"/>
    </w:pPr>
    <w:rPr>
      <w:rFonts w:ascii="Times New Roman" w:eastAsia="Times New Roman" w:hAnsi="Times New Roman" w:cs="Times New Roman"/>
      <w:b/>
      <w:sz w:val="24"/>
      <w:szCs w:val="20"/>
    </w:rPr>
  </w:style>
  <w:style w:type="table" w:customStyle="1" w:styleId="LightShading1">
    <w:name w:val="Light Shading1"/>
    <w:basedOn w:val="TableNormal"/>
    <w:uiPriority w:val="60"/>
    <w:rsid w:val="008C6A20"/>
    <w:pPr>
      <w:spacing w:beforeAutospacing="1"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AB3703"/>
  </w:style>
  <w:style w:type="table" w:styleId="LightShading">
    <w:name w:val="Light Shading"/>
    <w:basedOn w:val="TableNormal"/>
    <w:uiPriority w:val="60"/>
    <w:rsid w:val="00291BC2"/>
    <w:pPr>
      <w:spacing w:beforeAutospacing="1"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rsid w:val="0095515C"/>
    <w:pPr>
      <w:spacing w:beforeLines="1" w:afterLines="1"/>
    </w:pPr>
    <w:rPr>
      <w:rFonts w:ascii="Times" w:eastAsiaTheme="minorHAnsi" w:hAnsi="Times" w:cs="Times New Roman"/>
      <w:sz w:val="20"/>
      <w:szCs w:val="20"/>
      <w:lang w:val="da-DK" w:eastAsia="da-DK"/>
    </w:rPr>
  </w:style>
  <w:style w:type="character" w:customStyle="1" w:styleId="MarkeringsbobletekstTegn1">
    <w:name w:val="Markeringsbobletekst Tegn"/>
    <w:basedOn w:val="DefaultParagraphFont"/>
    <w:uiPriority w:val="99"/>
    <w:semiHidden/>
    <w:rsid w:val="001B4D5A"/>
    <w:rPr>
      <w:rFonts w:ascii="Lucida Grande" w:hAnsi="Lucida Grande"/>
      <w:sz w:val="18"/>
      <w:szCs w:val="18"/>
    </w:rPr>
  </w:style>
  <w:style w:type="paragraph" w:styleId="Revision">
    <w:name w:val="Revision"/>
    <w:hidden/>
    <w:rsid w:val="001B4D5A"/>
    <w:pPr>
      <w:spacing w:after="0" w:line="240" w:lineRule="auto"/>
    </w:pPr>
    <w:rPr>
      <w:rFonts w:ascii="Times New Roman" w:eastAsia="Calibri" w:hAnsi="Times New Roman" w:cs="Times New Roman"/>
      <w:sz w:val="24"/>
    </w:rPr>
  </w:style>
  <w:style w:type="character" w:styleId="Emphasis">
    <w:name w:val="Emphasis"/>
    <w:basedOn w:val="DefaultParagraphFont"/>
    <w:uiPriority w:val="20"/>
    <w:qFormat/>
    <w:rsid w:val="001B4D5A"/>
    <w:rPr>
      <w:i/>
      <w:iCs/>
    </w:rPr>
  </w:style>
  <w:style w:type="paragraph" w:customStyle="1" w:styleId="Ingenafstand1">
    <w:name w:val="Ingen afstand1"/>
    <w:basedOn w:val="Normal"/>
    <w:link w:val="IngenafstandTegn"/>
    <w:uiPriority w:val="1"/>
    <w:qFormat/>
    <w:rsid w:val="001B4D5A"/>
    <w:rPr>
      <w:rFonts w:ascii="Cambria" w:eastAsia="Times New Roman" w:hAnsi="Cambria" w:cs="Times New Roman"/>
      <w:sz w:val="22"/>
    </w:rPr>
  </w:style>
  <w:style w:type="character" w:customStyle="1" w:styleId="IngenafstandTegn">
    <w:name w:val="Ingen afstand Tegn"/>
    <w:basedOn w:val="DefaultParagraphFont"/>
    <w:link w:val="Ingenafstand1"/>
    <w:uiPriority w:val="1"/>
    <w:locked/>
    <w:rsid w:val="001B4D5A"/>
    <w:rPr>
      <w:rFonts w:ascii="Cambria" w:eastAsia="Times New Roman" w:hAnsi="Cambria" w:cs="Times New Roman"/>
    </w:rPr>
  </w:style>
  <w:style w:type="paragraph" w:customStyle="1" w:styleId="MainParanoChapter-Ch1">
    <w:name w:val="Main Para no Chapter #-Ch 1"/>
    <w:basedOn w:val="Normal"/>
    <w:qFormat/>
    <w:rsid w:val="001B4D5A"/>
    <w:pPr>
      <w:numPr>
        <w:numId w:val="36"/>
      </w:numPr>
      <w:spacing w:before="240"/>
      <w:jc w:val="both"/>
    </w:pPr>
    <w:rPr>
      <w:rFonts w:eastAsia="Times New Roman" w:cs="Times New Roman"/>
      <w:szCs w:val="24"/>
    </w:rPr>
  </w:style>
  <w:style w:type="paragraph" w:customStyle="1" w:styleId="Heading1a">
    <w:name w:val="Heading 1a"/>
    <w:basedOn w:val="Normal"/>
    <w:next w:val="Normal"/>
    <w:rsid w:val="001B4D5A"/>
    <w:pPr>
      <w:keepNext/>
      <w:keepLines/>
      <w:spacing w:before="1440" w:after="240"/>
      <w:jc w:val="center"/>
      <w:outlineLvl w:val="0"/>
    </w:pPr>
    <w:rPr>
      <w:rFonts w:eastAsia="Times New Roman" w:cs="Times New Roman"/>
      <w:b/>
      <w:caps/>
      <w:sz w:val="32"/>
      <w:szCs w:val="24"/>
    </w:rPr>
  </w:style>
  <w:style w:type="paragraph" w:customStyle="1" w:styleId="Sub-Para1underX">
    <w:name w:val="Sub-Para 1 under X."/>
    <w:basedOn w:val="Normal"/>
    <w:rsid w:val="001B4D5A"/>
    <w:pPr>
      <w:spacing w:after="240"/>
      <w:ind w:left="1440" w:hanging="720"/>
      <w:outlineLvl w:val="2"/>
    </w:pPr>
    <w:rPr>
      <w:rFonts w:eastAsia="Times New Roman" w:cs="Times New Roman"/>
      <w:szCs w:val="24"/>
    </w:rPr>
  </w:style>
  <w:style w:type="paragraph" w:customStyle="1" w:styleId="Sub-Para2underX">
    <w:name w:val="Sub-Para 2 under X."/>
    <w:basedOn w:val="Normal"/>
    <w:rsid w:val="001B4D5A"/>
    <w:pPr>
      <w:spacing w:after="240"/>
      <w:ind w:left="2160" w:hanging="720"/>
      <w:outlineLvl w:val="3"/>
    </w:pPr>
    <w:rPr>
      <w:rFonts w:eastAsia="Times New Roman" w:cs="Times New Roman"/>
      <w:szCs w:val="24"/>
    </w:rPr>
  </w:style>
  <w:style w:type="paragraph" w:customStyle="1" w:styleId="Sub-Para3underX">
    <w:name w:val="Sub-Para 3 under X."/>
    <w:basedOn w:val="Normal"/>
    <w:rsid w:val="001B4D5A"/>
    <w:pPr>
      <w:spacing w:after="240"/>
      <w:ind w:left="2880" w:hanging="720"/>
      <w:outlineLvl w:val="4"/>
    </w:pPr>
    <w:rPr>
      <w:rFonts w:eastAsia="Times New Roman" w:cs="Times New Roman"/>
      <w:szCs w:val="24"/>
    </w:rPr>
  </w:style>
  <w:style w:type="paragraph" w:customStyle="1" w:styleId="Sub-Para4underX">
    <w:name w:val="Sub-Para 4 under X."/>
    <w:basedOn w:val="Normal"/>
    <w:rsid w:val="001B4D5A"/>
    <w:pPr>
      <w:spacing w:after="240"/>
      <w:ind w:left="3600" w:hanging="720"/>
      <w:outlineLvl w:val="5"/>
    </w:pPr>
    <w:rPr>
      <w:rFonts w:eastAsia="Times New Roman" w:cs="Times New Roman"/>
      <w:szCs w:val="24"/>
    </w:rPr>
  </w:style>
  <w:style w:type="character" w:customStyle="1" w:styleId="MainParanoChapterChar">
    <w:name w:val="Main Para no Chapter # Char"/>
    <w:basedOn w:val="DefaultParagraphFont"/>
    <w:link w:val="MainParanoChapter"/>
    <w:rsid w:val="001B4D5A"/>
    <w:rPr>
      <w:rFonts w:ascii="Times New Roman" w:eastAsia="Times New Roman" w:hAnsi="Times New Roman" w:cs="Times New Roman"/>
      <w:sz w:val="24"/>
      <w:szCs w:val="24"/>
    </w:rPr>
  </w:style>
  <w:style w:type="paragraph" w:styleId="BodyText">
    <w:name w:val="Body Text"/>
    <w:basedOn w:val="Normal"/>
    <w:link w:val="BodyTextChar"/>
    <w:uiPriority w:val="99"/>
    <w:rsid w:val="001B4D5A"/>
    <w:pPr>
      <w:keepNext/>
      <w:tabs>
        <w:tab w:val="left" w:pos="2070"/>
      </w:tabs>
    </w:pPr>
    <w:rPr>
      <w:rFonts w:ascii="Arial" w:eastAsia="Times New Roman" w:hAnsi="Arial" w:cs="Arial"/>
      <w:sz w:val="22"/>
    </w:rPr>
  </w:style>
  <w:style w:type="character" w:customStyle="1" w:styleId="BodyTextChar">
    <w:name w:val="Body Text Char"/>
    <w:basedOn w:val="DefaultParagraphFont"/>
    <w:link w:val="BodyText"/>
    <w:uiPriority w:val="99"/>
    <w:rsid w:val="001B4D5A"/>
    <w:rPr>
      <w:rFonts w:ascii="Arial" w:eastAsia="Times New Roman" w:hAnsi="Arial" w:cs="Arial"/>
    </w:rPr>
  </w:style>
  <w:style w:type="paragraph" w:styleId="BodyTextIndent3">
    <w:name w:val="Body Text Indent 3"/>
    <w:basedOn w:val="Normal"/>
    <w:link w:val="BodyTextIndent3Char"/>
    <w:uiPriority w:val="99"/>
    <w:unhideWhenUsed/>
    <w:rsid w:val="001B4D5A"/>
    <w:pPr>
      <w:spacing w:after="120" w:line="276" w:lineRule="auto"/>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1B4D5A"/>
    <w:rPr>
      <w:rFonts w:eastAsiaTheme="minorHAnsi"/>
      <w:sz w:val="16"/>
      <w:szCs w:val="16"/>
    </w:rPr>
  </w:style>
  <w:style w:type="paragraph" w:styleId="BodyText3">
    <w:name w:val="Body Text 3"/>
    <w:basedOn w:val="Normal"/>
    <w:link w:val="BodyText3Char"/>
    <w:rsid w:val="001B4D5A"/>
    <w:pPr>
      <w:widowControl w:val="0"/>
      <w:spacing w:after="120"/>
    </w:pPr>
    <w:rPr>
      <w:rFonts w:ascii="Courier" w:eastAsia="Times New Roman" w:hAnsi="Courier" w:cs="Times New Roman"/>
      <w:snapToGrid w:val="0"/>
      <w:sz w:val="16"/>
      <w:szCs w:val="16"/>
      <w:lang w:val="en-GB"/>
    </w:rPr>
  </w:style>
  <w:style w:type="character" w:customStyle="1" w:styleId="BodyText3Char">
    <w:name w:val="Body Text 3 Char"/>
    <w:basedOn w:val="DefaultParagraphFont"/>
    <w:link w:val="BodyText3"/>
    <w:rsid w:val="001B4D5A"/>
    <w:rPr>
      <w:rFonts w:ascii="Courier" w:eastAsia="Times New Roman" w:hAnsi="Courier" w:cs="Times New Roman"/>
      <w:snapToGrid w:val="0"/>
      <w:sz w:val="16"/>
      <w:szCs w:val="16"/>
      <w:lang w:val="en-GB"/>
    </w:rPr>
  </w:style>
  <w:style w:type="paragraph" w:customStyle="1" w:styleId="StyleListBullet3After6ptLinespacingsingle">
    <w:name w:val="Style List Bullet 3 + After:  6 pt Line spacing:  single"/>
    <w:basedOn w:val="Normal"/>
    <w:rsid w:val="001B4D5A"/>
    <w:pPr>
      <w:widowControl w:val="0"/>
      <w:numPr>
        <w:numId w:val="37"/>
      </w:numPr>
      <w:adjustRightInd w:val="0"/>
      <w:spacing w:line="360" w:lineRule="atLeast"/>
      <w:jc w:val="both"/>
      <w:textAlignment w:val="baseline"/>
    </w:pPr>
    <w:rPr>
      <w:rFonts w:eastAsia="Times New Roman" w:cs="Times New Roman"/>
      <w:sz w:val="20"/>
      <w:szCs w:val="20"/>
      <w:lang w:val="en-GB" w:eastAsia="ko-KR"/>
    </w:rPr>
  </w:style>
  <w:style w:type="paragraph" w:customStyle="1" w:styleId="xl24">
    <w:name w:val="xl24"/>
    <w:basedOn w:val="Normal"/>
    <w:rsid w:val="001B4D5A"/>
    <w:pPr>
      <w:spacing w:before="100" w:after="100"/>
    </w:pPr>
    <w:rPr>
      <w:rFonts w:ascii="Arial" w:eastAsia="Arial Unicode MS" w:hAnsi="Arial" w:cs="Times New Roman"/>
      <w:sz w:val="18"/>
      <w:szCs w:val="20"/>
      <w:lang w:val="en-GB"/>
    </w:rPr>
  </w:style>
  <w:style w:type="paragraph" w:customStyle="1" w:styleId="Default">
    <w:name w:val="Default"/>
    <w:rsid w:val="001B4D5A"/>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Index1">
    <w:name w:val="index 1"/>
    <w:basedOn w:val="Normal"/>
    <w:next w:val="Normal"/>
    <w:autoRedefine/>
    <w:uiPriority w:val="99"/>
    <w:unhideWhenUsed/>
    <w:rsid w:val="001B4D5A"/>
    <w:pPr>
      <w:ind w:left="220" w:hanging="220"/>
    </w:pPr>
    <w:rPr>
      <w:rFonts w:asciiTheme="minorHAnsi" w:eastAsiaTheme="minorHAnsi" w:hAnsiTheme="minorHAnsi"/>
      <w:sz w:val="22"/>
    </w:rPr>
  </w:style>
  <w:style w:type="paragraph" w:styleId="IndexHeading">
    <w:name w:val="index heading"/>
    <w:basedOn w:val="Normal"/>
    <w:next w:val="Index1"/>
    <w:rsid w:val="001B4D5A"/>
    <w:rPr>
      <w:rFonts w:eastAsia="Times New Roman" w:cs="Times New Roman"/>
      <w:szCs w:val="24"/>
      <w:lang w:val="en-GB"/>
    </w:rPr>
  </w:style>
  <w:style w:type="table" w:customStyle="1" w:styleId="TableGrid1">
    <w:name w:val="Table Grid1"/>
    <w:basedOn w:val="TableNormal"/>
    <w:next w:val="TableGrid"/>
    <w:uiPriority w:val="59"/>
    <w:rsid w:val="001B4D5A"/>
    <w:pPr>
      <w:spacing w:beforeAutospacing="1"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1B4D5A"/>
    <w:pPr>
      <w:numPr>
        <w:numId w:val="38"/>
      </w:numPr>
      <w:spacing w:after="200" w:line="276" w:lineRule="auto"/>
      <w:contextualSpacing/>
    </w:pPr>
    <w:rPr>
      <w:rFonts w:asciiTheme="minorHAnsi" w:hAnsiTheme="minorHAnsi"/>
      <w:sz w:val="22"/>
    </w:rPr>
  </w:style>
  <w:style w:type="paragraph" w:styleId="EndnoteText">
    <w:name w:val="endnote text"/>
    <w:basedOn w:val="Normal"/>
    <w:link w:val="EndnoteTextChar"/>
    <w:unhideWhenUsed/>
    <w:rsid w:val="001B4D5A"/>
    <w:rPr>
      <w:rFonts w:asciiTheme="minorHAnsi" w:hAnsiTheme="minorHAnsi"/>
      <w:sz w:val="20"/>
      <w:szCs w:val="20"/>
    </w:rPr>
  </w:style>
  <w:style w:type="character" w:customStyle="1" w:styleId="EndnoteTextChar">
    <w:name w:val="Endnote Text Char"/>
    <w:basedOn w:val="DefaultParagraphFont"/>
    <w:link w:val="EndnoteText"/>
    <w:rsid w:val="001B4D5A"/>
    <w:rPr>
      <w:sz w:val="20"/>
      <w:szCs w:val="20"/>
    </w:rPr>
  </w:style>
  <w:style w:type="character" w:styleId="EndnoteReference">
    <w:name w:val="endnote reference"/>
    <w:basedOn w:val="DefaultParagraphFont"/>
    <w:unhideWhenUsed/>
    <w:rsid w:val="001B4D5A"/>
    <w:rPr>
      <w:vertAlign w:val="superscript"/>
    </w:rPr>
  </w:style>
  <w:style w:type="paragraph" w:styleId="BodyText2">
    <w:name w:val="Body Text 2"/>
    <w:basedOn w:val="Normal"/>
    <w:link w:val="BodyText2Char"/>
    <w:unhideWhenUsed/>
    <w:rsid w:val="001B4D5A"/>
    <w:pPr>
      <w:spacing w:after="120" w:line="480" w:lineRule="auto"/>
    </w:pPr>
    <w:rPr>
      <w:rFonts w:asciiTheme="minorHAnsi" w:hAnsiTheme="minorHAnsi"/>
      <w:sz w:val="22"/>
    </w:rPr>
  </w:style>
  <w:style w:type="character" w:customStyle="1" w:styleId="BodyText2Char">
    <w:name w:val="Body Text 2 Char"/>
    <w:basedOn w:val="DefaultParagraphFont"/>
    <w:link w:val="BodyText2"/>
    <w:rsid w:val="001B4D5A"/>
  </w:style>
  <w:style w:type="paragraph" w:styleId="ListBullet2">
    <w:name w:val="List Bullet 2"/>
    <w:basedOn w:val="Normal"/>
    <w:rsid w:val="001B4D5A"/>
    <w:pPr>
      <w:numPr>
        <w:numId w:val="39"/>
      </w:numPr>
      <w:contextualSpacing/>
    </w:pPr>
    <w:rPr>
      <w:rFonts w:eastAsia="MS Mincho" w:cs="Times New Roman"/>
      <w:szCs w:val="24"/>
      <w:lang w:eastAsia="ja-JP"/>
    </w:rPr>
  </w:style>
  <w:style w:type="paragraph" w:styleId="BodyTextIndent">
    <w:name w:val="Body Text Indent"/>
    <w:basedOn w:val="Normal"/>
    <w:link w:val="BodyTextIndentChar"/>
    <w:uiPriority w:val="99"/>
    <w:unhideWhenUsed/>
    <w:rsid w:val="001B4D5A"/>
    <w:pPr>
      <w:spacing w:after="120" w:line="276" w:lineRule="auto"/>
      <w:ind w:left="360"/>
    </w:pPr>
    <w:rPr>
      <w:rFonts w:asciiTheme="minorHAnsi" w:hAnsiTheme="minorHAnsi"/>
      <w:sz w:val="22"/>
    </w:rPr>
  </w:style>
  <w:style w:type="character" w:customStyle="1" w:styleId="BodyTextIndentChar">
    <w:name w:val="Body Text Indent Char"/>
    <w:basedOn w:val="DefaultParagraphFont"/>
    <w:link w:val="BodyTextIndent"/>
    <w:uiPriority w:val="99"/>
    <w:rsid w:val="001B4D5A"/>
  </w:style>
  <w:style w:type="table" w:customStyle="1" w:styleId="TableGrid11">
    <w:name w:val="Table Grid11"/>
    <w:basedOn w:val="TableNormal"/>
    <w:next w:val="TableGrid"/>
    <w:uiPriority w:val="59"/>
    <w:rsid w:val="001B4D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4D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pografi1">
    <w:name w:val="Typografi1"/>
    <w:basedOn w:val="FootnoteText"/>
    <w:autoRedefine/>
    <w:qFormat/>
    <w:rsid w:val="001B4D5A"/>
    <w:rPr>
      <w:rFonts w:eastAsiaTheme="minorHAnsi"/>
      <w:sz w:val="18"/>
    </w:rPr>
  </w:style>
  <w:style w:type="paragraph" w:customStyle="1" w:styleId="Sub-Para1underXY">
    <w:name w:val="Sub-Para 1 under X.Y"/>
    <w:basedOn w:val="Normal"/>
    <w:rsid w:val="001B4D5A"/>
    <w:pPr>
      <w:spacing w:after="240"/>
      <w:ind w:left="1440" w:hanging="720"/>
      <w:outlineLvl w:val="2"/>
    </w:pPr>
    <w:rPr>
      <w:rFonts w:eastAsia="Times New Roman" w:cs="Times New Roman"/>
      <w:szCs w:val="24"/>
    </w:rPr>
  </w:style>
  <w:style w:type="paragraph" w:customStyle="1" w:styleId="Sub-Para2underXY">
    <w:name w:val="Sub-Para 2 under X.Y"/>
    <w:basedOn w:val="Normal"/>
    <w:rsid w:val="001B4D5A"/>
    <w:pPr>
      <w:spacing w:after="240"/>
      <w:ind w:left="2160" w:hanging="720"/>
      <w:outlineLvl w:val="3"/>
    </w:pPr>
    <w:rPr>
      <w:rFonts w:eastAsia="Times New Roman" w:cs="Times New Roman"/>
      <w:szCs w:val="24"/>
    </w:rPr>
  </w:style>
  <w:style w:type="paragraph" w:customStyle="1" w:styleId="Sub-Para3underXY">
    <w:name w:val="Sub-Para 3 under X.Y"/>
    <w:basedOn w:val="Normal"/>
    <w:rsid w:val="001B4D5A"/>
    <w:pPr>
      <w:spacing w:after="240"/>
      <w:ind w:left="2880" w:hanging="720"/>
      <w:outlineLvl w:val="4"/>
    </w:pPr>
    <w:rPr>
      <w:rFonts w:eastAsia="Times New Roman" w:cs="Times New Roman"/>
      <w:szCs w:val="24"/>
    </w:rPr>
  </w:style>
  <w:style w:type="paragraph" w:customStyle="1" w:styleId="Sub-Para4underXY">
    <w:name w:val="Sub-Para 4 under X.Y"/>
    <w:basedOn w:val="Normal"/>
    <w:rsid w:val="001B4D5A"/>
    <w:pPr>
      <w:spacing w:after="240"/>
      <w:ind w:left="3600" w:hanging="720"/>
      <w:outlineLvl w:val="5"/>
    </w:pPr>
    <w:rPr>
      <w:rFonts w:eastAsia="Times New Roman" w:cs="Times New Roman"/>
      <w:szCs w:val="24"/>
    </w:rPr>
  </w:style>
  <w:style w:type="paragraph" w:customStyle="1" w:styleId="Bullet">
    <w:name w:val="Bullet"/>
    <w:basedOn w:val="Normal"/>
    <w:rsid w:val="001B4D5A"/>
    <w:pPr>
      <w:numPr>
        <w:numId w:val="40"/>
      </w:numPr>
      <w:tabs>
        <w:tab w:val="clear" w:pos="1440"/>
      </w:tabs>
    </w:pPr>
    <w:rPr>
      <w:rFonts w:eastAsia="Times New Roman" w:cs="Times New Roman"/>
      <w:szCs w:val="24"/>
    </w:rPr>
  </w:style>
  <w:style w:type="character" w:styleId="FollowedHyperlink">
    <w:name w:val="FollowedHyperlink"/>
    <w:basedOn w:val="DefaultParagraphFont"/>
    <w:uiPriority w:val="99"/>
    <w:rsid w:val="001B4D5A"/>
    <w:rPr>
      <w:color w:val="800080"/>
      <w:u w:val="single"/>
    </w:rPr>
  </w:style>
  <w:style w:type="paragraph" w:customStyle="1" w:styleId="BankNormal">
    <w:name w:val="BankNormal"/>
    <w:basedOn w:val="Normal"/>
    <w:link w:val="BankNormalChar"/>
    <w:rsid w:val="001B4D5A"/>
    <w:pPr>
      <w:spacing w:after="240"/>
    </w:pPr>
    <w:rPr>
      <w:rFonts w:eastAsia="Times New Roman" w:cs="Times New Roman"/>
      <w:szCs w:val="20"/>
    </w:rPr>
  </w:style>
  <w:style w:type="character" w:customStyle="1" w:styleId="BankNormalChar">
    <w:name w:val="BankNormal Char"/>
    <w:basedOn w:val="DefaultParagraphFont"/>
    <w:link w:val="BankNormal"/>
    <w:rsid w:val="001B4D5A"/>
    <w:rPr>
      <w:rFonts w:ascii="Times New Roman" w:eastAsia="Times New Roman" w:hAnsi="Times New Roman" w:cs="Times New Roman"/>
      <w:sz w:val="24"/>
      <w:szCs w:val="20"/>
    </w:rPr>
  </w:style>
  <w:style w:type="character" w:styleId="HTMLCite">
    <w:name w:val="HTML Cite"/>
    <w:basedOn w:val="DefaultParagraphFont"/>
    <w:uiPriority w:val="99"/>
    <w:unhideWhenUsed/>
    <w:rsid w:val="001B4D5A"/>
    <w:rPr>
      <w:i/>
      <w:iCs/>
    </w:rPr>
  </w:style>
  <w:style w:type="character" w:customStyle="1" w:styleId="apple-style-span">
    <w:name w:val="apple-style-span"/>
    <w:basedOn w:val="DefaultParagraphFont"/>
    <w:rsid w:val="001B4D5A"/>
  </w:style>
  <w:style w:type="character" w:customStyle="1" w:styleId="apple-converted-space">
    <w:name w:val="apple-converted-space"/>
    <w:basedOn w:val="DefaultParagraphFont"/>
    <w:rsid w:val="001B4D5A"/>
  </w:style>
  <w:style w:type="character" w:styleId="PageNumber">
    <w:name w:val="page number"/>
    <w:basedOn w:val="DefaultParagraphFont"/>
    <w:rsid w:val="001B4D5A"/>
  </w:style>
  <w:style w:type="table" w:styleId="MediumGrid1-Accent4">
    <w:name w:val="Medium Grid 1 Accent 4"/>
    <w:basedOn w:val="TableNormal"/>
    <w:uiPriority w:val="67"/>
    <w:rsid w:val="001B4D5A"/>
    <w:pPr>
      <w:spacing w:after="0" w:line="240" w:lineRule="auto"/>
    </w:pPr>
    <w:rPr>
      <w:rFonts w:eastAsiaTheme="minorHAnsi"/>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Text1">
    <w:name w:val="Body Text1"/>
    <w:basedOn w:val="Normal"/>
    <w:qFormat/>
    <w:rsid w:val="001B4D5A"/>
    <w:pPr>
      <w:numPr>
        <w:numId w:val="41"/>
      </w:numPr>
      <w:tabs>
        <w:tab w:val="left" w:pos="432"/>
      </w:tabs>
      <w:autoSpaceDE w:val="0"/>
      <w:autoSpaceDN w:val="0"/>
      <w:adjustRightInd w:val="0"/>
      <w:spacing w:after="120"/>
      <w:ind w:left="0" w:firstLine="0"/>
      <w:jc w:val="both"/>
    </w:pPr>
    <w:rPr>
      <w:rFonts w:cs="Times New Roman"/>
      <w:szCs w:val="24"/>
    </w:rPr>
  </w:style>
  <w:style w:type="paragraph" w:customStyle="1" w:styleId="Table">
    <w:name w:val="Table"/>
    <w:basedOn w:val="Normal"/>
    <w:uiPriority w:val="99"/>
    <w:rsid w:val="001B4D5A"/>
    <w:pPr>
      <w:keepNext/>
      <w:keepLines/>
      <w:tabs>
        <w:tab w:val="num" w:pos="1134"/>
        <w:tab w:val="right" w:pos="9072"/>
      </w:tabs>
      <w:spacing w:before="240" w:after="120"/>
      <w:ind w:left="1134" w:hanging="1134"/>
      <w:jc w:val="center"/>
    </w:pPr>
    <w:rPr>
      <w:rFonts w:ascii="Times New Roman Bold" w:eastAsia="Times New Roman" w:hAnsi="Times New Roman Bold" w:cs="Times New Roman"/>
      <w:b/>
      <w:smallCaps/>
      <w:noProof/>
      <w:color w:val="000000"/>
      <w:szCs w:val="24"/>
      <w:lang w:val="en-GB"/>
    </w:rPr>
  </w:style>
  <w:style w:type="character" w:styleId="Strong">
    <w:name w:val="Strong"/>
    <w:basedOn w:val="DefaultParagraphFont"/>
    <w:rsid w:val="001B4D5A"/>
    <w:rPr>
      <w:b/>
      <w:bCs/>
    </w:rPr>
  </w:style>
  <w:style w:type="table" w:customStyle="1" w:styleId="TableGrid3">
    <w:name w:val="Table Grid3"/>
    <w:basedOn w:val="TableNormal"/>
    <w:next w:val="TableGrid"/>
    <w:uiPriority w:val="59"/>
    <w:rsid w:val="00DE4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F68D4"/>
    <w:pPr>
      <w:spacing w:after="200" w:line="276" w:lineRule="auto"/>
    </w:pPr>
    <w:rPr>
      <w:rFonts w:asciiTheme="minorHAnsi" w:hAnsiTheme="minorHAnsi"/>
      <w:i/>
      <w:iCs/>
      <w:color w:val="000000" w:themeColor="text1"/>
      <w:sz w:val="22"/>
      <w:lang w:eastAsia="ja-JP"/>
    </w:rPr>
  </w:style>
  <w:style w:type="character" w:customStyle="1" w:styleId="QuoteChar">
    <w:name w:val="Quote Char"/>
    <w:basedOn w:val="DefaultParagraphFont"/>
    <w:link w:val="Quote"/>
    <w:uiPriority w:val="29"/>
    <w:rsid w:val="006F68D4"/>
    <w:rPr>
      <w:i/>
      <w:iCs/>
      <w:color w:val="000000" w:themeColor="text1"/>
      <w:lang w:eastAsia="ja-JP"/>
    </w:rPr>
  </w:style>
  <w:style w:type="paragraph" w:customStyle="1" w:styleId="font0">
    <w:name w:val="font0"/>
    <w:basedOn w:val="Normal"/>
    <w:rsid w:val="00B063F5"/>
    <w:pPr>
      <w:spacing w:beforeLines="1" w:afterLines="1"/>
    </w:pPr>
    <w:rPr>
      <w:rFonts w:ascii="Verdana" w:hAnsi="Verdana"/>
      <w:sz w:val="20"/>
      <w:szCs w:val="20"/>
      <w:lang w:val="da-DK" w:eastAsia="da-DK"/>
    </w:rPr>
  </w:style>
  <w:style w:type="paragraph" w:customStyle="1" w:styleId="font5">
    <w:name w:val="font5"/>
    <w:basedOn w:val="Normal"/>
    <w:rsid w:val="00B063F5"/>
    <w:pPr>
      <w:spacing w:beforeLines="1" w:afterLines="1"/>
    </w:pPr>
    <w:rPr>
      <w:rFonts w:ascii="Verdana" w:hAnsi="Verdana"/>
      <w:sz w:val="16"/>
      <w:szCs w:val="16"/>
      <w:lang w:val="da-DK" w:eastAsia="da-DK"/>
    </w:rPr>
  </w:style>
  <w:style w:type="paragraph" w:customStyle="1" w:styleId="xl25">
    <w:name w:val="xl25"/>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color w:val="000000"/>
      <w:sz w:val="22"/>
      <w:lang w:val="da-DK" w:eastAsia="da-DK"/>
    </w:rPr>
  </w:style>
  <w:style w:type="paragraph" w:customStyle="1" w:styleId="xl26">
    <w:name w:val="xl26"/>
    <w:basedOn w:val="Normal"/>
    <w:rsid w:val="00B063F5"/>
    <w:pPr>
      <w:pBdr>
        <w:top w:val="single" w:sz="4" w:space="0" w:color="auto"/>
        <w:left w:val="single" w:sz="4" w:space="0" w:color="auto"/>
        <w:bottom w:val="single" w:sz="4" w:space="0" w:color="auto"/>
        <w:right w:val="single" w:sz="4" w:space="0" w:color="auto"/>
      </w:pBdr>
      <w:spacing w:beforeLines="1" w:afterLines="1"/>
    </w:pPr>
    <w:rPr>
      <w:sz w:val="20"/>
      <w:szCs w:val="20"/>
      <w:lang w:val="da-DK" w:eastAsia="da-DK"/>
    </w:rPr>
  </w:style>
  <w:style w:type="paragraph" w:customStyle="1" w:styleId="xl27">
    <w:name w:val="xl27"/>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sz w:val="20"/>
      <w:szCs w:val="20"/>
      <w:lang w:val="da-DK" w:eastAsia="da-DK"/>
    </w:rPr>
  </w:style>
  <w:style w:type="paragraph" w:customStyle="1" w:styleId="xl28">
    <w:name w:val="xl28"/>
    <w:basedOn w:val="Normal"/>
    <w:rsid w:val="00B063F5"/>
    <w:pPr>
      <w:pBdr>
        <w:top w:val="single" w:sz="4" w:space="0" w:color="auto"/>
        <w:left w:val="single" w:sz="4" w:space="0" w:color="auto"/>
        <w:bottom w:val="single" w:sz="4" w:space="0" w:color="auto"/>
        <w:right w:val="single" w:sz="4" w:space="0" w:color="auto"/>
      </w:pBdr>
      <w:spacing w:beforeLines="1" w:afterLines="1"/>
    </w:pPr>
    <w:rPr>
      <w:sz w:val="20"/>
      <w:szCs w:val="20"/>
      <w:lang w:val="da-DK" w:eastAsia="da-DK"/>
    </w:rPr>
  </w:style>
  <w:style w:type="paragraph" w:customStyle="1" w:styleId="xl29">
    <w:name w:val="xl29"/>
    <w:basedOn w:val="Normal"/>
    <w:rsid w:val="00B063F5"/>
    <w:pPr>
      <w:pBdr>
        <w:top w:val="single" w:sz="4" w:space="0" w:color="auto"/>
        <w:left w:val="single" w:sz="4" w:space="0" w:color="auto"/>
        <w:bottom w:val="single" w:sz="4" w:space="0" w:color="auto"/>
        <w:right w:val="single" w:sz="4" w:space="0" w:color="auto"/>
      </w:pBdr>
      <w:spacing w:beforeLines="1" w:afterLines="1"/>
    </w:pPr>
    <w:rPr>
      <w:sz w:val="20"/>
      <w:szCs w:val="20"/>
      <w:lang w:val="da-DK" w:eastAsia="da-DK"/>
    </w:rPr>
  </w:style>
  <w:style w:type="paragraph" w:customStyle="1" w:styleId="xl30">
    <w:name w:val="xl30"/>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color w:val="000000"/>
      <w:szCs w:val="24"/>
      <w:lang w:val="da-DK" w:eastAsia="da-DK"/>
    </w:rPr>
  </w:style>
  <w:style w:type="paragraph" w:customStyle="1" w:styleId="xl31">
    <w:name w:val="xl31"/>
    <w:basedOn w:val="Normal"/>
    <w:rsid w:val="00B063F5"/>
    <w:pPr>
      <w:pBdr>
        <w:top w:val="single" w:sz="4" w:space="0" w:color="auto"/>
        <w:left w:val="single" w:sz="4" w:space="0" w:color="auto"/>
        <w:bottom w:val="single" w:sz="4" w:space="0" w:color="auto"/>
        <w:right w:val="single" w:sz="4" w:space="0" w:color="auto"/>
      </w:pBdr>
      <w:spacing w:beforeLines="1" w:afterLines="1"/>
    </w:pPr>
    <w:rPr>
      <w:i/>
      <w:iCs/>
      <w:color w:val="000000"/>
      <w:sz w:val="22"/>
      <w:lang w:val="da-DK" w:eastAsia="da-DK"/>
    </w:rPr>
  </w:style>
  <w:style w:type="paragraph" w:customStyle="1" w:styleId="xl32">
    <w:name w:val="xl32"/>
    <w:basedOn w:val="Normal"/>
    <w:rsid w:val="00B063F5"/>
    <w:pPr>
      <w:pBdr>
        <w:top w:val="single" w:sz="4" w:space="0" w:color="auto"/>
        <w:left w:val="single" w:sz="4" w:space="0" w:color="auto"/>
        <w:bottom w:val="single" w:sz="4" w:space="0" w:color="auto"/>
        <w:right w:val="single" w:sz="4" w:space="0" w:color="auto"/>
      </w:pBdr>
      <w:spacing w:beforeLines="1" w:afterLines="1"/>
    </w:pPr>
    <w:rPr>
      <w:b/>
      <w:bCs/>
      <w:color w:val="000000"/>
      <w:sz w:val="22"/>
      <w:lang w:val="da-DK" w:eastAsia="da-DK"/>
    </w:rPr>
  </w:style>
  <w:style w:type="paragraph" w:customStyle="1" w:styleId="xl33">
    <w:name w:val="xl33"/>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color w:val="000000"/>
      <w:sz w:val="22"/>
      <w:lang w:val="da-DK" w:eastAsia="da-DK"/>
    </w:rPr>
  </w:style>
  <w:style w:type="paragraph" w:customStyle="1" w:styleId="xl34">
    <w:name w:val="xl34"/>
    <w:basedOn w:val="Normal"/>
    <w:rsid w:val="00B063F5"/>
    <w:pPr>
      <w:pBdr>
        <w:top w:val="single" w:sz="4" w:space="0" w:color="auto"/>
        <w:left w:val="single" w:sz="4" w:space="0" w:color="auto"/>
        <w:bottom w:val="single" w:sz="4" w:space="0" w:color="auto"/>
        <w:right w:val="single" w:sz="4" w:space="0" w:color="auto"/>
      </w:pBdr>
      <w:shd w:val="clear" w:color="auto" w:fill="99CCFF"/>
      <w:spacing w:beforeLines="1" w:afterLines="1"/>
    </w:pPr>
    <w:rPr>
      <w:b/>
      <w:bCs/>
      <w:color w:val="000000"/>
      <w:sz w:val="22"/>
      <w:lang w:val="da-DK" w:eastAsia="da-DK"/>
    </w:rPr>
  </w:style>
  <w:style w:type="paragraph" w:customStyle="1" w:styleId="xl35">
    <w:name w:val="xl35"/>
    <w:basedOn w:val="Normal"/>
    <w:rsid w:val="00B063F5"/>
    <w:pPr>
      <w:pBdr>
        <w:top w:val="single" w:sz="4" w:space="0" w:color="auto"/>
        <w:left w:val="single" w:sz="4" w:space="0" w:color="auto"/>
        <w:bottom w:val="single" w:sz="4" w:space="0" w:color="auto"/>
        <w:right w:val="single" w:sz="4" w:space="0" w:color="auto"/>
      </w:pBdr>
      <w:spacing w:beforeLines="1" w:afterLines="1"/>
    </w:pPr>
    <w:rPr>
      <w:b/>
      <w:bCs/>
      <w:color w:val="000000"/>
      <w:sz w:val="22"/>
      <w:lang w:val="da-DK" w:eastAsia="da-DK"/>
    </w:rPr>
  </w:style>
  <w:style w:type="paragraph" w:customStyle="1" w:styleId="xl36">
    <w:name w:val="xl36"/>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sz w:val="20"/>
      <w:szCs w:val="20"/>
      <w:lang w:val="da-DK" w:eastAsia="da-DK"/>
    </w:rPr>
  </w:style>
  <w:style w:type="paragraph" w:customStyle="1" w:styleId="xl37">
    <w:name w:val="xl37"/>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sz w:val="20"/>
      <w:szCs w:val="20"/>
      <w:lang w:val="da-DK" w:eastAsia="da-DK"/>
    </w:rPr>
  </w:style>
  <w:style w:type="paragraph" w:customStyle="1" w:styleId="xl38">
    <w:name w:val="xl38"/>
    <w:basedOn w:val="Normal"/>
    <w:rsid w:val="00B063F5"/>
    <w:pPr>
      <w:pBdr>
        <w:top w:val="single" w:sz="4" w:space="0" w:color="auto"/>
        <w:left w:val="single" w:sz="4" w:space="0" w:color="auto"/>
        <w:bottom w:val="single" w:sz="4" w:space="0" w:color="auto"/>
        <w:right w:val="single" w:sz="4" w:space="0" w:color="auto"/>
      </w:pBdr>
      <w:spacing w:beforeLines="1" w:afterLines="1"/>
      <w:jc w:val="center"/>
    </w:pPr>
    <w:rPr>
      <w:b/>
      <w:bCs/>
      <w:sz w:val="20"/>
      <w:szCs w:val="20"/>
      <w:lang w:val="da-DK" w:eastAsia="da-DK"/>
    </w:rPr>
  </w:style>
  <w:style w:type="paragraph" w:customStyle="1" w:styleId="xl39">
    <w:name w:val="xl39"/>
    <w:basedOn w:val="Normal"/>
    <w:rsid w:val="00B063F5"/>
    <w:pPr>
      <w:pBdr>
        <w:top w:val="single" w:sz="4" w:space="0" w:color="auto"/>
        <w:left w:val="single" w:sz="4" w:space="0" w:color="auto"/>
        <w:bottom w:val="single" w:sz="4" w:space="0" w:color="auto"/>
        <w:right w:val="single" w:sz="4" w:space="0" w:color="auto"/>
      </w:pBdr>
      <w:spacing w:beforeLines="1" w:afterLines="1"/>
    </w:pPr>
    <w:rPr>
      <w:color w:val="000000"/>
      <w:sz w:val="22"/>
      <w:lang w:val="da-DK" w:eastAsia="da-DK"/>
    </w:rPr>
  </w:style>
  <w:style w:type="paragraph" w:customStyle="1" w:styleId="xl40">
    <w:name w:val="xl40"/>
    <w:basedOn w:val="Normal"/>
    <w:rsid w:val="00B063F5"/>
    <w:pPr>
      <w:pBdr>
        <w:top w:val="single" w:sz="4" w:space="0" w:color="auto"/>
        <w:left w:val="single" w:sz="4" w:space="0" w:color="auto"/>
        <w:bottom w:val="single" w:sz="4" w:space="0" w:color="auto"/>
        <w:right w:val="single" w:sz="4" w:space="0" w:color="auto"/>
      </w:pBdr>
      <w:spacing w:beforeLines="1" w:afterLines="1"/>
    </w:pPr>
    <w:rPr>
      <w:b/>
      <w:bCs/>
      <w:sz w:val="20"/>
      <w:szCs w:val="20"/>
      <w:lang w:val="da-DK" w:eastAsia="da-DK"/>
    </w:rPr>
  </w:style>
  <w:style w:type="character" w:customStyle="1" w:styleId="MainParawithChapterChar">
    <w:name w:val="Main Para with Chapter# Char"/>
    <w:link w:val="MainParawithChapter"/>
    <w:rsid w:val="001772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20324">
      <w:bodyDiv w:val="1"/>
      <w:marLeft w:val="0"/>
      <w:marRight w:val="0"/>
      <w:marTop w:val="0"/>
      <w:marBottom w:val="0"/>
      <w:divBdr>
        <w:top w:val="none" w:sz="0" w:space="0" w:color="auto"/>
        <w:left w:val="none" w:sz="0" w:space="0" w:color="auto"/>
        <w:bottom w:val="none" w:sz="0" w:space="0" w:color="auto"/>
        <w:right w:val="none" w:sz="0" w:space="0" w:color="auto"/>
      </w:divBdr>
    </w:div>
    <w:div w:id="15084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QuickStyle" Target="diagrams/quickStyle1.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Layout" Target="diagrams/layout1.xml"/><Relationship Id="rId25" Type="http://schemas.openxmlformats.org/officeDocument/2006/relationships/package" Target="embeddings/Microsoft_PowerPoint_Slide1.sldx"/><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2.emf"/><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1.jpeg"/><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diagramColors" Target="diagrams/colors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image" Target="media/image4.pn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espersteffensen:Documents:data%20brug%20denne%20november%202008:Ethiopia%202013:Appraisal:2014%20DLI%20and%20calculations:February%20:ULGDP-DLI%20Allocation%20Model%20-%20Feb.%204%20-%20323%20million%20US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nos\Documents\SUDCA\employment%20creatio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7079286964129542"/>
          <c:y val="7.4074074074074112E-2"/>
          <c:w val="0.70870734908136457"/>
          <c:h val="0.59808326042578053"/>
        </c:manualLayout>
      </c:layout>
      <c:barChart>
        <c:barDir val="col"/>
        <c:grouping val="clustered"/>
        <c:varyColors val="0"/>
        <c:ser>
          <c:idx val="0"/>
          <c:order val="0"/>
          <c:invertIfNegative val="0"/>
          <c:dLbls>
            <c:delete val="1"/>
          </c:dLbls>
          <c:cat>
            <c:strRef>
              <c:f>'DLI 2 FY2014_15'!$E$61:$E$72</c:f>
              <c:strCache>
                <c:ptCount val="12"/>
                <c:pt idx="0">
                  <c:v>Non-compliance</c:v>
                </c:pt>
                <c:pt idx="1">
                  <c:v>0 points + compl.</c:v>
                </c:pt>
                <c:pt idx="2">
                  <c:v>10 points</c:v>
                </c:pt>
                <c:pt idx="3">
                  <c:v>20 points</c:v>
                </c:pt>
                <c:pt idx="4">
                  <c:v>30 points</c:v>
                </c:pt>
                <c:pt idx="5">
                  <c:v>40 points</c:v>
                </c:pt>
                <c:pt idx="6">
                  <c:v>50 points</c:v>
                </c:pt>
                <c:pt idx="7">
                  <c:v>60 points</c:v>
                </c:pt>
                <c:pt idx="8">
                  <c:v>70 points</c:v>
                </c:pt>
                <c:pt idx="9">
                  <c:v>80 points</c:v>
                </c:pt>
                <c:pt idx="10">
                  <c:v>90 points</c:v>
                </c:pt>
                <c:pt idx="11">
                  <c:v>100 points</c:v>
                </c:pt>
              </c:strCache>
            </c:strRef>
          </c:cat>
          <c:val>
            <c:numRef>
              <c:f>'DLI 2 FY2014_15'!$F$61:$F$72</c:f>
              <c:numCache>
                <c:formatCode>0.00</c:formatCode>
                <c:ptCount val="12"/>
                <c:pt idx="0" formatCode="General">
                  <c:v>0</c:v>
                </c:pt>
                <c:pt idx="1">
                  <c:v>4.1399999999999997</c:v>
                </c:pt>
                <c:pt idx="2">
                  <c:v>6.1499999999999986</c:v>
                </c:pt>
                <c:pt idx="3">
                  <c:v>8.120000000000001</c:v>
                </c:pt>
                <c:pt idx="4">
                  <c:v>10.050000000000002</c:v>
                </c:pt>
                <c:pt idx="5">
                  <c:v>11.96</c:v>
                </c:pt>
                <c:pt idx="6">
                  <c:v>13.84</c:v>
                </c:pt>
                <c:pt idx="7">
                  <c:v>15.69</c:v>
                </c:pt>
                <c:pt idx="8">
                  <c:v>17.51000000000003</c:v>
                </c:pt>
                <c:pt idx="9">
                  <c:v>19.3</c:v>
                </c:pt>
                <c:pt idx="10">
                  <c:v>21.08</c:v>
                </c:pt>
                <c:pt idx="11">
                  <c:v>22.830000000000005</c:v>
                </c:pt>
              </c:numCache>
            </c:numRef>
          </c:val>
        </c:ser>
        <c:dLbls>
          <c:showLegendKey val="0"/>
          <c:showVal val="1"/>
          <c:showCatName val="0"/>
          <c:showSerName val="0"/>
          <c:showPercent val="0"/>
          <c:showBubbleSize val="0"/>
        </c:dLbls>
        <c:gapWidth val="150"/>
        <c:axId val="25835392"/>
        <c:axId val="55877632"/>
      </c:barChart>
      <c:catAx>
        <c:axId val="25835392"/>
        <c:scaling>
          <c:orientation val="minMax"/>
        </c:scaling>
        <c:delete val="0"/>
        <c:axPos val="b"/>
        <c:title>
          <c:tx>
            <c:rich>
              <a:bodyPr/>
              <a:lstStyle/>
              <a:p>
                <a:pPr>
                  <a:defRPr lang="en-US"/>
                </a:pPr>
                <a:r>
                  <a:rPr lang="da-DK"/>
                  <a:t>Allocation per capita US$</a:t>
                </a:r>
                <a:r>
                  <a:rPr lang="da-DK" baseline="0"/>
                  <a:t> p.a.</a:t>
                </a:r>
                <a:r>
                  <a:rPr lang="da-DK"/>
                  <a:t> against performance</a:t>
                </a:r>
              </a:p>
            </c:rich>
          </c:tx>
          <c:overlay val="0"/>
        </c:title>
        <c:majorTickMark val="out"/>
        <c:minorTickMark val="none"/>
        <c:tickLblPos val="nextTo"/>
        <c:txPr>
          <a:bodyPr/>
          <a:lstStyle/>
          <a:p>
            <a:pPr>
              <a:defRPr lang="en-US"/>
            </a:pPr>
            <a:endParaRPr lang="en-US"/>
          </a:p>
        </c:txPr>
        <c:crossAx val="55877632"/>
        <c:crosses val="autoZero"/>
        <c:auto val="1"/>
        <c:lblAlgn val="ctr"/>
        <c:lblOffset val="100"/>
        <c:noMultiLvlLbl val="0"/>
      </c:catAx>
      <c:valAx>
        <c:axId val="55877632"/>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258353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US"/>
          </a:pPr>
          <a:endParaRPr lang="en-US"/>
        </a:p>
      </c:tx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5208364274829742"/>
          <c:y val="0.21875000000000042"/>
          <c:w val="0.52916774326119598"/>
          <c:h val="0.56875000000000264"/>
        </c:manualLayout>
      </c:layout>
      <c:bar3DChart>
        <c:barDir val="col"/>
        <c:grouping val="clustered"/>
        <c:varyColors val="0"/>
        <c:ser>
          <c:idx val="0"/>
          <c:order val="0"/>
          <c:tx>
            <c:strRef>
              <c:f>'Job Created'!$B$6</c:f>
              <c:strCache>
                <c:ptCount val="1"/>
                <c:pt idx="0">
                  <c:v>No. of  Employment Created by ULGDP</c:v>
                </c:pt>
              </c:strCache>
            </c:strRef>
          </c:tx>
          <c:invertIfNegative val="0"/>
          <c:dLbls>
            <c:txPr>
              <a:bodyPr/>
              <a:lstStyle/>
              <a:p>
                <a:pPr>
                  <a:defRPr lang="en-US"/>
                </a:pPr>
                <a:endParaRPr lang="en-US"/>
              </a:p>
            </c:txPr>
            <c:showLegendKey val="0"/>
            <c:showVal val="1"/>
            <c:showCatName val="0"/>
            <c:showSerName val="0"/>
            <c:showPercent val="0"/>
            <c:showBubbleSize val="0"/>
            <c:showLeaderLines val="0"/>
          </c:dLbls>
          <c:cat>
            <c:strRef>
              <c:f>'Job Created'!$C$5:$G$5</c:f>
              <c:strCache>
                <c:ptCount val="5"/>
                <c:pt idx="0">
                  <c:v>2008/9</c:v>
                </c:pt>
                <c:pt idx="1">
                  <c:v>2009/10</c:v>
                </c:pt>
                <c:pt idx="2">
                  <c:v>2010/11</c:v>
                </c:pt>
                <c:pt idx="3">
                  <c:v>2011/12</c:v>
                </c:pt>
                <c:pt idx="4">
                  <c:v>2012/13</c:v>
                </c:pt>
              </c:strCache>
            </c:strRef>
          </c:cat>
          <c:val>
            <c:numRef>
              <c:f>'Job Created'!$C$6:$G$6</c:f>
              <c:numCache>
                <c:formatCode>_(* #,##0_);_(* \(#,##0\);_(* "-"??_);_(@_)</c:formatCode>
                <c:ptCount val="5"/>
                <c:pt idx="0">
                  <c:v>19307</c:v>
                </c:pt>
                <c:pt idx="1">
                  <c:v>65803</c:v>
                </c:pt>
                <c:pt idx="2">
                  <c:v>92294</c:v>
                </c:pt>
                <c:pt idx="3">
                  <c:v>47554</c:v>
                </c:pt>
                <c:pt idx="4" formatCode="General">
                  <c:v>87502</c:v>
                </c:pt>
              </c:numCache>
            </c:numRef>
          </c:val>
        </c:ser>
        <c:dLbls>
          <c:showLegendKey val="0"/>
          <c:showVal val="0"/>
          <c:showCatName val="0"/>
          <c:showSerName val="0"/>
          <c:showPercent val="0"/>
          <c:showBubbleSize val="0"/>
        </c:dLbls>
        <c:gapWidth val="150"/>
        <c:shape val="cylinder"/>
        <c:axId val="67506560"/>
        <c:axId val="67508096"/>
        <c:axId val="0"/>
      </c:bar3DChart>
      <c:catAx>
        <c:axId val="67506560"/>
        <c:scaling>
          <c:orientation val="minMax"/>
        </c:scaling>
        <c:delete val="0"/>
        <c:axPos val="b"/>
        <c:numFmt formatCode="General" sourceLinked="1"/>
        <c:majorTickMark val="out"/>
        <c:minorTickMark val="none"/>
        <c:tickLblPos val="nextTo"/>
        <c:txPr>
          <a:bodyPr/>
          <a:lstStyle/>
          <a:p>
            <a:pPr>
              <a:defRPr lang="en-US"/>
            </a:pPr>
            <a:endParaRPr lang="en-US"/>
          </a:p>
        </c:txPr>
        <c:crossAx val="67508096"/>
        <c:crosses val="autoZero"/>
        <c:auto val="1"/>
        <c:lblAlgn val="ctr"/>
        <c:lblOffset val="100"/>
        <c:noMultiLvlLbl val="0"/>
      </c:catAx>
      <c:valAx>
        <c:axId val="67508096"/>
        <c:scaling>
          <c:orientation val="minMax"/>
        </c:scaling>
        <c:delete val="0"/>
        <c:axPos val="l"/>
        <c:majorGridlines/>
        <c:numFmt formatCode="_(* #,##0_);_(* \(#,##0\);_(* &quot;-&quot;??_);_(@_)" sourceLinked="1"/>
        <c:majorTickMark val="out"/>
        <c:minorTickMark val="none"/>
        <c:tickLblPos val="nextTo"/>
        <c:txPr>
          <a:bodyPr/>
          <a:lstStyle/>
          <a:p>
            <a:pPr>
              <a:defRPr lang="en-US"/>
            </a:pPr>
            <a:endParaRPr lang="en-US"/>
          </a:p>
        </c:txPr>
        <c:crossAx val="67506560"/>
        <c:crosses val="autoZero"/>
        <c:crossBetween val="between"/>
      </c:valAx>
      <c:spPr>
        <a:noFill/>
        <a:ln w="25400">
          <a:noFill/>
        </a:ln>
      </c:spPr>
    </c:plotArea>
    <c:legend>
      <c:legendPos val="r"/>
      <c:layout>
        <c:manualLayout>
          <c:xMode val="edge"/>
          <c:yMode val="edge"/>
          <c:x val="0.71041811201601601"/>
          <c:y val="0.52187500000000164"/>
          <c:w val="0.27291722191817602"/>
          <c:h val="0.125"/>
        </c:manualLayout>
      </c:layout>
      <c:overlay val="0"/>
      <c:txPr>
        <a:bodyPr/>
        <a:lstStyle/>
        <a:p>
          <a:pPr>
            <a:defRPr lang="en-US"/>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938750-1144-4521-9E10-3958C19ABC48}"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B74F4214-E411-44AA-BFA2-FD05195DCD68}">
      <dgm:prSet phldrT="[Text]" custT="1"/>
      <dgm:spPr/>
      <dgm:t>
        <a:bodyPr/>
        <a:lstStyle/>
        <a:p>
          <a:pPr algn="ctr"/>
          <a:r>
            <a:rPr lang="en-US" sz="1200" b="1" u="sng"/>
            <a:t>September </a:t>
          </a:r>
        </a:p>
        <a:p>
          <a:pPr algn="ctr"/>
          <a:r>
            <a:rPr lang="en-US" sz="1200" b="1"/>
            <a:t>Annual Assessment Started</a:t>
          </a:r>
        </a:p>
      </dgm:t>
    </dgm:pt>
    <dgm:pt modelId="{B2D51B93-F3B7-4F64-ABDB-349412AF1FFC}" type="parTrans" cxnId="{D054F16B-D358-4948-9DF0-581A2FBD4C13}">
      <dgm:prSet/>
      <dgm:spPr/>
      <dgm:t>
        <a:bodyPr/>
        <a:lstStyle/>
        <a:p>
          <a:pPr algn="ctr"/>
          <a:endParaRPr lang="en-US"/>
        </a:p>
      </dgm:t>
    </dgm:pt>
    <dgm:pt modelId="{7B0A3532-35AC-449B-8EC2-71EE1AAFF388}" type="sibTrans" cxnId="{D054F16B-D358-4948-9DF0-581A2FBD4C13}">
      <dgm:prSet/>
      <dgm:spPr/>
      <dgm:t>
        <a:bodyPr/>
        <a:lstStyle/>
        <a:p>
          <a:pPr algn="ctr"/>
          <a:endParaRPr lang="en-US"/>
        </a:p>
      </dgm:t>
    </dgm:pt>
    <dgm:pt modelId="{2664BAED-9220-4F9C-8FA4-0B1C9D71D3F6}">
      <dgm:prSet phldrT="[Text]" custT="1"/>
      <dgm:spPr/>
      <dgm:t>
        <a:bodyPr/>
        <a:lstStyle/>
        <a:p>
          <a:pPr algn="ctr"/>
          <a:r>
            <a:rPr lang="en-US" sz="1200" b="1" u="sng"/>
            <a:t>November </a:t>
          </a:r>
        </a:p>
        <a:p>
          <a:pPr algn="ctr"/>
          <a:r>
            <a:rPr lang="en-US" sz="1200" b="1"/>
            <a:t>Annual Assessment Completed (audit results incorporated in January)</a:t>
          </a:r>
        </a:p>
      </dgm:t>
    </dgm:pt>
    <dgm:pt modelId="{6367825D-A331-4306-9623-45CE199EC5D3}" type="parTrans" cxnId="{5228BF73-B0ED-480D-84FD-FC0FE4CE34CB}">
      <dgm:prSet/>
      <dgm:spPr/>
      <dgm:t>
        <a:bodyPr/>
        <a:lstStyle/>
        <a:p>
          <a:pPr algn="ctr"/>
          <a:endParaRPr lang="en-US"/>
        </a:p>
      </dgm:t>
    </dgm:pt>
    <dgm:pt modelId="{649DFDB0-507B-4E5D-B25B-6629DF1AFF47}" type="sibTrans" cxnId="{5228BF73-B0ED-480D-84FD-FC0FE4CE34CB}">
      <dgm:prSet/>
      <dgm:spPr/>
      <dgm:t>
        <a:bodyPr/>
        <a:lstStyle/>
        <a:p>
          <a:pPr algn="ctr"/>
          <a:endParaRPr lang="en-US"/>
        </a:p>
      </dgm:t>
    </dgm:pt>
    <dgm:pt modelId="{84B7C8ED-5085-4DA7-80B6-DC0CB83F9B6E}">
      <dgm:prSet phldrT="[Text]" custT="1"/>
      <dgm:spPr/>
      <dgm:t>
        <a:bodyPr/>
        <a:lstStyle/>
        <a:p>
          <a:pPr algn="ctr"/>
          <a:r>
            <a:rPr lang="en-US" sz="1200" b="1" u="sng"/>
            <a:t>July</a:t>
          </a:r>
        </a:p>
        <a:p>
          <a:pPr algn="ctr"/>
          <a:r>
            <a:rPr lang="en-US" sz="1200" b="1"/>
            <a:t>50% of  annual disbursement made to Cities</a:t>
          </a:r>
        </a:p>
      </dgm:t>
    </dgm:pt>
    <dgm:pt modelId="{DBF0A246-247A-41B0-9ABF-AEA679B82CD9}" type="parTrans" cxnId="{BFB8EEF2-368C-4786-82D4-CA584CF4295A}">
      <dgm:prSet/>
      <dgm:spPr/>
      <dgm:t>
        <a:bodyPr/>
        <a:lstStyle/>
        <a:p>
          <a:pPr algn="ctr"/>
          <a:endParaRPr lang="en-US"/>
        </a:p>
      </dgm:t>
    </dgm:pt>
    <dgm:pt modelId="{CFCAC2CB-F633-49CA-8472-4B88180401C0}" type="sibTrans" cxnId="{BFB8EEF2-368C-4786-82D4-CA584CF4295A}">
      <dgm:prSet/>
      <dgm:spPr/>
      <dgm:t>
        <a:bodyPr/>
        <a:lstStyle/>
        <a:p>
          <a:pPr algn="ctr"/>
          <a:endParaRPr lang="en-US"/>
        </a:p>
      </dgm:t>
    </dgm:pt>
    <dgm:pt modelId="{F5C5053F-F2F9-40D9-B296-A56ADD74AFD4}">
      <dgm:prSet phldrT="[Text]" custT="1"/>
      <dgm:spPr/>
      <dgm:t>
        <a:bodyPr/>
        <a:lstStyle/>
        <a:p>
          <a:pPr algn="ctr"/>
          <a:r>
            <a:rPr lang="en-US" sz="1200" b="1" u="sng"/>
            <a:t>January</a:t>
          </a:r>
          <a:r>
            <a:rPr lang="en-US" sz="1200" b="1" u="none"/>
            <a:t> </a:t>
          </a:r>
          <a:r>
            <a:rPr lang="en-US" sz="1200" b="1"/>
            <a:t>50% of  annual disbursement made to cities</a:t>
          </a:r>
        </a:p>
        <a:p>
          <a:pPr algn="ctr"/>
          <a:endParaRPr lang="en-US" sz="2000" b="1"/>
        </a:p>
      </dgm:t>
    </dgm:pt>
    <dgm:pt modelId="{DD8C986A-6D66-465A-B245-8DFBB764C7A6}" type="sibTrans" cxnId="{812FF6FB-5A39-4ED1-B922-08303CDC38E5}">
      <dgm:prSet/>
      <dgm:spPr/>
      <dgm:t>
        <a:bodyPr/>
        <a:lstStyle/>
        <a:p>
          <a:pPr algn="ctr"/>
          <a:endParaRPr lang="en-US"/>
        </a:p>
      </dgm:t>
    </dgm:pt>
    <dgm:pt modelId="{F77ED845-4489-4DB1-90C7-9E852A87D2CA}" type="parTrans" cxnId="{812FF6FB-5A39-4ED1-B922-08303CDC38E5}">
      <dgm:prSet/>
      <dgm:spPr/>
      <dgm:t>
        <a:bodyPr/>
        <a:lstStyle/>
        <a:p>
          <a:pPr algn="ctr"/>
          <a:endParaRPr lang="en-US"/>
        </a:p>
      </dgm:t>
    </dgm:pt>
    <dgm:pt modelId="{59F9502F-BC51-41BB-9A45-0D23A3A59E00}" type="pres">
      <dgm:prSet presAssocID="{2D938750-1144-4521-9E10-3958C19ABC48}" presName="cycle" presStyleCnt="0">
        <dgm:presLayoutVars>
          <dgm:dir/>
          <dgm:resizeHandles val="exact"/>
        </dgm:presLayoutVars>
      </dgm:prSet>
      <dgm:spPr/>
      <dgm:t>
        <a:bodyPr/>
        <a:lstStyle/>
        <a:p>
          <a:endParaRPr lang="en-US"/>
        </a:p>
      </dgm:t>
    </dgm:pt>
    <dgm:pt modelId="{33C1C682-A6FC-4468-B70D-0546D7FA2980}" type="pres">
      <dgm:prSet presAssocID="{B74F4214-E411-44AA-BFA2-FD05195DCD68}" presName="node" presStyleLbl="node1" presStyleIdx="0" presStyleCnt="4" custScaleX="113370" custScaleY="157109" custRadScaleRad="102404">
        <dgm:presLayoutVars>
          <dgm:bulletEnabled val="1"/>
        </dgm:presLayoutVars>
      </dgm:prSet>
      <dgm:spPr/>
      <dgm:t>
        <a:bodyPr/>
        <a:lstStyle/>
        <a:p>
          <a:endParaRPr lang="en-US"/>
        </a:p>
      </dgm:t>
    </dgm:pt>
    <dgm:pt modelId="{3B5E9CEF-9C7D-460F-979D-9FDB4757FE2A}" type="pres">
      <dgm:prSet presAssocID="{B74F4214-E411-44AA-BFA2-FD05195DCD68}" presName="spNode" presStyleCnt="0"/>
      <dgm:spPr/>
    </dgm:pt>
    <dgm:pt modelId="{8931384A-36B9-4112-93FF-1C47C2BC6E61}" type="pres">
      <dgm:prSet presAssocID="{7B0A3532-35AC-449B-8EC2-71EE1AAFF388}" presName="sibTrans" presStyleLbl="sibTrans1D1" presStyleIdx="0" presStyleCnt="4"/>
      <dgm:spPr/>
      <dgm:t>
        <a:bodyPr/>
        <a:lstStyle/>
        <a:p>
          <a:endParaRPr lang="en-US"/>
        </a:p>
      </dgm:t>
    </dgm:pt>
    <dgm:pt modelId="{2F56013F-5158-468B-B480-3AA4E85D51EF}" type="pres">
      <dgm:prSet presAssocID="{2664BAED-9220-4F9C-8FA4-0B1C9D71D3F6}" presName="node" presStyleLbl="node1" presStyleIdx="1" presStyleCnt="4" custScaleX="164903" custScaleY="175258" custRadScaleRad="127448" custRadScaleInc="3665">
        <dgm:presLayoutVars>
          <dgm:bulletEnabled val="1"/>
        </dgm:presLayoutVars>
      </dgm:prSet>
      <dgm:spPr/>
      <dgm:t>
        <a:bodyPr/>
        <a:lstStyle/>
        <a:p>
          <a:endParaRPr lang="en-US"/>
        </a:p>
      </dgm:t>
    </dgm:pt>
    <dgm:pt modelId="{28DB2EC5-FAF8-47B3-83C0-D8368DE0AB6E}" type="pres">
      <dgm:prSet presAssocID="{2664BAED-9220-4F9C-8FA4-0B1C9D71D3F6}" presName="spNode" presStyleCnt="0"/>
      <dgm:spPr/>
    </dgm:pt>
    <dgm:pt modelId="{6A0DC9D0-831E-4325-8479-4CC11EDB50F6}" type="pres">
      <dgm:prSet presAssocID="{649DFDB0-507B-4E5D-B25B-6629DF1AFF47}" presName="sibTrans" presStyleLbl="sibTrans1D1" presStyleIdx="1" presStyleCnt="4"/>
      <dgm:spPr/>
      <dgm:t>
        <a:bodyPr/>
        <a:lstStyle/>
        <a:p>
          <a:endParaRPr lang="en-US"/>
        </a:p>
      </dgm:t>
    </dgm:pt>
    <dgm:pt modelId="{1696910A-CDC0-4B20-AEAE-41CCE4E4B416}" type="pres">
      <dgm:prSet presAssocID="{84B7C8ED-5085-4DA7-80B6-DC0CB83F9B6E}" presName="node" presStyleLbl="node1" presStyleIdx="2" presStyleCnt="4" custScaleX="114280" custScaleY="179921" custRadScaleRad="97596">
        <dgm:presLayoutVars>
          <dgm:bulletEnabled val="1"/>
        </dgm:presLayoutVars>
      </dgm:prSet>
      <dgm:spPr/>
      <dgm:t>
        <a:bodyPr/>
        <a:lstStyle/>
        <a:p>
          <a:endParaRPr lang="en-US"/>
        </a:p>
      </dgm:t>
    </dgm:pt>
    <dgm:pt modelId="{E202661A-58CE-40CB-BB01-77FAE40560DB}" type="pres">
      <dgm:prSet presAssocID="{84B7C8ED-5085-4DA7-80B6-DC0CB83F9B6E}" presName="spNode" presStyleCnt="0"/>
      <dgm:spPr/>
    </dgm:pt>
    <dgm:pt modelId="{F0DA4443-A999-4573-9119-D4870453F0DF}" type="pres">
      <dgm:prSet presAssocID="{CFCAC2CB-F633-49CA-8472-4B88180401C0}" presName="sibTrans" presStyleLbl="sibTrans1D1" presStyleIdx="2" presStyleCnt="4"/>
      <dgm:spPr/>
      <dgm:t>
        <a:bodyPr/>
        <a:lstStyle/>
        <a:p>
          <a:endParaRPr lang="en-US"/>
        </a:p>
      </dgm:t>
    </dgm:pt>
    <dgm:pt modelId="{B72CD4B3-6D44-4BC2-BEA5-BE780EBF526B}" type="pres">
      <dgm:prSet presAssocID="{F5C5053F-F2F9-40D9-B296-A56ADD74AFD4}" presName="node" presStyleLbl="node1" presStyleIdx="3" presStyleCnt="4" custScaleX="114988" custScaleY="183122" custRadScaleRad="100029" custRadScaleInc="4590">
        <dgm:presLayoutVars>
          <dgm:bulletEnabled val="1"/>
        </dgm:presLayoutVars>
      </dgm:prSet>
      <dgm:spPr/>
      <dgm:t>
        <a:bodyPr/>
        <a:lstStyle/>
        <a:p>
          <a:endParaRPr lang="en-US"/>
        </a:p>
      </dgm:t>
    </dgm:pt>
    <dgm:pt modelId="{1952B206-6E5B-455E-B30F-09D6080A5399}" type="pres">
      <dgm:prSet presAssocID="{F5C5053F-F2F9-40D9-B296-A56ADD74AFD4}" presName="spNode" presStyleCnt="0"/>
      <dgm:spPr/>
    </dgm:pt>
    <dgm:pt modelId="{51DDCB98-9AE4-48C7-BC95-5D0B35A4C03C}" type="pres">
      <dgm:prSet presAssocID="{DD8C986A-6D66-465A-B245-8DFBB764C7A6}" presName="sibTrans" presStyleLbl="sibTrans1D1" presStyleIdx="3" presStyleCnt="4"/>
      <dgm:spPr/>
      <dgm:t>
        <a:bodyPr/>
        <a:lstStyle/>
        <a:p>
          <a:endParaRPr lang="en-US"/>
        </a:p>
      </dgm:t>
    </dgm:pt>
  </dgm:ptLst>
  <dgm:cxnLst>
    <dgm:cxn modelId="{CD8A3627-A51F-4193-B5E8-79F00B1D2F28}" type="presOf" srcId="{CFCAC2CB-F633-49CA-8472-4B88180401C0}" destId="{F0DA4443-A999-4573-9119-D4870453F0DF}" srcOrd="0" destOrd="0" presId="urn:microsoft.com/office/officeart/2005/8/layout/cycle6"/>
    <dgm:cxn modelId="{4F17A437-2FB8-4A3A-9C6E-03E00812BA36}" type="presOf" srcId="{2D938750-1144-4521-9E10-3958C19ABC48}" destId="{59F9502F-BC51-41BB-9A45-0D23A3A59E00}" srcOrd="0" destOrd="0" presId="urn:microsoft.com/office/officeart/2005/8/layout/cycle6"/>
    <dgm:cxn modelId="{BFB8EEF2-368C-4786-82D4-CA584CF4295A}" srcId="{2D938750-1144-4521-9E10-3958C19ABC48}" destId="{84B7C8ED-5085-4DA7-80B6-DC0CB83F9B6E}" srcOrd="2" destOrd="0" parTransId="{DBF0A246-247A-41B0-9ABF-AEA679B82CD9}" sibTransId="{CFCAC2CB-F633-49CA-8472-4B88180401C0}"/>
    <dgm:cxn modelId="{57DA4188-9A87-4261-99D9-2FD026757D86}" type="presOf" srcId="{84B7C8ED-5085-4DA7-80B6-DC0CB83F9B6E}" destId="{1696910A-CDC0-4B20-AEAE-41CCE4E4B416}" srcOrd="0" destOrd="0" presId="urn:microsoft.com/office/officeart/2005/8/layout/cycle6"/>
    <dgm:cxn modelId="{5228BF73-B0ED-480D-84FD-FC0FE4CE34CB}" srcId="{2D938750-1144-4521-9E10-3958C19ABC48}" destId="{2664BAED-9220-4F9C-8FA4-0B1C9D71D3F6}" srcOrd="1" destOrd="0" parTransId="{6367825D-A331-4306-9623-45CE199EC5D3}" sibTransId="{649DFDB0-507B-4E5D-B25B-6629DF1AFF47}"/>
    <dgm:cxn modelId="{73DA9089-6B0F-4391-ACAF-1AC2C2985A51}" type="presOf" srcId="{B74F4214-E411-44AA-BFA2-FD05195DCD68}" destId="{33C1C682-A6FC-4468-B70D-0546D7FA2980}" srcOrd="0" destOrd="0" presId="urn:microsoft.com/office/officeart/2005/8/layout/cycle6"/>
    <dgm:cxn modelId="{D054F16B-D358-4948-9DF0-581A2FBD4C13}" srcId="{2D938750-1144-4521-9E10-3958C19ABC48}" destId="{B74F4214-E411-44AA-BFA2-FD05195DCD68}" srcOrd="0" destOrd="0" parTransId="{B2D51B93-F3B7-4F64-ABDB-349412AF1FFC}" sibTransId="{7B0A3532-35AC-449B-8EC2-71EE1AAFF388}"/>
    <dgm:cxn modelId="{C5F495ED-1DA5-4CA2-8058-D481657FE9A2}" type="presOf" srcId="{2664BAED-9220-4F9C-8FA4-0B1C9D71D3F6}" destId="{2F56013F-5158-468B-B480-3AA4E85D51EF}" srcOrd="0" destOrd="0" presId="urn:microsoft.com/office/officeart/2005/8/layout/cycle6"/>
    <dgm:cxn modelId="{1610E801-86F4-482F-85CB-9AEB11577105}" type="presOf" srcId="{DD8C986A-6D66-465A-B245-8DFBB764C7A6}" destId="{51DDCB98-9AE4-48C7-BC95-5D0B35A4C03C}" srcOrd="0" destOrd="0" presId="urn:microsoft.com/office/officeart/2005/8/layout/cycle6"/>
    <dgm:cxn modelId="{6B2F351D-5703-4CAB-9A3C-3D666EFD77F1}" type="presOf" srcId="{F5C5053F-F2F9-40D9-B296-A56ADD74AFD4}" destId="{B72CD4B3-6D44-4BC2-BEA5-BE780EBF526B}" srcOrd="0" destOrd="0" presId="urn:microsoft.com/office/officeart/2005/8/layout/cycle6"/>
    <dgm:cxn modelId="{812FF6FB-5A39-4ED1-B922-08303CDC38E5}" srcId="{2D938750-1144-4521-9E10-3958C19ABC48}" destId="{F5C5053F-F2F9-40D9-B296-A56ADD74AFD4}" srcOrd="3" destOrd="0" parTransId="{F77ED845-4489-4DB1-90C7-9E852A87D2CA}" sibTransId="{DD8C986A-6D66-465A-B245-8DFBB764C7A6}"/>
    <dgm:cxn modelId="{028CF41D-5EF3-48F8-84ED-2E7D8C69BC6F}" type="presOf" srcId="{649DFDB0-507B-4E5D-B25B-6629DF1AFF47}" destId="{6A0DC9D0-831E-4325-8479-4CC11EDB50F6}" srcOrd="0" destOrd="0" presId="urn:microsoft.com/office/officeart/2005/8/layout/cycle6"/>
    <dgm:cxn modelId="{A4AB6435-4564-4E3B-BFD9-074EACF362CC}" type="presOf" srcId="{7B0A3532-35AC-449B-8EC2-71EE1AAFF388}" destId="{8931384A-36B9-4112-93FF-1C47C2BC6E61}" srcOrd="0" destOrd="0" presId="urn:microsoft.com/office/officeart/2005/8/layout/cycle6"/>
    <dgm:cxn modelId="{631D6427-0A93-4976-87B9-E9EBB868A758}" type="presParOf" srcId="{59F9502F-BC51-41BB-9A45-0D23A3A59E00}" destId="{33C1C682-A6FC-4468-B70D-0546D7FA2980}" srcOrd="0" destOrd="0" presId="urn:microsoft.com/office/officeart/2005/8/layout/cycle6"/>
    <dgm:cxn modelId="{37413D85-8A2D-4DF7-8390-B19086DBD19D}" type="presParOf" srcId="{59F9502F-BC51-41BB-9A45-0D23A3A59E00}" destId="{3B5E9CEF-9C7D-460F-979D-9FDB4757FE2A}" srcOrd="1" destOrd="0" presId="urn:microsoft.com/office/officeart/2005/8/layout/cycle6"/>
    <dgm:cxn modelId="{C0C346DC-7A46-487A-BDA1-6618F0D896CB}" type="presParOf" srcId="{59F9502F-BC51-41BB-9A45-0D23A3A59E00}" destId="{8931384A-36B9-4112-93FF-1C47C2BC6E61}" srcOrd="2" destOrd="0" presId="urn:microsoft.com/office/officeart/2005/8/layout/cycle6"/>
    <dgm:cxn modelId="{D9EF29E6-8FFC-4F76-9A72-4445C18F8C3C}" type="presParOf" srcId="{59F9502F-BC51-41BB-9A45-0D23A3A59E00}" destId="{2F56013F-5158-468B-B480-3AA4E85D51EF}" srcOrd="3" destOrd="0" presId="urn:microsoft.com/office/officeart/2005/8/layout/cycle6"/>
    <dgm:cxn modelId="{9D3FF797-AA80-4CDD-BCA7-DAB981244689}" type="presParOf" srcId="{59F9502F-BC51-41BB-9A45-0D23A3A59E00}" destId="{28DB2EC5-FAF8-47B3-83C0-D8368DE0AB6E}" srcOrd="4" destOrd="0" presId="urn:microsoft.com/office/officeart/2005/8/layout/cycle6"/>
    <dgm:cxn modelId="{7115DB58-C40C-4E52-A3E2-989423BE68F1}" type="presParOf" srcId="{59F9502F-BC51-41BB-9A45-0D23A3A59E00}" destId="{6A0DC9D0-831E-4325-8479-4CC11EDB50F6}" srcOrd="5" destOrd="0" presId="urn:microsoft.com/office/officeart/2005/8/layout/cycle6"/>
    <dgm:cxn modelId="{9E01F414-9CC5-4D86-B224-60FB8009461E}" type="presParOf" srcId="{59F9502F-BC51-41BB-9A45-0D23A3A59E00}" destId="{1696910A-CDC0-4B20-AEAE-41CCE4E4B416}" srcOrd="6" destOrd="0" presId="urn:microsoft.com/office/officeart/2005/8/layout/cycle6"/>
    <dgm:cxn modelId="{529401AC-CCBB-4475-96E7-53B2232B35F8}" type="presParOf" srcId="{59F9502F-BC51-41BB-9A45-0D23A3A59E00}" destId="{E202661A-58CE-40CB-BB01-77FAE40560DB}" srcOrd="7" destOrd="0" presId="urn:microsoft.com/office/officeart/2005/8/layout/cycle6"/>
    <dgm:cxn modelId="{DF98CD07-5265-41C2-87E0-EF67F8FA711E}" type="presParOf" srcId="{59F9502F-BC51-41BB-9A45-0D23A3A59E00}" destId="{F0DA4443-A999-4573-9119-D4870453F0DF}" srcOrd="8" destOrd="0" presId="urn:microsoft.com/office/officeart/2005/8/layout/cycle6"/>
    <dgm:cxn modelId="{6337A96E-B1E9-42D3-BE0F-5556D81D0E76}" type="presParOf" srcId="{59F9502F-BC51-41BB-9A45-0D23A3A59E00}" destId="{B72CD4B3-6D44-4BC2-BEA5-BE780EBF526B}" srcOrd="9" destOrd="0" presId="urn:microsoft.com/office/officeart/2005/8/layout/cycle6"/>
    <dgm:cxn modelId="{49A37573-E324-4A98-AEEB-1729C04A8BCE}" type="presParOf" srcId="{59F9502F-BC51-41BB-9A45-0D23A3A59E00}" destId="{1952B206-6E5B-455E-B30F-09D6080A5399}" srcOrd="10" destOrd="0" presId="urn:microsoft.com/office/officeart/2005/8/layout/cycle6"/>
    <dgm:cxn modelId="{23071F81-BEDB-44DA-8AAF-9C9811E7C9F1}" type="presParOf" srcId="{59F9502F-BC51-41BB-9A45-0D23A3A59E00}" destId="{51DDCB98-9AE4-48C7-BC95-5D0B35A4C03C}" srcOrd="11" destOrd="0" presId="urn:microsoft.com/office/officeart/2005/8/layout/cycle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C1C682-A6FC-4468-B70D-0546D7FA2980}">
      <dsp:nvSpPr>
        <dsp:cNvPr id="0" name=""/>
        <dsp:cNvSpPr/>
      </dsp:nvSpPr>
      <dsp:spPr>
        <a:xfrm>
          <a:off x="2239579" y="-238425"/>
          <a:ext cx="1214273" cy="109378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September </a:t>
          </a:r>
        </a:p>
        <a:p>
          <a:pPr lvl="0" algn="ctr" defTabSz="533400">
            <a:lnSpc>
              <a:spcPct val="90000"/>
            </a:lnSpc>
            <a:spcBef>
              <a:spcPct val="0"/>
            </a:spcBef>
            <a:spcAft>
              <a:spcPct val="35000"/>
            </a:spcAft>
          </a:pPr>
          <a:r>
            <a:rPr lang="en-US" sz="1200" b="1" kern="1200"/>
            <a:t>Annual Assessment Started</a:t>
          </a:r>
        </a:p>
      </dsp:txBody>
      <dsp:txXfrm>
        <a:off x="2292973" y="-185031"/>
        <a:ext cx="1107485" cy="986999"/>
      </dsp:txXfrm>
    </dsp:sp>
    <dsp:sp modelId="{8931384A-36B9-4112-93FF-1C47C2BC6E61}">
      <dsp:nvSpPr>
        <dsp:cNvPr id="0" name=""/>
        <dsp:cNvSpPr/>
      </dsp:nvSpPr>
      <dsp:spPr>
        <a:xfrm>
          <a:off x="2167223" y="473630"/>
          <a:ext cx="2300856" cy="2300856"/>
        </a:xfrm>
        <a:custGeom>
          <a:avLst/>
          <a:gdLst/>
          <a:ahLst/>
          <a:cxnLst/>
          <a:rect l="0" t="0" r="0" b="0"/>
          <a:pathLst>
            <a:path>
              <a:moveTo>
                <a:pt x="1294944" y="9113"/>
              </a:moveTo>
              <a:arcTo wR="1150428" hR="1150428" stAng="16632992" swAng="251215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F56013F-5158-468B-B480-3AA4E85D51EF}">
      <dsp:nvSpPr>
        <dsp:cNvPr id="0" name=""/>
        <dsp:cNvSpPr/>
      </dsp:nvSpPr>
      <dsp:spPr>
        <a:xfrm>
          <a:off x="3429529" y="876960"/>
          <a:ext cx="1766228" cy="122013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November </a:t>
          </a:r>
        </a:p>
        <a:p>
          <a:pPr lvl="0" algn="ctr" defTabSz="533400">
            <a:lnSpc>
              <a:spcPct val="90000"/>
            </a:lnSpc>
            <a:spcBef>
              <a:spcPct val="0"/>
            </a:spcBef>
            <a:spcAft>
              <a:spcPct val="35000"/>
            </a:spcAft>
          </a:pPr>
          <a:r>
            <a:rPr lang="en-US" sz="1200" b="1" kern="1200"/>
            <a:t>Annual Assessment Completed (audit results incorporated in January)</a:t>
          </a:r>
        </a:p>
      </dsp:txBody>
      <dsp:txXfrm>
        <a:off x="3489091" y="936522"/>
        <a:ext cx="1647104" cy="1101015"/>
      </dsp:txXfrm>
    </dsp:sp>
    <dsp:sp modelId="{6A0DC9D0-831E-4325-8479-4CC11EDB50F6}">
      <dsp:nvSpPr>
        <dsp:cNvPr id="0" name=""/>
        <dsp:cNvSpPr/>
      </dsp:nvSpPr>
      <dsp:spPr>
        <a:xfrm>
          <a:off x="2235651" y="101643"/>
          <a:ext cx="2300856" cy="2300856"/>
        </a:xfrm>
        <a:custGeom>
          <a:avLst/>
          <a:gdLst/>
          <a:ahLst/>
          <a:cxnLst/>
          <a:rect l="0" t="0" r="0" b="0"/>
          <a:pathLst>
            <a:path>
              <a:moveTo>
                <a:pt x="1925401" y="2000664"/>
              </a:moveTo>
              <a:arcTo wR="1150428" hR="1150428" stAng="2859086" swAng="230067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696910A-CDC0-4B20-AEAE-41CCE4E4B416}">
      <dsp:nvSpPr>
        <dsp:cNvPr id="0" name=""/>
        <dsp:cNvSpPr/>
      </dsp:nvSpPr>
      <dsp:spPr>
        <a:xfrm>
          <a:off x="2234706" y="1955366"/>
          <a:ext cx="1224020" cy="125260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July</a:t>
          </a:r>
        </a:p>
        <a:p>
          <a:pPr lvl="0" algn="ctr" defTabSz="533400">
            <a:lnSpc>
              <a:spcPct val="90000"/>
            </a:lnSpc>
            <a:spcBef>
              <a:spcPct val="0"/>
            </a:spcBef>
            <a:spcAft>
              <a:spcPct val="35000"/>
            </a:spcAft>
          </a:pPr>
          <a:r>
            <a:rPr lang="en-US" sz="1200" b="1" kern="1200"/>
            <a:t>50% of  annual disbursement made to Cities</a:t>
          </a:r>
        </a:p>
      </dsp:txBody>
      <dsp:txXfrm>
        <a:off x="2294458" y="2015118"/>
        <a:ext cx="1104516" cy="1133099"/>
      </dsp:txXfrm>
    </dsp:sp>
    <dsp:sp modelId="{F0DA4443-A999-4573-9119-D4870453F0DF}">
      <dsp:nvSpPr>
        <dsp:cNvPr id="0" name=""/>
        <dsp:cNvSpPr/>
      </dsp:nvSpPr>
      <dsp:spPr>
        <a:xfrm>
          <a:off x="1659137" y="253270"/>
          <a:ext cx="2300856" cy="2300856"/>
        </a:xfrm>
        <a:custGeom>
          <a:avLst/>
          <a:gdLst/>
          <a:ahLst/>
          <a:cxnLst/>
          <a:rect l="0" t="0" r="0" b="0"/>
          <a:pathLst>
            <a:path>
              <a:moveTo>
                <a:pt x="571309" y="2144463"/>
              </a:moveTo>
              <a:arcTo wR="1150428" hR="1150428" stAng="7213487" swAng="145305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72CD4B3-6D44-4BC2-BEA5-BE780EBF526B}">
      <dsp:nvSpPr>
        <dsp:cNvPr id="0" name=""/>
        <dsp:cNvSpPr/>
      </dsp:nvSpPr>
      <dsp:spPr>
        <a:xfrm>
          <a:off x="1080484" y="793797"/>
          <a:ext cx="1231603" cy="127488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u="sng" kern="1200"/>
            <a:t>January</a:t>
          </a:r>
          <a:r>
            <a:rPr lang="en-US" sz="1200" b="1" u="none" kern="1200"/>
            <a:t> </a:t>
          </a:r>
          <a:r>
            <a:rPr lang="en-US" sz="1200" b="1" kern="1200"/>
            <a:t>50% of  annual disbursement made to cities</a:t>
          </a:r>
        </a:p>
        <a:p>
          <a:pPr lvl="0" algn="ctr" defTabSz="533400">
            <a:lnSpc>
              <a:spcPct val="90000"/>
            </a:lnSpc>
            <a:spcBef>
              <a:spcPct val="0"/>
            </a:spcBef>
            <a:spcAft>
              <a:spcPct val="35000"/>
            </a:spcAft>
          </a:pPr>
          <a:endParaRPr lang="en-US" sz="2000" b="1" kern="1200"/>
        </a:p>
      </dsp:txBody>
      <dsp:txXfrm>
        <a:off x="1140606" y="853919"/>
        <a:ext cx="1111359" cy="1154644"/>
      </dsp:txXfrm>
    </dsp:sp>
    <dsp:sp modelId="{51DDCB98-9AE4-48C7-BC95-5D0B35A4C03C}">
      <dsp:nvSpPr>
        <dsp:cNvPr id="0" name=""/>
        <dsp:cNvSpPr/>
      </dsp:nvSpPr>
      <dsp:spPr>
        <a:xfrm>
          <a:off x="1695557" y="308921"/>
          <a:ext cx="2300856" cy="2300856"/>
        </a:xfrm>
        <a:custGeom>
          <a:avLst/>
          <a:gdLst/>
          <a:ahLst/>
          <a:cxnLst/>
          <a:rect l="0" t="0" r="0" b="0"/>
          <a:pathLst>
            <a:path>
              <a:moveTo>
                <a:pt x="214707" y="481165"/>
              </a:moveTo>
              <a:arcTo wR="1150428" hR="1150428" stAng="12934427" swAng="1343319"/>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lect Content Type" ma:contentTypeID="0x01010099B6B9EF8F35F840B8C1B763013CF53600CE25AF614DB28246AF64A03CA0F82515" ma:contentTypeVersion="4" ma:contentTypeDescription="" ma:contentTypeScope="" ma:versionID="1248548af08e382c1260260fd8404fa4">
  <xsd:schema xmlns:xsd="http://www.w3.org/2001/XMLSchema" xmlns:xs="http://www.w3.org/2001/XMLSchema" xmlns:p="http://schemas.microsoft.com/office/2006/metadata/properties" xmlns:ns2="4f665c86-b6e3-4427-8f26-07c07c084871" targetNamespace="http://schemas.microsoft.com/office/2006/metadata/properties" ma:root="true" ma:fieldsID="fbb835408aee4b19ec09bc3948176eb1" ns2:_="">
    <xsd:import namespace="4f665c86-b6e3-4427-8f26-07c07c08487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5c86-b6e3-4427-8f26-07c07c0848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4fe4a42-127e-478d-9b6e-420dd7ce26ac" ContentTypeId="0x01010099B6B9EF8F35F840B8C1B763013CF536"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281-A6C1-4AF2-8F89-7AC456E3E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65c86-b6e3-4427-8f26-07c07c084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B02AE-F821-4034-B389-57DC14650F47}">
  <ds:schemaRefs>
    <ds:schemaRef ds:uri="Microsoft.SharePoint.Taxonomy.ContentTypeSync"/>
  </ds:schemaRefs>
</ds:datastoreItem>
</file>

<file path=customXml/itemProps3.xml><?xml version="1.0" encoding="utf-8"?>
<ds:datastoreItem xmlns:ds="http://schemas.openxmlformats.org/officeDocument/2006/customXml" ds:itemID="{29D822C3-7110-4934-9817-A7650BD7A2E3}">
  <ds:schemaRefs>
    <ds:schemaRef ds:uri="http://schemas.microsoft.com/sharepoint/events"/>
  </ds:schemaRefs>
</ds:datastoreItem>
</file>

<file path=customXml/itemProps4.xml><?xml version="1.0" encoding="utf-8"?>
<ds:datastoreItem xmlns:ds="http://schemas.openxmlformats.org/officeDocument/2006/customXml" ds:itemID="{C6775940-CBDB-4799-ACED-9DE496D54FC3}">
  <ds:schemaRefs>
    <ds:schemaRef ds:uri="http://schemas.microsoft.com/sharepoint/v3/contenttype/forms"/>
  </ds:schemaRefs>
</ds:datastoreItem>
</file>

<file path=customXml/itemProps5.xml><?xml version="1.0" encoding="utf-8"?>
<ds:datastoreItem xmlns:ds="http://schemas.openxmlformats.org/officeDocument/2006/customXml" ds:itemID="{0C63F564-BF84-4C03-B756-9E7D394AE00F}">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52BA021-EA53-438D-A25D-D330BBC3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135</Pages>
  <Words>57273</Words>
  <Characters>326462</Characters>
  <Application>Microsoft Office Word</Application>
  <DocSecurity>0</DocSecurity>
  <Lines>2720</Lines>
  <Paragraphs>765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382970</CharactersWithSpaces>
  <SharedDoc>false</SharedDoc>
  <HLinks>
    <vt:vector size="234" baseType="variant">
      <vt:variant>
        <vt:i4>1048583</vt:i4>
      </vt:variant>
      <vt:variant>
        <vt:i4>237</vt:i4>
      </vt:variant>
      <vt:variant>
        <vt:i4>0</vt:i4>
      </vt:variant>
      <vt:variant>
        <vt:i4>5</vt:i4>
      </vt:variant>
      <vt:variant>
        <vt:lpwstr/>
      </vt:variant>
      <vt:variant>
        <vt:lpwstr>_Toc374464006</vt:lpwstr>
      </vt:variant>
      <vt:variant>
        <vt:i4>1048580</vt:i4>
      </vt:variant>
      <vt:variant>
        <vt:i4>231</vt:i4>
      </vt:variant>
      <vt:variant>
        <vt:i4>0</vt:i4>
      </vt:variant>
      <vt:variant>
        <vt:i4>5</vt:i4>
      </vt:variant>
      <vt:variant>
        <vt:lpwstr/>
      </vt:variant>
      <vt:variant>
        <vt:lpwstr>_Toc374464005</vt:lpwstr>
      </vt:variant>
      <vt:variant>
        <vt:i4>1048581</vt:i4>
      </vt:variant>
      <vt:variant>
        <vt:i4>225</vt:i4>
      </vt:variant>
      <vt:variant>
        <vt:i4>0</vt:i4>
      </vt:variant>
      <vt:variant>
        <vt:i4>5</vt:i4>
      </vt:variant>
      <vt:variant>
        <vt:lpwstr/>
      </vt:variant>
      <vt:variant>
        <vt:lpwstr>_Toc374464004</vt:lpwstr>
      </vt:variant>
      <vt:variant>
        <vt:i4>1048578</vt:i4>
      </vt:variant>
      <vt:variant>
        <vt:i4>219</vt:i4>
      </vt:variant>
      <vt:variant>
        <vt:i4>0</vt:i4>
      </vt:variant>
      <vt:variant>
        <vt:i4>5</vt:i4>
      </vt:variant>
      <vt:variant>
        <vt:lpwstr/>
      </vt:variant>
      <vt:variant>
        <vt:lpwstr>_Toc374464003</vt:lpwstr>
      </vt:variant>
      <vt:variant>
        <vt:i4>1048579</vt:i4>
      </vt:variant>
      <vt:variant>
        <vt:i4>213</vt:i4>
      </vt:variant>
      <vt:variant>
        <vt:i4>0</vt:i4>
      </vt:variant>
      <vt:variant>
        <vt:i4>5</vt:i4>
      </vt:variant>
      <vt:variant>
        <vt:lpwstr/>
      </vt:variant>
      <vt:variant>
        <vt:lpwstr>_Toc374464002</vt:lpwstr>
      </vt:variant>
      <vt:variant>
        <vt:i4>1048576</vt:i4>
      </vt:variant>
      <vt:variant>
        <vt:i4>207</vt:i4>
      </vt:variant>
      <vt:variant>
        <vt:i4>0</vt:i4>
      </vt:variant>
      <vt:variant>
        <vt:i4>5</vt:i4>
      </vt:variant>
      <vt:variant>
        <vt:lpwstr/>
      </vt:variant>
      <vt:variant>
        <vt:lpwstr>_Toc374464001</vt:lpwstr>
      </vt:variant>
      <vt:variant>
        <vt:i4>1048577</vt:i4>
      </vt:variant>
      <vt:variant>
        <vt:i4>201</vt:i4>
      </vt:variant>
      <vt:variant>
        <vt:i4>0</vt:i4>
      </vt:variant>
      <vt:variant>
        <vt:i4>5</vt:i4>
      </vt:variant>
      <vt:variant>
        <vt:lpwstr/>
      </vt:variant>
      <vt:variant>
        <vt:lpwstr>_Toc374464000</vt:lpwstr>
      </vt:variant>
      <vt:variant>
        <vt:i4>1966081</vt:i4>
      </vt:variant>
      <vt:variant>
        <vt:i4>195</vt:i4>
      </vt:variant>
      <vt:variant>
        <vt:i4>0</vt:i4>
      </vt:variant>
      <vt:variant>
        <vt:i4>5</vt:i4>
      </vt:variant>
      <vt:variant>
        <vt:lpwstr/>
      </vt:variant>
      <vt:variant>
        <vt:lpwstr>_Toc374463999</vt:lpwstr>
      </vt:variant>
      <vt:variant>
        <vt:i4>1966080</vt:i4>
      </vt:variant>
      <vt:variant>
        <vt:i4>189</vt:i4>
      </vt:variant>
      <vt:variant>
        <vt:i4>0</vt:i4>
      </vt:variant>
      <vt:variant>
        <vt:i4>5</vt:i4>
      </vt:variant>
      <vt:variant>
        <vt:lpwstr/>
      </vt:variant>
      <vt:variant>
        <vt:lpwstr>_Toc374463998</vt:lpwstr>
      </vt:variant>
      <vt:variant>
        <vt:i4>1966095</vt:i4>
      </vt:variant>
      <vt:variant>
        <vt:i4>183</vt:i4>
      </vt:variant>
      <vt:variant>
        <vt:i4>0</vt:i4>
      </vt:variant>
      <vt:variant>
        <vt:i4>5</vt:i4>
      </vt:variant>
      <vt:variant>
        <vt:lpwstr/>
      </vt:variant>
      <vt:variant>
        <vt:lpwstr>_Toc374463997</vt:lpwstr>
      </vt:variant>
      <vt:variant>
        <vt:i4>1507337</vt:i4>
      </vt:variant>
      <vt:variant>
        <vt:i4>179</vt:i4>
      </vt:variant>
      <vt:variant>
        <vt:i4>0</vt:i4>
      </vt:variant>
      <vt:variant>
        <vt:i4>5</vt:i4>
      </vt:variant>
      <vt:variant>
        <vt:lpwstr/>
      </vt:variant>
      <vt:variant>
        <vt:lpwstr>_Toc374060179</vt:lpwstr>
      </vt:variant>
      <vt:variant>
        <vt:i4>1376268</vt:i4>
      </vt:variant>
      <vt:variant>
        <vt:i4>170</vt:i4>
      </vt:variant>
      <vt:variant>
        <vt:i4>0</vt:i4>
      </vt:variant>
      <vt:variant>
        <vt:i4>5</vt:i4>
      </vt:variant>
      <vt:variant>
        <vt:lpwstr/>
      </vt:variant>
      <vt:variant>
        <vt:lpwstr>_Toc374453729</vt:lpwstr>
      </vt:variant>
      <vt:variant>
        <vt:i4>1376269</vt:i4>
      </vt:variant>
      <vt:variant>
        <vt:i4>164</vt:i4>
      </vt:variant>
      <vt:variant>
        <vt:i4>0</vt:i4>
      </vt:variant>
      <vt:variant>
        <vt:i4>5</vt:i4>
      </vt:variant>
      <vt:variant>
        <vt:lpwstr/>
      </vt:variant>
      <vt:variant>
        <vt:lpwstr>_Toc374453728</vt:lpwstr>
      </vt:variant>
      <vt:variant>
        <vt:i4>1376258</vt:i4>
      </vt:variant>
      <vt:variant>
        <vt:i4>158</vt:i4>
      </vt:variant>
      <vt:variant>
        <vt:i4>0</vt:i4>
      </vt:variant>
      <vt:variant>
        <vt:i4>5</vt:i4>
      </vt:variant>
      <vt:variant>
        <vt:lpwstr/>
      </vt:variant>
      <vt:variant>
        <vt:lpwstr>_Toc374453727</vt:lpwstr>
      </vt:variant>
      <vt:variant>
        <vt:i4>1376259</vt:i4>
      </vt:variant>
      <vt:variant>
        <vt:i4>152</vt:i4>
      </vt:variant>
      <vt:variant>
        <vt:i4>0</vt:i4>
      </vt:variant>
      <vt:variant>
        <vt:i4>5</vt:i4>
      </vt:variant>
      <vt:variant>
        <vt:lpwstr/>
      </vt:variant>
      <vt:variant>
        <vt:lpwstr>_Toc374453726</vt:lpwstr>
      </vt:variant>
      <vt:variant>
        <vt:i4>1376256</vt:i4>
      </vt:variant>
      <vt:variant>
        <vt:i4>146</vt:i4>
      </vt:variant>
      <vt:variant>
        <vt:i4>0</vt:i4>
      </vt:variant>
      <vt:variant>
        <vt:i4>5</vt:i4>
      </vt:variant>
      <vt:variant>
        <vt:lpwstr/>
      </vt:variant>
      <vt:variant>
        <vt:lpwstr>_Toc374453725</vt:lpwstr>
      </vt:variant>
      <vt:variant>
        <vt:i4>1376257</vt:i4>
      </vt:variant>
      <vt:variant>
        <vt:i4>140</vt:i4>
      </vt:variant>
      <vt:variant>
        <vt:i4>0</vt:i4>
      </vt:variant>
      <vt:variant>
        <vt:i4>5</vt:i4>
      </vt:variant>
      <vt:variant>
        <vt:lpwstr/>
      </vt:variant>
      <vt:variant>
        <vt:lpwstr>_Toc374453724</vt:lpwstr>
      </vt:variant>
      <vt:variant>
        <vt:i4>1376262</vt:i4>
      </vt:variant>
      <vt:variant>
        <vt:i4>134</vt:i4>
      </vt:variant>
      <vt:variant>
        <vt:i4>0</vt:i4>
      </vt:variant>
      <vt:variant>
        <vt:i4>5</vt:i4>
      </vt:variant>
      <vt:variant>
        <vt:lpwstr/>
      </vt:variant>
      <vt:variant>
        <vt:lpwstr>_Toc374453723</vt:lpwstr>
      </vt:variant>
      <vt:variant>
        <vt:i4>1376263</vt:i4>
      </vt:variant>
      <vt:variant>
        <vt:i4>128</vt:i4>
      </vt:variant>
      <vt:variant>
        <vt:i4>0</vt:i4>
      </vt:variant>
      <vt:variant>
        <vt:i4>5</vt:i4>
      </vt:variant>
      <vt:variant>
        <vt:lpwstr/>
      </vt:variant>
      <vt:variant>
        <vt:lpwstr>_Toc374453722</vt:lpwstr>
      </vt:variant>
      <vt:variant>
        <vt:i4>1376260</vt:i4>
      </vt:variant>
      <vt:variant>
        <vt:i4>122</vt:i4>
      </vt:variant>
      <vt:variant>
        <vt:i4>0</vt:i4>
      </vt:variant>
      <vt:variant>
        <vt:i4>5</vt:i4>
      </vt:variant>
      <vt:variant>
        <vt:lpwstr/>
      </vt:variant>
      <vt:variant>
        <vt:lpwstr>_Toc374453721</vt:lpwstr>
      </vt:variant>
      <vt:variant>
        <vt:i4>1245185</vt:i4>
      </vt:variant>
      <vt:variant>
        <vt:i4>113</vt:i4>
      </vt:variant>
      <vt:variant>
        <vt:i4>0</vt:i4>
      </vt:variant>
      <vt:variant>
        <vt:i4>5</vt:i4>
      </vt:variant>
      <vt:variant>
        <vt:lpwstr/>
      </vt:variant>
      <vt:variant>
        <vt:lpwstr>_Toc373929536</vt:lpwstr>
      </vt:variant>
      <vt:variant>
        <vt:i4>1245186</vt:i4>
      </vt:variant>
      <vt:variant>
        <vt:i4>107</vt:i4>
      </vt:variant>
      <vt:variant>
        <vt:i4>0</vt:i4>
      </vt:variant>
      <vt:variant>
        <vt:i4>5</vt:i4>
      </vt:variant>
      <vt:variant>
        <vt:lpwstr/>
      </vt:variant>
      <vt:variant>
        <vt:lpwstr>_Toc373929535</vt:lpwstr>
      </vt:variant>
      <vt:variant>
        <vt:i4>1245187</vt:i4>
      </vt:variant>
      <vt:variant>
        <vt:i4>101</vt:i4>
      </vt:variant>
      <vt:variant>
        <vt:i4>0</vt:i4>
      </vt:variant>
      <vt:variant>
        <vt:i4>5</vt:i4>
      </vt:variant>
      <vt:variant>
        <vt:lpwstr/>
      </vt:variant>
      <vt:variant>
        <vt:lpwstr>_Toc373929534</vt:lpwstr>
      </vt:variant>
      <vt:variant>
        <vt:i4>1245188</vt:i4>
      </vt:variant>
      <vt:variant>
        <vt:i4>95</vt:i4>
      </vt:variant>
      <vt:variant>
        <vt:i4>0</vt:i4>
      </vt:variant>
      <vt:variant>
        <vt:i4>5</vt:i4>
      </vt:variant>
      <vt:variant>
        <vt:lpwstr/>
      </vt:variant>
      <vt:variant>
        <vt:lpwstr>_Toc373929533</vt:lpwstr>
      </vt:variant>
      <vt:variant>
        <vt:i4>1245189</vt:i4>
      </vt:variant>
      <vt:variant>
        <vt:i4>89</vt:i4>
      </vt:variant>
      <vt:variant>
        <vt:i4>0</vt:i4>
      </vt:variant>
      <vt:variant>
        <vt:i4>5</vt:i4>
      </vt:variant>
      <vt:variant>
        <vt:lpwstr/>
      </vt:variant>
      <vt:variant>
        <vt:lpwstr>_Toc373929532</vt:lpwstr>
      </vt:variant>
      <vt:variant>
        <vt:i4>1245190</vt:i4>
      </vt:variant>
      <vt:variant>
        <vt:i4>83</vt:i4>
      </vt:variant>
      <vt:variant>
        <vt:i4>0</vt:i4>
      </vt:variant>
      <vt:variant>
        <vt:i4>5</vt:i4>
      </vt:variant>
      <vt:variant>
        <vt:lpwstr/>
      </vt:variant>
      <vt:variant>
        <vt:lpwstr>_Toc373929531</vt:lpwstr>
      </vt:variant>
      <vt:variant>
        <vt:i4>1245191</vt:i4>
      </vt:variant>
      <vt:variant>
        <vt:i4>77</vt:i4>
      </vt:variant>
      <vt:variant>
        <vt:i4>0</vt:i4>
      </vt:variant>
      <vt:variant>
        <vt:i4>5</vt:i4>
      </vt:variant>
      <vt:variant>
        <vt:lpwstr/>
      </vt:variant>
      <vt:variant>
        <vt:lpwstr>_Toc373929530</vt:lpwstr>
      </vt:variant>
      <vt:variant>
        <vt:i4>1179662</vt:i4>
      </vt:variant>
      <vt:variant>
        <vt:i4>71</vt:i4>
      </vt:variant>
      <vt:variant>
        <vt:i4>0</vt:i4>
      </vt:variant>
      <vt:variant>
        <vt:i4>5</vt:i4>
      </vt:variant>
      <vt:variant>
        <vt:lpwstr/>
      </vt:variant>
      <vt:variant>
        <vt:lpwstr>_Toc373929529</vt:lpwstr>
      </vt:variant>
      <vt:variant>
        <vt:i4>1179663</vt:i4>
      </vt:variant>
      <vt:variant>
        <vt:i4>65</vt:i4>
      </vt:variant>
      <vt:variant>
        <vt:i4>0</vt:i4>
      </vt:variant>
      <vt:variant>
        <vt:i4>5</vt:i4>
      </vt:variant>
      <vt:variant>
        <vt:lpwstr/>
      </vt:variant>
      <vt:variant>
        <vt:lpwstr>_Toc373929528</vt:lpwstr>
      </vt:variant>
      <vt:variant>
        <vt:i4>1179648</vt:i4>
      </vt:variant>
      <vt:variant>
        <vt:i4>59</vt:i4>
      </vt:variant>
      <vt:variant>
        <vt:i4>0</vt:i4>
      </vt:variant>
      <vt:variant>
        <vt:i4>5</vt:i4>
      </vt:variant>
      <vt:variant>
        <vt:lpwstr/>
      </vt:variant>
      <vt:variant>
        <vt:lpwstr>_Toc373929527</vt:lpwstr>
      </vt:variant>
      <vt:variant>
        <vt:i4>1179649</vt:i4>
      </vt:variant>
      <vt:variant>
        <vt:i4>53</vt:i4>
      </vt:variant>
      <vt:variant>
        <vt:i4>0</vt:i4>
      </vt:variant>
      <vt:variant>
        <vt:i4>5</vt:i4>
      </vt:variant>
      <vt:variant>
        <vt:lpwstr/>
      </vt:variant>
      <vt:variant>
        <vt:lpwstr>_Toc373929526</vt:lpwstr>
      </vt:variant>
      <vt:variant>
        <vt:i4>1179650</vt:i4>
      </vt:variant>
      <vt:variant>
        <vt:i4>47</vt:i4>
      </vt:variant>
      <vt:variant>
        <vt:i4>0</vt:i4>
      </vt:variant>
      <vt:variant>
        <vt:i4>5</vt:i4>
      </vt:variant>
      <vt:variant>
        <vt:lpwstr/>
      </vt:variant>
      <vt:variant>
        <vt:lpwstr>_Toc373929525</vt:lpwstr>
      </vt:variant>
      <vt:variant>
        <vt:i4>1179651</vt:i4>
      </vt:variant>
      <vt:variant>
        <vt:i4>41</vt:i4>
      </vt:variant>
      <vt:variant>
        <vt:i4>0</vt:i4>
      </vt:variant>
      <vt:variant>
        <vt:i4>5</vt:i4>
      </vt:variant>
      <vt:variant>
        <vt:lpwstr/>
      </vt:variant>
      <vt:variant>
        <vt:lpwstr>_Toc373929524</vt:lpwstr>
      </vt:variant>
      <vt:variant>
        <vt:i4>1179652</vt:i4>
      </vt:variant>
      <vt:variant>
        <vt:i4>35</vt:i4>
      </vt:variant>
      <vt:variant>
        <vt:i4>0</vt:i4>
      </vt:variant>
      <vt:variant>
        <vt:i4>5</vt:i4>
      </vt:variant>
      <vt:variant>
        <vt:lpwstr/>
      </vt:variant>
      <vt:variant>
        <vt:lpwstr>_Toc373929523</vt:lpwstr>
      </vt:variant>
      <vt:variant>
        <vt:i4>1179653</vt:i4>
      </vt:variant>
      <vt:variant>
        <vt:i4>29</vt:i4>
      </vt:variant>
      <vt:variant>
        <vt:i4>0</vt:i4>
      </vt:variant>
      <vt:variant>
        <vt:i4>5</vt:i4>
      </vt:variant>
      <vt:variant>
        <vt:lpwstr/>
      </vt:variant>
      <vt:variant>
        <vt:lpwstr>_Toc373929522</vt:lpwstr>
      </vt:variant>
      <vt:variant>
        <vt:i4>1179654</vt:i4>
      </vt:variant>
      <vt:variant>
        <vt:i4>23</vt:i4>
      </vt:variant>
      <vt:variant>
        <vt:i4>0</vt:i4>
      </vt:variant>
      <vt:variant>
        <vt:i4>5</vt:i4>
      </vt:variant>
      <vt:variant>
        <vt:lpwstr/>
      </vt:variant>
      <vt:variant>
        <vt:lpwstr>_Toc373929521</vt:lpwstr>
      </vt:variant>
      <vt:variant>
        <vt:i4>1179655</vt:i4>
      </vt:variant>
      <vt:variant>
        <vt:i4>17</vt:i4>
      </vt:variant>
      <vt:variant>
        <vt:i4>0</vt:i4>
      </vt:variant>
      <vt:variant>
        <vt:i4>5</vt:i4>
      </vt:variant>
      <vt:variant>
        <vt:lpwstr/>
      </vt:variant>
      <vt:variant>
        <vt:lpwstr>_Toc373929520</vt:lpwstr>
      </vt:variant>
      <vt:variant>
        <vt:i4>1114126</vt:i4>
      </vt:variant>
      <vt:variant>
        <vt:i4>11</vt:i4>
      </vt:variant>
      <vt:variant>
        <vt:i4>0</vt:i4>
      </vt:variant>
      <vt:variant>
        <vt:i4>5</vt:i4>
      </vt:variant>
      <vt:variant>
        <vt:lpwstr/>
      </vt:variant>
      <vt:variant>
        <vt:lpwstr>_Toc373929519</vt:lpwstr>
      </vt:variant>
      <vt:variant>
        <vt:i4>1114127</vt:i4>
      </vt:variant>
      <vt:variant>
        <vt:i4>5</vt:i4>
      </vt:variant>
      <vt:variant>
        <vt:i4>0</vt:i4>
      </vt:variant>
      <vt:variant>
        <vt:i4>5</vt:i4>
      </vt:variant>
      <vt:variant>
        <vt:lpwstr/>
      </vt:variant>
      <vt:variant>
        <vt:lpwstr>_Toc373929518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Abebaw Alemayehu;Mehmet Onur Ozlu</dc:creator>
  <cp:lastModifiedBy>maxamuud yuusuf</cp:lastModifiedBy>
  <cp:revision>3</cp:revision>
  <cp:lastPrinted>2014-03-07T13:50:00Z</cp:lastPrinted>
  <dcterms:created xsi:type="dcterms:W3CDTF">2018-03-20T07:22:00Z</dcterms:created>
  <dcterms:modified xsi:type="dcterms:W3CDTF">2018-09-26T12:47:00Z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0x01010099B6B9EF8F35F840B8C1B763013CF53600CE25AF614DB28246AF64A03CA0F82515</vt:lpwstr>
  </property>
  <property fmtid="{D5CDD505-2E9C-101B-9397-08002B2CF9AE}" pid="3" name="OPSCustomProjectID">
    <vt:lpwstr>P102900</vt:lpwstr>
  </property>
  <property fmtid="{D5CDD505-2E9C-101B-9397-08002B2CF9AE}" pid="4" name="Author0">
    <vt:lpwstr>Malek Atallah</vt:lpwstr>
  </property>
</Properties>
</file>